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2018-2023年陕西警官职业学院高职单招（数学／语文／英语）历年常考试题库含答案解析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在屠格涅夫《门槛》中，“门槛”的象征意义是（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A.革命事业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B.参加革命的条件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C.革命征途上的艰难险阻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D.革命者的献身精神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在《答司马谏议书》一文中，司马光强加给王安石变法的罪名是（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A.在位久，未能助上大有为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B.不恤国事，同俗自媚于众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C.侵官、生事、征利、拒谏、以致天下怨谤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D.一切不事事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《诗经》中保存民歌最多的是（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A.国风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B.小雅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C.大雅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李密的《陈情表》是一篇（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A.书信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B.小说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C.辞赋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D.奏疏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《麦琪的礼物》运用了哪种结构方法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A.一虚一实，虚实结合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B.采用两条平行的情节线索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C.追溯法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D.四条情节线交叉叙述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下列文学常识表述错误的是（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A.“初唐四杰”是指王勃、杨炯、卢照邻、骆宾王。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B.“中唐古文运动”的领袖是韩愈、柳宗元。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C.“新乐府运动”的倡导者是王维、白居易。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D.“小李杜”指的是李商隐、杜牧。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下列作品中，同属于人物传记的是（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A.《张中丞传后叙》《陈情表》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B.《五代史伶官传序》《马伶传》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C.《李将军列传》《冯谖客孟尝君》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D.《李将军列传》《马伶传》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《灯下漫笔》一文向青年所阐明的最重要的道理是（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A.如何读书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B.改造国民性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C.如何绘画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D.创建新时代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欧阳修的《五代史伶官传序》是一篇（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A.史论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B.奏疏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D.辞赋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下列诗句运用了比兴方法的是（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A.自我徂尔，三岁食贫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B.女也不爽，士贰其行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C.于嗟鸠兮，无食桑葚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D.淇水汤汤，渐车帷裳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“饮冰室主人”指的是（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A.康有为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B.梁启超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C.谭嗣同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D.黄遵宪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孟子和孔子同属（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A.儒家学派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B.道家学派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C.法家学派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D.名家学派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“明月松间照，清泉石上流”使用的修辞方法是（）。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《左传》是一部（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A.编年体史书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B.国别体史书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https://d.book118.com/618040054132006040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618040054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