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黑河通北2023-2024学年九年级上学期期末数学易错题整理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（阳谷县一模）（阳谷县一模）如图，AC⊥BC，AC=BC=4，以BC为直径作半圆，圆心为点O；以点C为圆心，BC为半径作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5pt">
            <v:imagedata r:id="rId5" o:title="2"/>
          </v:shape>
        </w:pict>
      </w:r>
      <w:r>
        <w:t>，过点O作AC的平行线交两弧于点D、E，则阴影部分的面积是（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7pt;height:5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pt;height:26pt">
            <v:imagedata r:id="rId7" o:title="2"/>
          </v:shape>
        </w:pict>
      </w:r>
      <w:r>
        <w:t>π-2</w:t>
      </w:r>
      <w:r>
        <w:pict>
          <v:shape id="_x0000_i1028" type="#_x0000_t75" style="width:14pt;height:1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6pt;height:26pt">
            <v:imagedata r:id="rId7" o:title="2"/>
          </v:shape>
        </w:pict>
      </w:r>
      <w:r>
        <w:t>π+2</w:t>
      </w:r>
      <w:r>
        <w:pict>
          <v:shape id="_x0000_i1030" type="#_x0000_t75" style="width:14pt;height:1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31" type="#_x0000_t75" style="width:14pt;height:17pt">
            <v:imagedata r:id="rId8" o:title="2"/>
          </v:shape>
        </w:pict>
      </w:r>
      <w:r>
        <w:t>-</w:t>
      </w:r>
      <w:r>
        <w:pict>
          <v:shape id="_x0000_i1032" type="#_x0000_t75" style="width:6pt;height:26pt">
            <v:imagedata r:id="rId7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14pt;height:17pt">
            <v:imagedata r:id="rId8" o:title="2"/>
          </v:shape>
        </w:pict>
      </w:r>
      <w:r>
        <w:t>+</w:t>
      </w:r>
      <w:r>
        <w:pict>
          <v:shape id="_x0000_i1034" type="#_x0000_t75" style="width:6pt;height:26pt">
            <v:imagedata r:id="rId7" o:title="2"/>
          </v:shape>
        </w:pict>
      </w:r>
      <w:r>
        <w:t>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（2021•雁塔区校级三模）如图，</w:t>
      </w:r>
      <w:r>
        <w:pict>
          <v:shape id="_x0000_i103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​是</w:t>
      </w:r>
      <w:r>
        <w:pict>
          <v:shape id="_x0000_i103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​的内接三角形，连接</w:t>
      </w:r>
      <w:r>
        <w:pict>
          <v:shape id="_x0000_i1037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3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3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​．若</w:t>
      </w:r>
      <w:r>
        <w:pict>
          <v:shape id="_x0000_i1040" type="#_x0000_t75" style="width:54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41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OBC=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42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​，则</w:t>
      </w:r>
      <w:r>
        <w:pict>
          <v:shape id="_x0000_i104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​的直径为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73pt;height:75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15.3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15.3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8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（江干区一模）下列四个图形中，既是轴对称图形又是中心对称图形的是（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9" type="#_x0000_t75" style="width:41pt;height:44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47pt;height:47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1" type="#_x0000_t75" style="width:37pt;height:37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2" type="#_x0000_t75" style="width:39pt;height:39pt">
            <v:imagedata r:id="rId2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（2022年贵州省黔西南州中考数学试卷（样卷一））如图，点P为弦AB上的一点，连接OP，过点P作PC⊥OP，PC交⊙O于C，且⊙O的半径为3．若AP=4，PB=1，则OP的长是（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3" type="#_x0000_t75" style="width:64pt;height:64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  <w:r>
        <w:pict>
          <v:shape id="_x0000_i1054" type="#_x0000_t75" style="width:14pt;height:17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5" type="#_x0000_t75" style="width:14pt;height:17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6" type="#_x0000_t75" style="width:14pt;height:1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（天桥区一模）（天桥区一模）如图，点A、B的坐标分别为（1，1）和（5，4），抛物线y=ax</w:t>
      </w:r>
      <w:r w:rsidRPr="004E0094">
        <w:rPr>
          <w:vertAlign w:val="superscript"/>
        </w:rPr>
        <w:t>2</w:t>
      </w:r>
      <w:r>
        <w:t>+bx+c（a≠0）的顶点在线段AB上运动，与x轴交于C、D两点（C在D的左侧），当抛物线的顶点为A时，点C的横坐标为O，则点D的横坐标最大值为（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https://d.book118.com/618041127045006027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618041127045006027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