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2018-2023年沈阳北软信息职业技术学院高职单招（数学／语文／英语）历年常考试题库含答案解析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下列诗集中，属于郭沫若的是（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马致远《天净沙·秋思》的“枯藤老树昏鸦，小桥流水人家，古道西风瘦马”的修辞手法是（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在先秦诸子中，文风以想象丰富、辞藻瑰丽、汪洋恣肆而著称的是（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下列词句中，运用了比拟手法的是（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A.遥岑远目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B.献愁供恨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C.玉簪螺髻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D.求田问舍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“亟请于武公”句中“亟”的意思是（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A.迅速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B.急忙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C.屡次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D.竭力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成语“祸起萧墙”出自（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下面不是冰心创作的问题小说有（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A.《斯人独憔悴》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B.《往事》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C.《超人》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D.《两个家庭》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8.</w:t>
      </w:r>
      <w:r>
        <w:rPr>
          <w:rFonts w:ascii="黑体" w:eastAsia="黑体" w:hAnsi="黑体" w:cs="Times New Roman"/>
          <w:sz w:val="24"/>
          <w:lang w:val="en-US" w:eastAsia="ja-JP" w:bidi="ar-SA"/>
        </w:rPr>
        <w:t>1921年7月，郭沫若和谁在日本创建了文学社团“创造社” 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A.鲁迅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B.周作人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C.茅盾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D.郁达夫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7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“多诈的人渺视学问，愚鲁的人羡慕学问，聪明的人运用学问”此句出自（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A.茅盾的《香市》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B.朱光潜的《选择与安排》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C.培根的《论学问》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D.梁实秋的《谈时间》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下面属于《论学问》一文提出的读书做学问的三种用途之一的是（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A.辩驳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B.信仰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C.体育锻炼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457708" cy="160036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708" cy="16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D.欧?亨利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https://d.book118.com/618043133132006040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618043133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