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F4C10">
      <w:pPr>
        <w:spacing w:line="360" w:lineRule="auto"/>
        <w:jc w:val="center"/>
        <w:rPr>
          <w:rFonts w:asciiTheme="minorEastAsia" w:eastAsiaTheme="minorEastAsia" w:hAnsiTheme="minorEastAsia" w:cstheme="minorEastAsia"/>
          <w:b/>
          <w:bCs/>
          <w:sz w:val="48"/>
          <w:szCs w:val="48"/>
          <w:u w:val="single"/>
        </w:rPr>
      </w:pPr>
      <w:bookmarkStart w:id="0" w:name="_GoBack"/>
      <w:bookmarkEnd w:id="0"/>
    </w:p>
    <w:p w:rsidR="00FF4C10">
      <w:pPr>
        <w:pStyle w:val="NormalIndent"/>
        <w:ind w:firstLine="0"/>
        <w:jc w:val="center"/>
        <w:rPr>
          <w:rFonts w:asciiTheme="minorEastAsia" w:eastAsiaTheme="minorEastAsia" w:hAnsiTheme="minorEastAsia" w:cstheme="minorEastAsia"/>
          <w:b/>
          <w:bCs/>
          <w:sz w:val="36"/>
          <w:szCs w:val="36"/>
        </w:rPr>
      </w:pPr>
      <w:r>
        <w:rPr>
          <w:rFonts w:asciiTheme="minorEastAsia" w:eastAsiaTheme="minorEastAsia" w:hAnsiTheme="minorEastAsia" w:cstheme="minorEastAsia" w:hint="eastAsia"/>
          <w:b/>
          <w:bCs/>
          <w:sz w:val="36"/>
          <w:szCs w:val="36"/>
        </w:rPr>
        <w:t>上虞中学86寸一体机采购项目</w:t>
      </w:r>
    </w:p>
    <w:p w:rsidR="00FF4C10">
      <w:pPr>
        <w:pStyle w:val="NormalIndent"/>
        <w:rPr>
          <w:rFonts w:asciiTheme="minorEastAsia" w:eastAsiaTheme="minorEastAsia" w:hAnsiTheme="minorEastAsia" w:cstheme="minorEastAsia"/>
          <w:b/>
          <w:bCs/>
          <w:sz w:val="44"/>
          <w:szCs w:val="44"/>
        </w:rPr>
      </w:pPr>
    </w:p>
    <w:p w:rsidR="00FF4C10">
      <w:pPr>
        <w:pStyle w:val="NormalIndent"/>
        <w:rPr>
          <w:rFonts w:asciiTheme="minorEastAsia" w:eastAsiaTheme="minorEastAsia" w:hAnsiTheme="minorEastAsia" w:cstheme="minorEastAsia"/>
          <w:b/>
          <w:bCs/>
          <w:sz w:val="44"/>
          <w:szCs w:val="44"/>
        </w:rPr>
      </w:pPr>
    </w:p>
    <w:p w:rsidR="00FF4C10">
      <w:pPr>
        <w:pStyle w:val="NormalIndent"/>
        <w:rPr>
          <w:rFonts w:asciiTheme="minorEastAsia" w:eastAsiaTheme="minorEastAsia" w:hAnsiTheme="minorEastAsia" w:cstheme="minorEastAsia"/>
          <w:b/>
          <w:bCs/>
          <w:sz w:val="44"/>
          <w:szCs w:val="44"/>
        </w:rPr>
      </w:pPr>
    </w:p>
    <w:p w:rsidR="00FF4C10">
      <w:pPr>
        <w:pStyle w:val="TOC4"/>
        <w:ind w:left="1200"/>
      </w:pPr>
    </w:p>
    <w:p w:rsidR="00FF4C10">
      <w:pPr>
        <w:pStyle w:val="NormalIndent"/>
        <w:rPr>
          <w:rFonts w:asciiTheme="minorEastAsia" w:eastAsiaTheme="minorEastAsia" w:hAnsiTheme="minorEastAsia" w:cstheme="minorEastAsia"/>
        </w:rPr>
      </w:pPr>
    </w:p>
    <w:p w:rsidR="00FF4C10">
      <w:pPr>
        <w:spacing w:line="360" w:lineRule="auto"/>
        <w:jc w:val="center"/>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72"/>
          <w:szCs w:val="72"/>
        </w:rPr>
        <w:t>询价文件</w:t>
      </w:r>
    </w:p>
    <w:p w:rsidR="00FF4C10">
      <w:pPr>
        <w:spacing w:line="360" w:lineRule="auto"/>
        <w:jc w:val="center"/>
        <w:rPr>
          <w:rFonts w:asciiTheme="minorEastAsia" w:eastAsiaTheme="minorEastAsia" w:hAnsiTheme="minorEastAsia" w:cstheme="minorEastAsia"/>
          <w:b/>
          <w:bCs/>
          <w:sz w:val="24"/>
          <w:szCs w:val="24"/>
        </w:rPr>
      </w:pPr>
    </w:p>
    <w:p w:rsidR="00FF4C10">
      <w:pPr>
        <w:snapToGrid w:val="0"/>
        <w:spacing w:line="360" w:lineRule="auto"/>
        <w:jc w:val="center"/>
        <w:rPr>
          <w:rFonts w:asciiTheme="minorEastAsia" w:eastAsiaTheme="minorEastAsia" w:hAnsiTheme="minorEastAsia" w:cstheme="minorEastAsia"/>
          <w:sz w:val="30"/>
          <w:szCs w:val="30"/>
        </w:rPr>
      </w:pPr>
      <w:r>
        <w:rPr>
          <w:rFonts w:asciiTheme="minorEastAsia" w:eastAsiaTheme="minorEastAsia" w:hAnsiTheme="minorEastAsia" w:cstheme="minorEastAsia" w:hint="eastAsia"/>
          <w:sz w:val="30"/>
          <w:szCs w:val="30"/>
        </w:rPr>
        <w:t>项目编号：XJ2023018</w:t>
      </w:r>
    </w:p>
    <w:p w:rsidR="00FF4C10">
      <w:pPr>
        <w:snapToGrid w:val="0"/>
        <w:spacing w:line="360" w:lineRule="auto"/>
        <w:ind w:firstLine="2301" w:firstLineChars="767"/>
        <w:jc w:val="left"/>
        <w:rPr>
          <w:rFonts w:asciiTheme="minorEastAsia" w:eastAsiaTheme="minorEastAsia" w:hAnsiTheme="minorEastAsia" w:cstheme="minorEastAsia"/>
          <w:sz w:val="30"/>
          <w:szCs w:val="30"/>
        </w:rPr>
      </w:pPr>
    </w:p>
    <w:p w:rsidR="00FF4C10">
      <w:pPr>
        <w:spacing w:line="360" w:lineRule="auto"/>
        <w:rPr>
          <w:rFonts w:asciiTheme="minorEastAsia" w:eastAsiaTheme="minorEastAsia" w:hAnsiTheme="minorEastAsia" w:cstheme="minorEastAsia"/>
          <w:sz w:val="28"/>
          <w:szCs w:val="28"/>
        </w:rPr>
      </w:pPr>
    </w:p>
    <w:p w:rsidR="00FF4C10">
      <w:pPr>
        <w:spacing w:line="360" w:lineRule="auto"/>
        <w:jc w:val="center"/>
        <w:rPr>
          <w:rFonts w:asciiTheme="minorEastAsia" w:eastAsiaTheme="minorEastAsia" w:hAnsiTheme="minorEastAsia" w:cstheme="minorEastAsia"/>
          <w:sz w:val="24"/>
          <w:szCs w:val="24"/>
        </w:rPr>
      </w:pPr>
    </w:p>
    <w:p w:rsidR="00FF4C10">
      <w:pPr>
        <w:spacing w:line="360" w:lineRule="auto"/>
        <w:jc w:val="center"/>
        <w:rPr>
          <w:rFonts w:asciiTheme="minorEastAsia" w:eastAsiaTheme="minorEastAsia" w:hAnsiTheme="minorEastAsia" w:cstheme="minorEastAsia"/>
          <w:sz w:val="24"/>
          <w:szCs w:val="24"/>
        </w:rPr>
      </w:pPr>
    </w:p>
    <w:p w:rsidR="00FF4C10">
      <w:pPr>
        <w:spacing w:line="360" w:lineRule="auto"/>
        <w:jc w:val="center"/>
        <w:rPr>
          <w:rFonts w:asciiTheme="minorEastAsia" w:eastAsiaTheme="minorEastAsia" w:hAnsiTheme="minorEastAsia" w:cstheme="minorEastAsia"/>
          <w:sz w:val="24"/>
          <w:szCs w:val="24"/>
        </w:rPr>
      </w:pPr>
    </w:p>
    <w:p w:rsidR="00FF4C10">
      <w:pPr>
        <w:spacing w:line="360" w:lineRule="auto"/>
        <w:jc w:val="center"/>
        <w:rPr>
          <w:rFonts w:asciiTheme="minorEastAsia" w:eastAsiaTheme="minorEastAsia" w:hAnsiTheme="minorEastAsia" w:cstheme="minorEastAsia"/>
          <w:sz w:val="24"/>
          <w:szCs w:val="24"/>
        </w:rPr>
      </w:pPr>
    </w:p>
    <w:p w:rsidR="00FF4C10">
      <w:pPr>
        <w:pStyle w:val="Heading2"/>
        <w:rPr>
          <w:rFonts w:asciiTheme="minorEastAsia" w:eastAsiaTheme="minorEastAsia" w:hAnsiTheme="minorEastAsia" w:cstheme="minorEastAsia"/>
          <w:sz w:val="24"/>
          <w:szCs w:val="24"/>
        </w:rPr>
      </w:pPr>
    </w:p>
    <w:p w:rsidR="00FF4C10">
      <w:pPr>
        <w:rPr>
          <w:rFonts w:asciiTheme="minorEastAsia" w:eastAsiaTheme="minorEastAsia" w:hAnsiTheme="minorEastAsia" w:cstheme="minorEastAsia"/>
          <w:sz w:val="24"/>
          <w:szCs w:val="24"/>
        </w:rPr>
      </w:pPr>
    </w:p>
    <w:p w:rsidR="00FF4C10">
      <w:pPr>
        <w:pStyle w:val="Heading2"/>
        <w:rPr>
          <w:rFonts w:asciiTheme="minorEastAsia" w:eastAsiaTheme="minorEastAsia" w:hAnsiTheme="minorEastAsia" w:cstheme="minorEastAsia"/>
        </w:rPr>
      </w:pPr>
    </w:p>
    <w:p w:rsidR="00FF4C10">
      <w:pPr>
        <w:spacing w:line="360" w:lineRule="auto"/>
        <w:jc w:val="center"/>
        <w:rPr>
          <w:rFonts w:asciiTheme="minorEastAsia" w:eastAsiaTheme="minorEastAsia" w:hAnsiTheme="minorEastAsia" w:cstheme="minorEastAsia"/>
          <w:sz w:val="24"/>
          <w:szCs w:val="24"/>
        </w:rPr>
      </w:pPr>
    </w:p>
    <w:p w:rsidR="00FF4C10">
      <w:pPr>
        <w:spacing w:line="360" w:lineRule="auto"/>
        <w:rPr>
          <w:rFonts w:asciiTheme="minorEastAsia" w:eastAsiaTheme="minorEastAsia" w:hAnsiTheme="minorEastAsia" w:cstheme="minorEastAsia"/>
          <w:sz w:val="24"/>
          <w:szCs w:val="24"/>
        </w:rPr>
      </w:pPr>
    </w:p>
    <w:p w:rsidR="00FF4C10">
      <w:pPr>
        <w:snapToGrid w:val="0"/>
        <w:spacing w:line="360" w:lineRule="auto"/>
        <w:jc w:val="center"/>
        <w:rPr>
          <w:rFonts w:asciiTheme="minorEastAsia" w:eastAsiaTheme="minorEastAsia" w:hAnsiTheme="minorEastAsia" w:cstheme="minorEastAsia"/>
          <w:u w:val="single"/>
        </w:rPr>
      </w:pPr>
      <w:r>
        <w:rPr>
          <w:rFonts w:asciiTheme="minorEastAsia" w:eastAsiaTheme="minorEastAsia" w:hAnsiTheme="minorEastAsia" w:cstheme="minorEastAsia" w:hint="eastAsia"/>
          <w:sz w:val="30"/>
          <w:szCs w:val="30"/>
        </w:rPr>
        <w:t>采购人：浙江省上虞中学</w:t>
      </w:r>
    </w:p>
    <w:p w:rsidR="00FF4C10">
      <w:pPr>
        <w:snapToGrid w:val="0"/>
        <w:spacing w:line="360" w:lineRule="auto"/>
        <w:jc w:val="center"/>
        <w:rPr>
          <w:rFonts w:asciiTheme="minorEastAsia" w:eastAsiaTheme="minorEastAsia" w:hAnsiTheme="minorEastAsia" w:cstheme="minorEastAsia"/>
          <w:sz w:val="30"/>
          <w:szCs w:val="30"/>
        </w:rPr>
      </w:pPr>
      <w:r>
        <w:rPr>
          <w:rFonts w:asciiTheme="minorEastAsia" w:eastAsiaTheme="minorEastAsia" w:hAnsiTheme="minorEastAsia" w:cstheme="minorEastAsia" w:hint="eastAsia"/>
          <w:sz w:val="30"/>
          <w:szCs w:val="30"/>
        </w:rPr>
        <w:t>采购代理机构：绍兴市上虞区公共资源交易中心</w:t>
      </w:r>
    </w:p>
    <w:p w:rsidR="00FF4C10">
      <w:pPr>
        <w:jc w:val="center"/>
        <w:rPr>
          <w:rFonts w:asciiTheme="minorEastAsia" w:eastAsiaTheme="minorEastAsia" w:hAnsiTheme="minorEastAsia" w:cstheme="minorEastAsia"/>
          <w:sz w:val="30"/>
          <w:szCs w:val="30"/>
        </w:rPr>
        <w:sectPr>
          <w:pgSz w:w="11906" w:h="16838"/>
          <w:pgMar w:top="1440" w:right="1700" w:bottom="1440" w:left="1800" w:header="851" w:footer="992" w:gutter="0"/>
          <w:cols w:space="425"/>
          <w:docGrid w:type="lines" w:linePitch="312"/>
        </w:sectPr>
      </w:pPr>
      <w:r>
        <w:rPr>
          <w:rFonts w:asciiTheme="minorEastAsia" w:eastAsiaTheme="minorEastAsia" w:hAnsiTheme="minorEastAsia" w:cstheme="minorEastAsia" w:hint="eastAsia"/>
          <w:sz w:val="30"/>
          <w:szCs w:val="30"/>
        </w:rPr>
        <w:t>二0二三年十二月</w:t>
      </w:r>
    </w:p>
    <w:p w:rsidR="00FF4C10">
      <w:pPr>
        <w:spacing w:line="360" w:lineRule="auto"/>
        <w:jc w:val="center"/>
        <w:rPr>
          <w:rFonts w:asciiTheme="minorEastAsia" w:eastAsiaTheme="minorEastAsia" w:hAnsiTheme="minorEastAsia" w:cstheme="minorEastAsia"/>
          <w:b/>
          <w:bCs/>
          <w:sz w:val="36"/>
          <w:szCs w:val="36"/>
        </w:rPr>
      </w:pPr>
      <w:r>
        <w:rPr>
          <w:rFonts w:asciiTheme="minorEastAsia" w:eastAsiaTheme="minorEastAsia" w:hAnsiTheme="minorEastAsia" w:cstheme="minorEastAsia" w:hint="eastAsia"/>
          <w:b/>
          <w:bCs/>
          <w:sz w:val="36"/>
          <w:szCs w:val="36"/>
        </w:rPr>
        <w:t>目 录</w:t>
      </w:r>
    </w:p>
    <w:p w:rsidR="00FF4C10">
      <w:pPr>
        <w:pStyle w:val="TOC1"/>
        <w:tabs>
          <w:tab w:val="right" w:leader="dot" w:pos="8306"/>
        </w:tabs>
        <w:spacing w:line="360" w:lineRule="auto"/>
        <w:rPr>
          <w:b/>
          <w:bCs/>
          <w:sz w:val="24"/>
          <w:szCs w:val="24"/>
        </w:rPr>
      </w:pPr>
      <w:r>
        <w:rPr>
          <w:rFonts w:asciiTheme="minorEastAsia" w:eastAsiaTheme="minorEastAsia" w:hAnsiTheme="minorEastAsia" w:cstheme="minorEastAsia" w:hint="eastAsia"/>
          <w:sz w:val="24"/>
          <w:szCs w:val="24"/>
        </w:rPr>
        <w:fldChar w:fldCharType="begin"/>
      </w:r>
      <w:r>
        <w:rPr>
          <w:rFonts w:asciiTheme="minorEastAsia" w:eastAsiaTheme="minorEastAsia" w:hAnsiTheme="minorEastAsia" w:cstheme="minorEastAsia" w:hint="eastAsia"/>
          <w:sz w:val="24"/>
          <w:szCs w:val="24"/>
        </w:rPr>
        <w:instrText xml:space="preserve">TOC \o "1-3" \h \u </w:instrText>
      </w:r>
      <w:r>
        <w:rPr>
          <w:rFonts w:asciiTheme="minorEastAsia" w:eastAsiaTheme="minorEastAsia" w:hAnsiTheme="minorEastAsia" w:cstheme="minorEastAsia" w:hint="eastAsia"/>
          <w:sz w:val="24"/>
          <w:szCs w:val="24"/>
        </w:rPr>
        <w:fldChar w:fldCharType="separate"/>
      </w:r>
      <w:hyperlink w:anchor="_Toc27192" w:history="1">
        <w:r>
          <w:rPr>
            <w:rFonts w:asciiTheme="minorEastAsia" w:eastAsiaTheme="minorEastAsia" w:hAnsiTheme="minorEastAsia" w:cstheme="minorEastAsia" w:hint="eastAsia"/>
            <w:b/>
            <w:bCs/>
            <w:sz w:val="24"/>
            <w:szCs w:val="24"/>
          </w:rPr>
          <w:t>第一部分  询价公告</w:t>
        </w:r>
        <w:r>
          <w:rPr>
            <w:b/>
            <w:bCs/>
            <w:sz w:val="24"/>
            <w:szCs w:val="24"/>
          </w:rPr>
          <w:tab/>
        </w:r>
        <w:r>
          <w:rPr>
            <w:b/>
            <w:bCs/>
            <w:sz w:val="24"/>
            <w:szCs w:val="24"/>
          </w:rPr>
          <w:fldChar w:fldCharType="begin"/>
        </w:r>
        <w:r>
          <w:rPr>
            <w:b/>
            <w:bCs/>
            <w:sz w:val="24"/>
            <w:szCs w:val="24"/>
          </w:rPr>
          <w:instrText xml:space="preserve"> PAGEREF _Toc27192 \h </w:instrText>
        </w:r>
        <w:r>
          <w:rPr>
            <w:b/>
            <w:bCs/>
            <w:sz w:val="24"/>
            <w:szCs w:val="24"/>
          </w:rPr>
          <w:fldChar w:fldCharType="separate"/>
        </w:r>
        <w:r>
          <w:rPr>
            <w:b/>
            <w:bCs/>
            <w:sz w:val="24"/>
            <w:szCs w:val="24"/>
          </w:rPr>
          <w:t>1</w:t>
        </w:r>
        <w:r>
          <w:rPr>
            <w:b/>
            <w:bCs/>
            <w:sz w:val="24"/>
            <w:szCs w:val="24"/>
          </w:rPr>
          <w:fldChar w:fldCharType="end"/>
        </w:r>
      </w:hyperlink>
    </w:p>
    <w:p w:rsidR="00FF4C10">
      <w:pPr>
        <w:pStyle w:val="TOC1"/>
        <w:tabs>
          <w:tab w:val="right" w:leader="dot" w:pos="8306"/>
        </w:tabs>
        <w:spacing w:line="360" w:lineRule="auto"/>
        <w:rPr>
          <w:b/>
          <w:bCs/>
          <w:sz w:val="24"/>
          <w:szCs w:val="24"/>
        </w:rPr>
      </w:pPr>
      <w:hyperlink w:anchor="_Toc9942" w:history="1">
        <w:r w:rsidR="008E4E0E">
          <w:rPr>
            <w:rFonts w:asciiTheme="minorEastAsia" w:eastAsiaTheme="minorEastAsia" w:hAnsiTheme="minorEastAsia" w:cstheme="minorEastAsia" w:hint="eastAsia"/>
            <w:b/>
            <w:bCs/>
            <w:sz w:val="24"/>
            <w:szCs w:val="24"/>
          </w:rPr>
          <w:t>第二部分  供应商须知</w:t>
        </w:r>
        <w:r w:rsidR="008E4E0E">
          <w:rPr>
            <w:b/>
            <w:bCs/>
            <w:sz w:val="24"/>
            <w:szCs w:val="24"/>
          </w:rPr>
          <w:tab/>
        </w:r>
        <w:r w:rsidR="008E4E0E">
          <w:rPr>
            <w:b/>
            <w:bCs/>
            <w:sz w:val="24"/>
            <w:szCs w:val="24"/>
          </w:rPr>
          <w:fldChar w:fldCharType="begin"/>
        </w:r>
        <w:r w:rsidR="008E4E0E">
          <w:rPr>
            <w:b/>
            <w:bCs/>
            <w:sz w:val="24"/>
            <w:szCs w:val="24"/>
          </w:rPr>
          <w:instrText xml:space="preserve"> PAGEREF _Toc9942 \h </w:instrText>
        </w:r>
        <w:r w:rsidR="008E4E0E">
          <w:rPr>
            <w:b/>
            <w:bCs/>
            <w:sz w:val="24"/>
            <w:szCs w:val="24"/>
          </w:rPr>
          <w:fldChar w:fldCharType="separate"/>
        </w:r>
        <w:r w:rsidR="008E4E0E">
          <w:rPr>
            <w:b/>
            <w:bCs/>
            <w:sz w:val="24"/>
            <w:szCs w:val="24"/>
          </w:rPr>
          <w:t>5</w:t>
        </w:r>
        <w:r w:rsidR="008E4E0E">
          <w:rPr>
            <w:b/>
            <w:bCs/>
            <w:sz w:val="24"/>
            <w:szCs w:val="24"/>
          </w:rPr>
          <w:fldChar w:fldCharType="end"/>
        </w:r>
      </w:hyperlink>
    </w:p>
    <w:p w:rsidR="00FF4C10">
      <w:pPr>
        <w:pStyle w:val="TOC2"/>
        <w:tabs>
          <w:tab w:val="right" w:leader="dot" w:pos="8306"/>
        </w:tabs>
        <w:spacing w:line="360" w:lineRule="auto"/>
        <w:ind w:left="400"/>
        <w:rPr>
          <w:sz w:val="24"/>
          <w:szCs w:val="24"/>
        </w:rPr>
      </w:pPr>
      <w:hyperlink w:anchor="_Toc29099" w:history="1">
        <w:r w:rsidR="008E4E0E">
          <w:rPr>
            <w:rFonts w:asciiTheme="minorEastAsia" w:eastAsiaTheme="minorEastAsia" w:hAnsiTheme="minorEastAsia" w:cstheme="minorEastAsia" w:hint="eastAsia"/>
            <w:sz w:val="24"/>
            <w:szCs w:val="24"/>
          </w:rPr>
          <w:t>一、 总则</w:t>
        </w:r>
        <w:r w:rsidR="008E4E0E">
          <w:rPr>
            <w:sz w:val="24"/>
            <w:szCs w:val="24"/>
          </w:rPr>
          <w:tab/>
        </w:r>
        <w:r w:rsidR="008E4E0E">
          <w:rPr>
            <w:sz w:val="24"/>
            <w:szCs w:val="24"/>
          </w:rPr>
          <w:fldChar w:fldCharType="begin"/>
        </w:r>
        <w:r w:rsidR="008E4E0E">
          <w:rPr>
            <w:sz w:val="24"/>
            <w:szCs w:val="24"/>
          </w:rPr>
          <w:instrText xml:space="preserve"> PAGEREF _Toc29099 \h </w:instrText>
        </w:r>
        <w:r w:rsidR="008E4E0E">
          <w:rPr>
            <w:sz w:val="24"/>
            <w:szCs w:val="24"/>
          </w:rPr>
          <w:fldChar w:fldCharType="separate"/>
        </w:r>
        <w:r w:rsidR="008E4E0E">
          <w:rPr>
            <w:sz w:val="24"/>
            <w:szCs w:val="24"/>
          </w:rPr>
          <w:t>9</w:t>
        </w:r>
        <w:r w:rsidR="008E4E0E">
          <w:rPr>
            <w:sz w:val="24"/>
            <w:szCs w:val="24"/>
          </w:rPr>
          <w:fldChar w:fldCharType="end"/>
        </w:r>
      </w:hyperlink>
    </w:p>
    <w:p w:rsidR="00FF4C10">
      <w:pPr>
        <w:pStyle w:val="TOC2"/>
        <w:tabs>
          <w:tab w:val="right" w:leader="dot" w:pos="8306"/>
        </w:tabs>
        <w:spacing w:line="360" w:lineRule="auto"/>
        <w:ind w:left="400"/>
        <w:rPr>
          <w:sz w:val="24"/>
          <w:szCs w:val="24"/>
        </w:rPr>
      </w:pPr>
      <w:hyperlink w:anchor="_Toc6863" w:history="1">
        <w:r w:rsidR="008E4E0E">
          <w:rPr>
            <w:rFonts w:asciiTheme="minorEastAsia" w:eastAsiaTheme="minorEastAsia" w:hAnsiTheme="minorEastAsia" w:cstheme="minorEastAsia" w:hint="eastAsia"/>
            <w:sz w:val="24"/>
            <w:szCs w:val="24"/>
          </w:rPr>
          <w:t>二、 询价文件</w:t>
        </w:r>
        <w:r w:rsidR="008E4E0E">
          <w:rPr>
            <w:sz w:val="24"/>
            <w:szCs w:val="24"/>
          </w:rPr>
          <w:tab/>
        </w:r>
        <w:r w:rsidR="008E4E0E">
          <w:rPr>
            <w:sz w:val="24"/>
            <w:szCs w:val="24"/>
          </w:rPr>
          <w:fldChar w:fldCharType="begin"/>
        </w:r>
        <w:r w:rsidR="008E4E0E">
          <w:rPr>
            <w:sz w:val="24"/>
            <w:szCs w:val="24"/>
          </w:rPr>
          <w:instrText xml:space="preserve"> PAGEREF _Toc6863 \h </w:instrText>
        </w:r>
        <w:r w:rsidR="008E4E0E">
          <w:rPr>
            <w:sz w:val="24"/>
            <w:szCs w:val="24"/>
          </w:rPr>
          <w:fldChar w:fldCharType="separate"/>
        </w:r>
        <w:r w:rsidR="008E4E0E">
          <w:rPr>
            <w:sz w:val="24"/>
            <w:szCs w:val="24"/>
          </w:rPr>
          <w:t>9</w:t>
        </w:r>
        <w:r w:rsidR="008E4E0E">
          <w:rPr>
            <w:sz w:val="24"/>
            <w:szCs w:val="24"/>
          </w:rPr>
          <w:fldChar w:fldCharType="end"/>
        </w:r>
      </w:hyperlink>
    </w:p>
    <w:p w:rsidR="00FF4C10">
      <w:pPr>
        <w:pStyle w:val="TOC2"/>
        <w:tabs>
          <w:tab w:val="right" w:leader="dot" w:pos="8306"/>
        </w:tabs>
        <w:spacing w:line="360" w:lineRule="auto"/>
        <w:ind w:left="400"/>
        <w:rPr>
          <w:sz w:val="24"/>
          <w:szCs w:val="24"/>
        </w:rPr>
      </w:pPr>
      <w:hyperlink w:anchor="_Toc8042" w:history="1">
        <w:r w:rsidR="008E4E0E">
          <w:rPr>
            <w:rFonts w:asciiTheme="minorEastAsia" w:eastAsiaTheme="minorEastAsia" w:hAnsiTheme="minorEastAsia" w:cstheme="minorEastAsia" w:hint="eastAsia"/>
            <w:sz w:val="24"/>
            <w:szCs w:val="24"/>
          </w:rPr>
          <w:t>三、 询价响应文件的编写</w:t>
        </w:r>
        <w:r w:rsidR="008E4E0E">
          <w:rPr>
            <w:sz w:val="24"/>
            <w:szCs w:val="24"/>
          </w:rPr>
          <w:tab/>
        </w:r>
        <w:r w:rsidR="008E4E0E">
          <w:rPr>
            <w:sz w:val="24"/>
            <w:szCs w:val="24"/>
          </w:rPr>
          <w:fldChar w:fldCharType="begin"/>
        </w:r>
        <w:r w:rsidR="008E4E0E">
          <w:rPr>
            <w:sz w:val="24"/>
            <w:szCs w:val="24"/>
          </w:rPr>
          <w:instrText xml:space="preserve"> PAGEREF _Toc8042 \h </w:instrText>
        </w:r>
        <w:r w:rsidR="008E4E0E">
          <w:rPr>
            <w:sz w:val="24"/>
            <w:szCs w:val="24"/>
          </w:rPr>
          <w:fldChar w:fldCharType="separate"/>
        </w:r>
        <w:r w:rsidR="008E4E0E">
          <w:rPr>
            <w:sz w:val="24"/>
            <w:szCs w:val="24"/>
          </w:rPr>
          <w:t>10</w:t>
        </w:r>
        <w:r w:rsidR="008E4E0E">
          <w:rPr>
            <w:sz w:val="24"/>
            <w:szCs w:val="24"/>
          </w:rPr>
          <w:fldChar w:fldCharType="end"/>
        </w:r>
      </w:hyperlink>
    </w:p>
    <w:p w:rsidR="00FF4C10">
      <w:pPr>
        <w:pStyle w:val="TOC2"/>
        <w:tabs>
          <w:tab w:val="right" w:leader="dot" w:pos="8306"/>
        </w:tabs>
        <w:spacing w:line="360" w:lineRule="auto"/>
        <w:ind w:left="400"/>
        <w:rPr>
          <w:sz w:val="24"/>
          <w:szCs w:val="24"/>
        </w:rPr>
      </w:pPr>
      <w:hyperlink w:anchor="_Toc31407" w:history="1">
        <w:r w:rsidR="008E4E0E">
          <w:rPr>
            <w:rFonts w:asciiTheme="minorEastAsia" w:eastAsiaTheme="minorEastAsia" w:hAnsiTheme="minorEastAsia" w:cstheme="minorEastAsia" w:hint="eastAsia"/>
            <w:sz w:val="24"/>
            <w:szCs w:val="24"/>
          </w:rPr>
          <w:t>四、 响应文件的递交</w:t>
        </w:r>
        <w:r w:rsidR="008E4E0E">
          <w:rPr>
            <w:sz w:val="24"/>
            <w:szCs w:val="24"/>
          </w:rPr>
          <w:tab/>
        </w:r>
        <w:r w:rsidR="008E4E0E">
          <w:rPr>
            <w:sz w:val="24"/>
            <w:szCs w:val="24"/>
          </w:rPr>
          <w:fldChar w:fldCharType="begin"/>
        </w:r>
        <w:r w:rsidR="008E4E0E">
          <w:rPr>
            <w:sz w:val="24"/>
            <w:szCs w:val="24"/>
          </w:rPr>
          <w:instrText xml:space="preserve"> PAGEREF _Toc31407 \h </w:instrText>
        </w:r>
        <w:r w:rsidR="008E4E0E">
          <w:rPr>
            <w:sz w:val="24"/>
            <w:szCs w:val="24"/>
          </w:rPr>
          <w:fldChar w:fldCharType="separate"/>
        </w:r>
        <w:r w:rsidR="008E4E0E">
          <w:rPr>
            <w:sz w:val="24"/>
            <w:szCs w:val="24"/>
          </w:rPr>
          <w:t>13</w:t>
        </w:r>
        <w:r w:rsidR="008E4E0E">
          <w:rPr>
            <w:sz w:val="24"/>
            <w:szCs w:val="24"/>
          </w:rPr>
          <w:fldChar w:fldCharType="end"/>
        </w:r>
      </w:hyperlink>
    </w:p>
    <w:p w:rsidR="00FF4C10">
      <w:pPr>
        <w:pStyle w:val="TOC2"/>
        <w:tabs>
          <w:tab w:val="right" w:leader="dot" w:pos="8306"/>
        </w:tabs>
        <w:spacing w:line="360" w:lineRule="auto"/>
        <w:ind w:left="400"/>
        <w:rPr>
          <w:sz w:val="24"/>
          <w:szCs w:val="24"/>
        </w:rPr>
      </w:pPr>
      <w:hyperlink w:anchor="_Toc12814" w:history="1">
        <w:r w:rsidR="008E4E0E">
          <w:rPr>
            <w:rFonts w:asciiTheme="minorEastAsia" w:eastAsiaTheme="minorEastAsia" w:hAnsiTheme="minorEastAsia" w:cstheme="minorEastAsia" w:hint="eastAsia"/>
            <w:sz w:val="24"/>
            <w:szCs w:val="24"/>
          </w:rPr>
          <w:t>五、 询价无效的情形</w:t>
        </w:r>
        <w:r w:rsidR="008E4E0E">
          <w:rPr>
            <w:sz w:val="24"/>
            <w:szCs w:val="24"/>
          </w:rPr>
          <w:tab/>
        </w:r>
        <w:r w:rsidR="008E4E0E">
          <w:rPr>
            <w:sz w:val="24"/>
            <w:szCs w:val="24"/>
          </w:rPr>
          <w:fldChar w:fldCharType="begin"/>
        </w:r>
        <w:r w:rsidR="008E4E0E">
          <w:rPr>
            <w:sz w:val="24"/>
            <w:szCs w:val="24"/>
          </w:rPr>
          <w:instrText xml:space="preserve"> PAGEREF _Toc12814 \h </w:instrText>
        </w:r>
        <w:r w:rsidR="008E4E0E">
          <w:rPr>
            <w:sz w:val="24"/>
            <w:szCs w:val="24"/>
          </w:rPr>
          <w:fldChar w:fldCharType="separate"/>
        </w:r>
        <w:r w:rsidR="008E4E0E">
          <w:rPr>
            <w:sz w:val="24"/>
            <w:szCs w:val="24"/>
          </w:rPr>
          <w:t>13</w:t>
        </w:r>
        <w:r w:rsidR="008E4E0E">
          <w:rPr>
            <w:sz w:val="24"/>
            <w:szCs w:val="24"/>
          </w:rPr>
          <w:fldChar w:fldCharType="end"/>
        </w:r>
      </w:hyperlink>
    </w:p>
    <w:p w:rsidR="00FF4C10">
      <w:pPr>
        <w:pStyle w:val="TOC2"/>
        <w:tabs>
          <w:tab w:val="right" w:leader="dot" w:pos="8306"/>
        </w:tabs>
        <w:spacing w:line="360" w:lineRule="auto"/>
        <w:ind w:left="400"/>
        <w:rPr>
          <w:sz w:val="24"/>
          <w:szCs w:val="24"/>
        </w:rPr>
      </w:pPr>
      <w:hyperlink w:anchor="_Toc25371" w:history="1">
        <w:r w:rsidR="008E4E0E">
          <w:rPr>
            <w:rFonts w:asciiTheme="minorEastAsia" w:eastAsiaTheme="minorEastAsia" w:hAnsiTheme="minorEastAsia" w:cstheme="minorEastAsia" w:hint="eastAsia"/>
            <w:sz w:val="24"/>
            <w:szCs w:val="24"/>
          </w:rPr>
          <w:t>六、 采购中止的情形</w:t>
        </w:r>
        <w:r w:rsidR="008E4E0E">
          <w:rPr>
            <w:sz w:val="24"/>
            <w:szCs w:val="24"/>
          </w:rPr>
          <w:tab/>
        </w:r>
        <w:r w:rsidR="008E4E0E">
          <w:rPr>
            <w:sz w:val="24"/>
            <w:szCs w:val="24"/>
          </w:rPr>
          <w:fldChar w:fldCharType="begin"/>
        </w:r>
        <w:r w:rsidR="008E4E0E">
          <w:rPr>
            <w:sz w:val="24"/>
            <w:szCs w:val="24"/>
          </w:rPr>
          <w:instrText xml:space="preserve"> PAGEREF _Toc25371 \h </w:instrText>
        </w:r>
        <w:r w:rsidR="008E4E0E">
          <w:rPr>
            <w:sz w:val="24"/>
            <w:szCs w:val="24"/>
          </w:rPr>
          <w:fldChar w:fldCharType="separate"/>
        </w:r>
        <w:r w:rsidR="008E4E0E">
          <w:rPr>
            <w:sz w:val="24"/>
            <w:szCs w:val="24"/>
          </w:rPr>
          <w:t>14</w:t>
        </w:r>
        <w:r w:rsidR="008E4E0E">
          <w:rPr>
            <w:sz w:val="24"/>
            <w:szCs w:val="24"/>
          </w:rPr>
          <w:fldChar w:fldCharType="end"/>
        </w:r>
      </w:hyperlink>
    </w:p>
    <w:p w:rsidR="00FF4C10">
      <w:pPr>
        <w:pStyle w:val="TOC2"/>
        <w:tabs>
          <w:tab w:val="right" w:leader="dot" w:pos="8306"/>
        </w:tabs>
        <w:spacing w:line="360" w:lineRule="auto"/>
        <w:ind w:left="400"/>
        <w:rPr>
          <w:sz w:val="24"/>
          <w:szCs w:val="24"/>
        </w:rPr>
      </w:pPr>
      <w:hyperlink w:anchor="_Toc29289" w:history="1">
        <w:r w:rsidR="008E4E0E">
          <w:rPr>
            <w:rFonts w:asciiTheme="minorEastAsia" w:eastAsiaTheme="minorEastAsia" w:hAnsiTheme="minorEastAsia" w:cstheme="minorEastAsia" w:hint="eastAsia"/>
            <w:sz w:val="24"/>
            <w:szCs w:val="24"/>
          </w:rPr>
          <w:t>七、 授予合同</w:t>
        </w:r>
        <w:r w:rsidR="008E4E0E">
          <w:rPr>
            <w:sz w:val="24"/>
            <w:szCs w:val="24"/>
          </w:rPr>
          <w:tab/>
        </w:r>
        <w:r w:rsidR="008E4E0E">
          <w:rPr>
            <w:sz w:val="24"/>
            <w:szCs w:val="24"/>
          </w:rPr>
          <w:fldChar w:fldCharType="begin"/>
        </w:r>
        <w:r w:rsidR="008E4E0E">
          <w:rPr>
            <w:sz w:val="24"/>
            <w:szCs w:val="24"/>
          </w:rPr>
          <w:instrText xml:space="preserve"> PAGEREF _Toc29289 \h </w:instrText>
        </w:r>
        <w:r w:rsidR="008E4E0E">
          <w:rPr>
            <w:sz w:val="24"/>
            <w:szCs w:val="24"/>
          </w:rPr>
          <w:fldChar w:fldCharType="separate"/>
        </w:r>
        <w:r w:rsidR="008E4E0E">
          <w:rPr>
            <w:sz w:val="24"/>
            <w:szCs w:val="24"/>
          </w:rPr>
          <w:t>15</w:t>
        </w:r>
        <w:r w:rsidR="008E4E0E">
          <w:rPr>
            <w:sz w:val="24"/>
            <w:szCs w:val="24"/>
          </w:rPr>
          <w:fldChar w:fldCharType="end"/>
        </w:r>
      </w:hyperlink>
    </w:p>
    <w:p w:rsidR="00FF4C10">
      <w:pPr>
        <w:pStyle w:val="TOC1"/>
        <w:tabs>
          <w:tab w:val="right" w:leader="dot" w:pos="8306"/>
        </w:tabs>
        <w:spacing w:line="360" w:lineRule="auto"/>
        <w:rPr>
          <w:rFonts w:asciiTheme="minorEastAsia" w:eastAsiaTheme="minorEastAsia" w:hAnsiTheme="minorEastAsia" w:cstheme="minorEastAsia"/>
          <w:b/>
          <w:bCs/>
          <w:sz w:val="24"/>
          <w:szCs w:val="24"/>
        </w:rPr>
      </w:pPr>
      <w:hyperlink w:anchor="_Toc9553" w:history="1">
        <w:r w:rsidR="008E4E0E">
          <w:rPr>
            <w:rFonts w:asciiTheme="minorEastAsia" w:eastAsiaTheme="minorEastAsia" w:hAnsiTheme="minorEastAsia" w:cstheme="minorEastAsia" w:hint="eastAsia"/>
            <w:b/>
            <w:bCs/>
            <w:sz w:val="24"/>
            <w:szCs w:val="24"/>
          </w:rPr>
          <w:t>第三部分  采购内容及要求</w:t>
        </w:r>
        <w:r w:rsidR="008E4E0E">
          <w:rPr>
            <w:rFonts w:asciiTheme="minorEastAsia" w:eastAsiaTheme="minorEastAsia" w:hAnsiTheme="minorEastAsia" w:cstheme="minorEastAsia" w:hint="eastAsia"/>
            <w:b/>
            <w:bCs/>
            <w:sz w:val="24"/>
            <w:szCs w:val="24"/>
          </w:rPr>
          <w:tab/>
        </w:r>
        <w:r w:rsidR="008E4E0E">
          <w:rPr>
            <w:rFonts w:asciiTheme="minorEastAsia" w:eastAsiaTheme="minorEastAsia" w:hAnsiTheme="minorEastAsia" w:cstheme="minorEastAsia" w:hint="eastAsia"/>
            <w:b/>
            <w:bCs/>
            <w:sz w:val="24"/>
            <w:szCs w:val="24"/>
          </w:rPr>
          <w:fldChar w:fldCharType="begin"/>
        </w:r>
        <w:r w:rsidR="008E4E0E">
          <w:rPr>
            <w:rFonts w:asciiTheme="minorEastAsia" w:eastAsiaTheme="minorEastAsia" w:hAnsiTheme="minorEastAsia" w:cstheme="minorEastAsia" w:hint="eastAsia"/>
            <w:b/>
            <w:bCs/>
            <w:sz w:val="24"/>
            <w:szCs w:val="24"/>
          </w:rPr>
          <w:instrText xml:space="preserve"> PAGEREF _Toc9553 \h </w:instrText>
        </w:r>
        <w:r w:rsidR="008E4E0E">
          <w:rPr>
            <w:rFonts w:asciiTheme="minorEastAsia" w:eastAsiaTheme="minorEastAsia" w:hAnsiTheme="minorEastAsia" w:cstheme="minorEastAsia" w:hint="eastAsia"/>
            <w:b/>
            <w:bCs/>
            <w:sz w:val="24"/>
            <w:szCs w:val="24"/>
          </w:rPr>
          <w:fldChar w:fldCharType="separate"/>
        </w:r>
        <w:r w:rsidR="008E4E0E">
          <w:rPr>
            <w:rFonts w:asciiTheme="minorEastAsia" w:eastAsiaTheme="minorEastAsia" w:hAnsiTheme="minorEastAsia" w:cstheme="minorEastAsia" w:hint="eastAsia"/>
            <w:b/>
            <w:bCs/>
            <w:sz w:val="24"/>
            <w:szCs w:val="24"/>
          </w:rPr>
          <w:t>16</w:t>
        </w:r>
        <w:r w:rsidR="008E4E0E">
          <w:rPr>
            <w:rFonts w:asciiTheme="minorEastAsia" w:eastAsiaTheme="minorEastAsia" w:hAnsiTheme="minorEastAsia" w:cstheme="minorEastAsia" w:hint="eastAsia"/>
            <w:b/>
            <w:bCs/>
            <w:sz w:val="24"/>
            <w:szCs w:val="24"/>
          </w:rPr>
          <w:fldChar w:fldCharType="end"/>
        </w:r>
      </w:hyperlink>
    </w:p>
    <w:p w:rsidR="00FF4C10">
      <w:pPr>
        <w:pStyle w:val="TOC2"/>
        <w:tabs>
          <w:tab w:val="right" w:leader="dot" w:pos="8306"/>
        </w:tabs>
        <w:spacing w:line="360" w:lineRule="auto"/>
        <w:ind w:left="400"/>
        <w:rPr>
          <w:sz w:val="24"/>
          <w:szCs w:val="24"/>
        </w:rPr>
      </w:pPr>
      <w:hyperlink w:anchor="_Toc20881" w:history="1">
        <w:r w:rsidR="008E4E0E">
          <w:rPr>
            <w:rFonts w:hAnsi="宋体" w:hint="eastAsia"/>
            <w:sz w:val="24"/>
            <w:szCs w:val="24"/>
          </w:rPr>
          <w:t>第一章　技术规范及要求</w:t>
        </w:r>
        <w:r w:rsidR="008E4E0E">
          <w:rPr>
            <w:sz w:val="24"/>
            <w:szCs w:val="24"/>
          </w:rPr>
          <w:tab/>
        </w:r>
        <w:r w:rsidR="008E4E0E">
          <w:rPr>
            <w:sz w:val="24"/>
            <w:szCs w:val="24"/>
          </w:rPr>
          <w:fldChar w:fldCharType="begin"/>
        </w:r>
        <w:r w:rsidR="008E4E0E">
          <w:rPr>
            <w:sz w:val="24"/>
            <w:szCs w:val="24"/>
          </w:rPr>
          <w:instrText xml:space="preserve"> PAGEREF _Toc20881 \h </w:instrText>
        </w:r>
        <w:r w:rsidR="008E4E0E">
          <w:rPr>
            <w:sz w:val="24"/>
            <w:szCs w:val="24"/>
          </w:rPr>
          <w:fldChar w:fldCharType="separate"/>
        </w:r>
        <w:r w:rsidR="008E4E0E">
          <w:rPr>
            <w:sz w:val="24"/>
            <w:szCs w:val="24"/>
          </w:rPr>
          <w:t>16</w:t>
        </w:r>
        <w:r w:rsidR="008E4E0E">
          <w:rPr>
            <w:sz w:val="24"/>
            <w:szCs w:val="24"/>
          </w:rPr>
          <w:fldChar w:fldCharType="end"/>
        </w:r>
      </w:hyperlink>
    </w:p>
    <w:p w:rsidR="00FF4C10">
      <w:pPr>
        <w:pStyle w:val="TOC2"/>
        <w:tabs>
          <w:tab w:val="right" w:leader="dot" w:pos="8306"/>
        </w:tabs>
        <w:spacing w:line="360" w:lineRule="auto"/>
        <w:ind w:left="400"/>
        <w:rPr>
          <w:sz w:val="24"/>
          <w:szCs w:val="24"/>
        </w:rPr>
      </w:pPr>
      <w:hyperlink w:anchor="_Toc1949" w:history="1">
        <w:r w:rsidR="008E4E0E">
          <w:rPr>
            <w:rFonts w:hAnsi="宋体" w:hint="eastAsia"/>
            <w:sz w:val="24"/>
            <w:szCs w:val="24"/>
          </w:rPr>
          <w:t>第二章</w:t>
        </w:r>
        <w:r w:rsidR="008E4E0E">
          <w:rPr>
            <w:rFonts w:hAnsi="宋体" w:hint="eastAsia"/>
            <w:sz w:val="24"/>
            <w:szCs w:val="24"/>
          </w:rPr>
          <w:t xml:space="preserve"> </w:t>
        </w:r>
        <w:r w:rsidR="008E4E0E">
          <w:rPr>
            <w:rFonts w:hAnsi="宋体" w:hint="eastAsia"/>
            <w:sz w:val="24"/>
            <w:szCs w:val="24"/>
          </w:rPr>
          <w:t>主要参数及要求</w:t>
        </w:r>
        <w:r w:rsidR="008E4E0E">
          <w:rPr>
            <w:sz w:val="24"/>
            <w:szCs w:val="24"/>
          </w:rPr>
          <w:tab/>
        </w:r>
        <w:r w:rsidR="008E4E0E">
          <w:rPr>
            <w:rFonts w:hint="eastAsia"/>
            <w:sz w:val="24"/>
            <w:szCs w:val="24"/>
          </w:rPr>
          <w:t>1</w:t>
        </w:r>
      </w:hyperlink>
      <w:r w:rsidR="008E4E0E">
        <w:rPr>
          <w:rFonts w:hint="eastAsia"/>
          <w:sz w:val="24"/>
          <w:szCs w:val="24"/>
        </w:rPr>
        <w:t>7</w:t>
      </w:r>
    </w:p>
    <w:p w:rsidR="00FF4C10">
      <w:pPr>
        <w:pStyle w:val="TOC2"/>
        <w:tabs>
          <w:tab w:val="right" w:leader="dot" w:pos="8306"/>
        </w:tabs>
        <w:spacing w:line="360" w:lineRule="auto"/>
        <w:ind w:left="400"/>
        <w:rPr>
          <w:sz w:val="24"/>
          <w:szCs w:val="24"/>
        </w:rPr>
      </w:pPr>
      <w:hyperlink w:anchor="_Toc22532" w:history="1">
        <w:r w:rsidR="008E4E0E">
          <w:rPr>
            <w:rFonts w:hint="eastAsia"/>
            <w:sz w:val="24"/>
            <w:szCs w:val="24"/>
          </w:rPr>
          <w:t>第三章</w:t>
        </w:r>
        <w:r w:rsidR="008E4E0E">
          <w:rPr>
            <w:rFonts w:hint="eastAsia"/>
            <w:sz w:val="24"/>
            <w:szCs w:val="24"/>
          </w:rPr>
          <w:t xml:space="preserve"> </w:t>
        </w:r>
        <w:r w:rsidR="008E4E0E">
          <w:rPr>
            <w:rFonts w:hint="eastAsia"/>
            <w:sz w:val="24"/>
            <w:szCs w:val="24"/>
          </w:rPr>
          <w:t>其他要求</w:t>
        </w:r>
        <w:r w:rsidR="008E4E0E">
          <w:rPr>
            <w:sz w:val="24"/>
            <w:szCs w:val="24"/>
          </w:rPr>
          <w:tab/>
        </w:r>
        <w:r w:rsidR="008E4E0E">
          <w:rPr>
            <w:rFonts w:hint="eastAsia"/>
            <w:sz w:val="24"/>
            <w:szCs w:val="24"/>
          </w:rPr>
          <w:t>1</w:t>
        </w:r>
      </w:hyperlink>
      <w:r w:rsidR="008E4E0E">
        <w:rPr>
          <w:rFonts w:hint="eastAsia"/>
          <w:sz w:val="24"/>
          <w:szCs w:val="24"/>
        </w:rPr>
        <w:t>9</w:t>
      </w:r>
    </w:p>
    <w:p w:rsidR="00FF4C10">
      <w:pPr>
        <w:pStyle w:val="TOC2"/>
        <w:tabs>
          <w:tab w:val="right" w:leader="dot" w:pos="8306"/>
        </w:tabs>
        <w:spacing w:line="360" w:lineRule="auto"/>
        <w:ind w:left="400"/>
        <w:rPr>
          <w:sz w:val="24"/>
          <w:szCs w:val="24"/>
        </w:rPr>
      </w:pPr>
      <w:hyperlink w:anchor="_Toc26202" w:history="1">
        <w:r w:rsidR="008E4E0E">
          <w:rPr>
            <w:rFonts w:hint="eastAsia"/>
            <w:sz w:val="24"/>
            <w:szCs w:val="24"/>
          </w:rPr>
          <w:t>第四章</w:t>
        </w:r>
        <w:r w:rsidR="008E4E0E">
          <w:rPr>
            <w:rFonts w:hint="eastAsia"/>
            <w:sz w:val="24"/>
            <w:szCs w:val="24"/>
          </w:rPr>
          <w:t xml:space="preserve"> </w:t>
        </w:r>
        <w:r w:rsidR="008E4E0E">
          <w:rPr>
            <w:rFonts w:hint="eastAsia"/>
            <w:sz w:val="24"/>
            <w:szCs w:val="24"/>
          </w:rPr>
          <w:t>付款方式及要求</w:t>
        </w:r>
        <w:r w:rsidR="008E4E0E">
          <w:rPr>
            <w:sz w:val="24"/>
            <w:szCs w:val="24"/>
          </w:rPr>
          <w:tab/>
        </w:r>
        <w:r w:rsidR="008E4E0E">
          <w:rPr>
            <w:sz w:val="24"/>
            <w:szCs w:val="24"/>
          </w:rPr>
          <w:fldChar w:fldCharType="begin"/>
        </w:r>
        <w:r w:rsidR="008E4E0E">
          <w:rPr>
            <w:sz w:val="24"/>
            <w:szCs w:val="24"/>
          </w:rPr>
          <w:instrText xml:space="preserve"> PAGEREF _Toc26202 \h </w:instrText>
        </w:r>
        <w:r w:rsidR="008E4E0E">
          <w:rPr>
            <w:sz w:val="24"/>
            <w:szCs w:val="24"/>
          </w:rPr>
          <w:fldChar w:fldCharType="separate"/>
        </w:r>
        <w:r w:rsidR="008E4E0E">
          <w:rPr>
            <w:sz w:val="24"/>
            <w:szCs w:val="24"/>
          </w:rPr>
          <w:t>27</w:t>
        </w:r>
        <w:r w:rsidR="008E4E0E">
          <w:rPr>
            <w:sz w:val="24"/>
            <w:szCs w:val="24"/>
          </w:rPr>
          <w:fldChar w:fldCharType="end"/>
        </w:r>
      </w:hyperlink>
    </w:p>
    <w:p w:rsidR="00FF4C10">
      <w:pPr>
        <w:pStyle w:val="TOC1"/>
        <w:tabs>
          <w:tab w:val="right" w:leader="dot" w:pos="8306"/>
        </w:tabs>
        <w:spacing w:line="360" w:lineRule="auto"/>
        <w:rPr>
          <w:rFonts w:asciiTheme="minorEastAsia" w:eastAsiaTheme="minorEastAsia" w:hAnsiTheme="minorEastAsia" w:cstheme="minorEastAsia"/>
          <w:b/>
          <w:bCs/>
          <w:sz w:val="24"/>
          <w:szCs w:val="24"/>
        </w:rPr>
      </w:pPr>
      <w:hyperlink w:anchor="_Toc30501" w:history="1">
        <w:r w:rsidR="008E4E0E">
          <w:rPr>
            <w:rFonts w:asciiTheme="minorEastAsia" w:eastAsiaTheme="minorEastAsia" w:hAnsiTheme="minorEastAsia" w:cstheme="minorEastAsia" w:hint="eastAsia"/>
            <w:b/>
            <w:bCs/>
            <w:sz w:val="24"/>
            <w:szCs w:val="24"/>
          </w:rPr>
          <w:t>第四部分  询价细则及询价方法</w:t>
        </w:r>
        <w:r w:rsidR="008E4E0E">
          <w:rPr>
            <w:rFonts w:asciiTheme="minorEastAsia" w:eastAsiaTheme="minorEastAsia" w:hAnsiTheme="minorEastAsia" w:cstheme="minorEastAsia" w:hint="eastAsia"/>
            <w:b/>
            <w:bCs/>
            <w:sz w:val="24"/>
            <w:szCs w:val="24"/>
          </w:rPr>
          <w:tab/>
        </w:r>
        <w:r w:rsidR="008E4E0E">
          <w:rPr>
            <w:rFonts w:asciiTheme="minorEastAsia" w:eastAsiaTheme="minorEastAsia" w:hAnsiTheme="minorEastAsia" w:cstheme="minorEastAsia" w:hint="eastAsia"/>
            <w:b/>
            <w:bCs/>
            <w:sz w:val="24"/>
            <w:szCs w:val="24"/>
          </w:rPr>
          <w:fldChar w:fldCharType="begin"/>
        </w:r>
        <w:r w:rsidR="008E4E0E">
          <w:rPr>
            <w:rFonts w:asciiTheme="minorEastAsia" w:eastAsiaTheme="minorEastAsia" w:hAnsiTheme="minorEastAsia" w:cstheme="minorEastAsia" w:hint="eastAsia"/>
            <w:b/>
            <w:bCs/>
            <w:sz w:val="24"/>
            <w:szCs w:val="24"/>
          </w:rPr>
          <w:instrText xml:space="preserve"> PAGEREF _Toc30501 \h </w:instrText>
        </w:r>
        <w:r w:rsidR="008E4E0E">
          <w:rPr>
            <w:rFonts w:asciiTheme="minorEastAsia" w:eastAsiaTheme="minorEastAsia" w:hAnsiTheme="minorEastAsia" w:cstheme="minorEastAsia" w:hint="eastAsia"/>
            <w:b/>
            <w:bCs/>
            <w:sz w:val="24"/>
            <w:szCs w:val="24"/>
          </w:rPr>
          <w:fldChar w:fldCharType="separate"/>
        </w:r>
        <w:r w:rsidR="008E4E0E">
          <w:rPr>
            <w:rFonts w:asciiTheme="minorEastAsia" w:eastAsiaTheme="minorEastAsia" w:hAnsiTheme="minorEastAsia" w:cstheme="minorEastAsia" w:hint="eastAsia"/>
            <w:b/>
            <w:bCs/>
            <w:sz w:val="24"/>
            <w:szCs w:val="24"/>
          </w:rPr>
          <w:t>8</w:t>
        </w:r>
        <w:r w:rsidR="008E4E0E">
          <w:rPr>
            <w:rFonts w:asciiTheme="minorEastAsia" w:eastAsiaTheme="minorEastAsia" w:hAnsiTheme="minorEastAsia" w:cstheme="minorEastAsia" w:hint="eastAsia"/>
            <w:b/>
            <w:bCs/>
            <w:sz w:val="24"/>
            <w:szCs w:val="24"/>
          </w:rPr>
          <w:fldChar w:fldCharType="end"/>
        </w:r>
      </w:hyperlink>
    </w:p>
    <w:p w:rsidR="00FF4C10">
      <w:pPr>
        <w:pStyle w:val="TOC2"/>
        <w:tabs>
          <w:tab w:val="right" w:leader="dot" w:pos="8306"/>
        </w:tabs>
        <w:spacing w:line="360" w:lineRule="auto"/>
        <w:ind w:left="400"/>
        <w:rPr>
          <w:sz w:val="24"/>
          <w:szCs w:val="24"/>
        </w:rPr>
      </w:pPr>
      <w:hyperlink w:anchor="_Toc8719" w:history="1">
        <w:r w:rsidR="008E4E0E">
          <w:rPr>
            <w:rFonts w:asciiTheme="minorEastAsia" w:eastAsiaTheme="minorEastAsia" w:hAnsiTheme="minorEastAsia" w:cstheme="minorEastAsia" w:hint="eastAsia"/>
            <w:sz w:val="24"/>
            <w:szCs w:val="24"/>
          </w:rPr>
          <w:t>一、 询价原则</w:t>
        </w:r>
        <w:r w:rsidR="008E4E0E">
          <w:rPr>
            <w:sz w:val="24"/>
            <w:szCs w:val="24"/>
          </w:rPr>
          <w:tab/>
        </w:r>
        <w:r w:rsidR="008E4E0E">
          <w:rPr>
            <w:sz w:val="24"/>
            <w:szCs w:val="24"/>
          </w:rPr>
          <w:fldChar w:fldCharType="begin"/>
        </w:r>
        <w:r w:rsidR="008E4E0E">
          <w:rPr>
            <w:sz w:val="24"/>
            <w:szCs w:val="24"/>
          </w:rPr>
          <w:instrText xml:space="preserve"> PAGEREF _Toc8719 \h </w:instrText>
        </w:r>
        <w:r w:rsidR="008E4E0E">
          <w:rPr>
            <w:sz w:val="24"/>
            <w:szCs w:val="24"/>
          </w:rPr>
          <w:fldChar w:fldCharType="separate"/>
        </w:r>
        <w:r w:rsidR="008E4E0E">
          <w:rPr>
            <w:sz w:val="24"/>
            <w:szCs w:val="24"/>
          </w:rPr>
          <w:t>8</w:t>
        </w:r>
        <w:r w:rsidR="008E4E0E">
          <w:rPr>
            <w:sz w:val="24"/>
            <w:szCs w:val="24"/>
          </w:rPr>
          <w:fldChar w:fldCharType="end"/>
        </w:r>
      </w:hyperlink>
    </w:p>
    <w:p w:rsidR="00FF4C10">
      <w:pPr>
        <w:pStyle w:val="TOC2"/>
        <w:tabs>
          <w:tab w:val="right" w:leader="dot" w:pos="8306"/>
        </w:tabs>
        <w:spacing w:line="360" w:lineRule="auto"/>
        <w:ind w:left="400"/>
        <w:rPr>
          <w:sz w:val="24"/>
          <w:szCs w:val="24"/>
        </w:rPr>
      </w:pPr>
      <w:hyperlink w:anchor="_Toc5985" w:history="1">
        <w:r w:rsidR="008E4E0E">
          <w:rPr>
            <w:rFonts w:asciiTheme="minorEastAsia" w:eastAsiaTheme="minorEastAsia" w:hAnsiTheme="minorEastAsia" w:cstheme="minorEastAsia" w:hint="eastAsia"/>
            <w:sz w:val="24"/>
            <w:szCs w:val="24"/>
          </w:rPr>
          <w:t>二、 询价程序</w:t>
        </w:r>
        <w:r w:rsidR="008E4E0E">
          <w:rPr>
            <w:sz w:val="24"/>
            <w:szCs w:val="24"/>
          </w:rPr>
          <w:tab/>
        </w:r>
        <w:r w:rsidR="008E4E0E">
          <w:rPr>
            <w:sz w:val="24"/>
            <w:szCs w:val="24"/>
          </w:rPr>
          <w:fldChar w:fldCharType="begin"/>
        </w:r>
        <w:r w:rsidR="008E4E0E">
          <w:rPr>
            <w:sz w:val="24"/>
            <w:szCs w:val="24"/>
          </w:rPr>
          <w:instrText xml:space="preserve"> PAGEREF _Toc5985 \h </w:instrText>
        </w:r>
        <w:r w:rsidR="008E4E0E">
          <w:rPr>
            <w:sz w:val="24"/>
            <w:szCs w:val="24"/>
          </w:rPr>
          <w:fldChar w:fldCharType="separate"/>
        </w:r>
        <w:r w:rsidR="008E4E0E">
          <w:rPr>
            <w:sz w:val="24"/>
            <w:szCs w:val="24"/>
          </w:rPr>
          <w:t>8</w:t>
        </w:r>
        <w:r w:rsidR="008E4E0E">
          <w:rPr>
            <w:sz w:val="24"/>
            <w:szCs w:val="24"/>
          </w:rPr>
          <w:fldChar w:fldCharType="end"/>
        </w:r>
      </w:hyperlink>
    </w:p>
    <w:p w:rsidR="00FF4C10">
      <w:pPr>
        <w:pStyle w:val="TOC2"/>
        <w:tabs>
          <w:tab w:val="right" w:leader="dot" w:pos="8306"/>
        </w:tabs>
        <w:spacing w:line="360" w:lineRule="auto"/>
        <w:ind w:left="400"/>
        <w:rPr>
          <w:sz w:val="24"/>
          <w:szCs w:val="24"/>
        </w:rPr>
      </w:pPr>
      <w:hyperlink w:anchor="_Toc27499" w:history="1">
        <w:r w:rsidR="008E4E0E">
          <w:rPr>
            <w:rFonts w:asciiTheme="minorEastAsia" w:eastAsiaTheme="minorEastAsia" w:hAnsiTheme="minorEastAsia" w:cstheme="minorEastAsia" w:hint="eastAsia"/>
            <w:sz w:val="24"/>
            <w:szCs w:val="24"/>
          </w:rPr>
          <w:t>三、 注意事项</w:t>
        </w:r>
        <w:r w:rsidR="008E4E0E">
          <w:rPr>
            <w:sz w:val="24"/>
            <w:szCs w:val="24"/>
          </w:rPr>
          <w:tab/>
        </w:r>
        <w:r w:rsidR="008E4E0E">
          <w:rPr>
            <w:sz w:val="24"/>
            <w:szCs w:val="24"/>
          </w:rPr>
          <w:fldChar w:fldCharType="begin"/>
        </w:r>
        <w:r w:rsidR="008E4E0E">
          <w:rPr>
            <w:sz w:val="24"/>
            <w:szCs w:val="24"/>
          </w:rPr>
          <w:instrText xml:space="preserve"> PAGEREF _Toc27499 \h </w:instrText>
        </w:r>
        <w:r w:rsidR="008E4E0E">
          <w:rPr>
            <w:sz w:val="24"/>
            <w:szCs w:val="24"/>
          </w:rPr>
          <w:fldChar w:fldCharType="separate"/>
        </w:r>
        <w:r w:rsidR="008E4E0E">
          <w:rPr>
            <w:sz w:val="24"/>
            <w:szCs w:val="24"/>
          </w:rPr>
          <w:t>10</w:t>
        </w:r>
        <w:r w:rsidR="008E4E0E">
          <w:rPr>
            <w:sz w:val="24"/>
            <w:szCs w:val="24"/>
          </w:rPr>
          <w:fldChar w:fldCharType="end"/>
        </w:r>
      </w:hyperlink>
    </w:p>
    <w:p w:rsidR="00FF4C10">
      <w:pPr>
        <w:pStyle w:val="TOC2"/>
        <w:tabs>
          <w:tab w:val="right" w:leader="dot" w:pos="8306"/>
        </w:tabs>
        <w:spacing w:line="360" w:lineRule="auto"/>
        <w:ind w:left="400"/>
        <w:rPr>
          <w:sz w:val="24"/>
          <w:szCs w:val="24"/>
        </w:rPr>
      </w:pPr>
      <w:hyperlink w:anchor="_Toc20669" w:history="1">
        <w:r w:rsidR="008E4E0E">
          <w:rPr>
            <w:rFonts w:asciiTheme="minorEastAsia" w:eastAsiaTheme="minorEastAsia" w:hAnsiTheme="minorEastAsia" w:cstheme="minorEastAsia" w:hint="eastAsia"/>
            <w:sz w:val="24"/>
            <w:szCs w:val="24"/>
          </w:rPr>
          <w:t>四、 评分细则</w:t>
        </w:r>
        <w:r w:rsidR="008E4E0E">
          <w:rPr>
            <w:sz w:val="24"/>
            <w:szCs w:val="24"/>
          </w:rPr>
          <w:tab/>
        </w:r>
        <w:r w:rsidR="008E4E0E">
          <w:rPr>
            <w:sz w:val="24"/>
            <w:szCs w:val="24"/>
          </w:rPr>
          <w:fldChar w:fldCharType="begin"/>
        </w:r>
        <w:r w:rsidR="008E4E0E">
          <w:rPr>
            <w:sz w:val="24"/>
            <w:szCs w:val="24"/>
          </w:rPr>
          <w:instrText xml:space="preserve"> PAGEREF _Toc20669 \h </w:instrText>
        </w:r>
        <w:r w:rsidR="008E4E0E">
          <w:rPr>
            <w:sz w:val="24"/>
            <w:szCs w:val="24"/>
          </w:rPr>
          <w:fldChar w:fldCharType="separate"/>
        </w:r>
        <w:r w:rsidR="008E4E0E">
          <w:rPr>
            <w:sz w:val="24"/>
            <w:szCs w:val="24"/>
          </w:rPr>
          <w:t>10</w:t>
        </w:r>
        <w:r w:rsidR="008E4E0E">
          <w:rPr>
            <w:sz w:val="24"/>
            <w:szCs w:val="24"/>
          </w:rPr>
          <w:fldChar w:fldCharType="end"/>
        </w:r>
      </w:hyperlink>
    </w:p>
    <w:p w:rsidR="00FF4C10">
      <w:pPr>
        <w:pStyle w:val="TOC1"/>
        <w:tabs>
          <w:tab w:val="right" w:leader="dot" w:pos="8306"/>
        </w:tabs>
        <w:spacing w:line="360" w:lineRule="auto"/>
        <w:rPr>
          <w:b/>
          <w:bCs/>
          <w:sz w:val="24"/>
          <w:szCs w:val="24"/>
        </w:rPr>
      </w:pPr>
      <w:hyperlink w:anchor="_Toc17452" w:history="1">
        <w:r w:rsidR="008E4E0E">
          <w:rPr>
            <w:rFonts w:asciiTheme="minorEastAsia" w:eastAsiaTheme="minorEastAsia" w:hAnsiTheme="minorEastAsia" w:cstheme="minorEastAsia" w:hint="eastAsia"/>
            <w:b/>
            <w:bCs/>
            <w:sz w:val="24"/>
            <w:szCs w:val="24"/>
          </w:rPr>
          <w:t>第五部分  采购合同</w:t>
        </w:r>
        <w:r w:rsidR="008E4E0E">
          <w:rPr>
            <w:b/>
            <w:bCs/>
            <w:sz w:val="24"/>
            <w:szCs w:val="24"/>
          </w:rPr>
          <w:tab/>
        </w:r>
        <w:r w:rsidR="008E4E0E">
          <w:rPr>
            <w:b/>
            <w:bCs/>
            <w:sz w:val="24"/>
            <w:szCs w:val="24"/>
          </w:rPr>
          <w:fldChar w:fldCharType="begin"/>
        </w:r>
        <w:r w:rsidR="008E4E0E">
          <w:rPr>
            <w:b/>
            <w:bCs/>
            <w:sz w:val="24"/>
            <w:szCs w:val="24"/>
          </w:rPr>
          <w:instrText xml:space="preserve"> PAGEREF _Toc17452 \h </w:instrText>
        </w:r>
        <w:r w:rsidR="008E4E0E">
          <w:rPr>
            <w:b/>
            <w:bCs/>
            <w:sz w:val="24"/>
            <w:szCs w:val="24"/>
          </w:rPr>
          <w:fldChar w:fldCharType="separate"/>
        </w:r>
        <w:r w:rsidR="008E4E0E">
          <w:rPr>
            <w:b/>
            <w:bCs/>
            <w:sz w:val="24"/>
            <w:szCs w:val="24"/>
          </w:rPr>
          <w:t>13</w:t>
        </w:r>
        <w:r w:rsidR="008E4E0E">
          <w:rPr>
            <w:b/>
            <w:bCs/>
            <w:sz w:val="24"/>
            <w:szCs w:val="24"/>
          </w:rPr>
          <w:fldChar w:fldCharType="end"/>
        </w:r>
      </w:hyperlink>
    </w:p>
    <w:p w:rsidR="00FF4C10">
      <w:pPr>
        <w:pStyle w:val="TOC1"/>
        <w:tabs>
          <w:tab w:val="right" w:leader="dot" w:pos="8306"/>
        </w:tabs>
        <w:spacing w:line="360" w:lineRule="auto"/>
        <w:rPr>
          <w:b/>
          <w:bCs/>
          <w:sz w:val="24"/>
          <w:szCs w:val="24"/>
        </w:rPr>
      </w:pPr>
      <w:hyperlink w:anchor="_Toc5599" w:history="1">
        <w:r w:rsidR="008E4E0E">
          <w:rPr>
            <w:rFonts w:asciiTheme="minorEastAsia" w:eastAsiaTheme="minorEastAsia" w:hAnsiTheme="minorEastAsia" w:cstheme="minorEastAsia" w:hint="eastAsia"/>
            <w:b/>
            <w:bCs/>
            <w:sz w:val="24"/>
            <w:szCs w:val="24"/>
          </w:rPr>
          <w:t>第六部分  应提交的有关格式范例</w:t>
        </w:r>
        <w:r w:rsidR="008E4E0E">
          <w:rPr>
            <w:b/>
            <w:bCs/>
            <w:sz w:val="24"/>
            <w:szCs w:val="24"/>
          </w:rPr>
          <w:tab/>
        </w:r>
        <w:r w:rsidR="008E4E0E">
          <w:rPr>
            <w:b/>
            <w:bCs/>
            <w:sz w:val="24"/>
            <w:szCs w:val="24"/>
          </w:rPr>
          <w:fldChar w:fldCharType="begin"/>
        </w:r>
        <w:r w:rsidR="008E4E0E">
          <w:rPr>
            <w:b/>
            <w:bCs/>
            <w:sz w:val="24"/>
            <w:szCs w:val="24"/>
          </w:rPr>
          <w:instrText xml:space="preserve"> PAGEREF _Toc5599 \h </w:instrText>
        </w:r>
        <w:r w:rsidR="008E4E0E">
          <w:rPr>
            <w:b/>
            <w:bCs/>
            <w:sz w:val="24"/>
            <w:szCs w:val="24"/>
          </w:rPr>
          <w:fldChar w:fldCharType="separate"/>
        </w:r>
        <w:r w:rsidR="008E4E0E">
          <w:rPr>
            <w:b/>
            <w:bCs/>
            <w:sz w:val="24"/>
            <w:szCs w:val="24"/>
          </w:rPr>
          <w:t>17</w:t>
        </w:r>
        <w:r w:rsidR="008E4E0E">
          <w:rPr>
            <w:b/>
            <w:bCs/>
            <w:sz w:val="24"/>
            <w:szCs w:val="24"/>
          </w:rPr>
          <w:fldChar w:fldCharType="end"/>
        </w:r>
      </w:hyperlink>
    </w:p>
    <w:p w:rsidR="00FF4C10">
      <w:pPr>
        <w:pStyle w:val="Heading2"/>
        <w:spacing w:line="360" w:lineRule="auto"/>
        <w:rPr>
          <w:rFonts w:asciiTheme="minorEastAsia" w:eastAsiaTheme="minorEastAsia" w:hAnsiTheme="minorEastAsia" w:cstheme="minorEastAsia"/>
        </w:rPr>
      </w:pPr>
      <w:r>
        <w:rPr>
          <w:rFonts w:asciiTheme="minorEastAsia" w:eastAsiaTheme="minorEastAsia" w:hAnsiTheme="minorEastAsia" w:cstheme="minorEastAsia" w:hint="eastAsia"/>
          <w:sz w:val="24"/>
          <w:szCs w:val="24"/>
        </w:rPr>
        <w:fldChar w:fldCharType="end"/>
      </w:r>
    </w:p>
    <w:p w:rsidR="00FF4C10">
      <w:pPr>
        <w:rPr>
          <w:rFonts w:asciiTheme="minorEastAsia" w:eastAsiaTheme="minorEastAsia" w:hAnsiTheme="minorEastAsia" w:cstheme="minorEastAsia"/>
        </w:rPr>
      </w:pPr>
    </w:p>
    <w:p w:rsidR="00FF4C10">
      <w:pPr>
        <w:rPr>
          <w:rFonts w:asciiTheme="minorEastAsia" w:eastAsiaTheme="minorEastAsia" w:hAnsiTheme="minorEastAsia" w:cstheme="minorEastAsia"/>
        </w:rPr>
      </w:pPr>
    </w:p>
    <w:p w:rsidR="00FF4C10">
      <w:pPr>
        <w:rPr>
          <w:rFonts w:asciiTheme="minorEastAsia" w:eastAsiaTheme="minorEastAsia" w:hAnsiTheme="minorEastAsia" w:cstheme="minorEastAsia"/>
        </w:rPr>
      </w:pPr>
    </w:p>
    <w:p w:rsidR="00FF4C10">
      <w:pPr>
        <w:rPr>
          <w:rFonts w:asciiTheme="minorEastAsia" w:eastAsiaTheme="minorEastAsia" w:hAnsiTheme="minorEastAsia" w:cstheme="minorEastAsia"/>
        </w:rPr>
      </w:pPr>
    </w:p>
    <w:p w:rsidR="00FF4C10">
      <w:pPr>
        <w:tabs>
          <w:tab w:val="left" w:pos="3148"/>
        </w:tabs>
        <w:jc w:val="left"/>
        <w:rPr>
          <w:rFonts w:asciiTheme="minorEastAsia" w:eastAsiaTheme="minorEastAsia" w:hAnsiTheme="minorEastAsia" w:cstheme="minorEastAsia"/>
        </w:rPr>
        <w:sectPr>
          <w:footerReference w:type="default" r:id="rId6"/>
          <w:pgSz w:w="11906" w:h="16838"/>
          <w:pgMar w:top="1440" w:right="1800" w:bottom="1440" w:left="1800" w:header="851" w:footer="992" w:gutter="0"/>
          <w:pgNumType w:start="1"/>
          <w:cols w:space="425"/>
          <w:docGrid w:type="lines" w:linePitch="312"/>
        </w:sectPr>
      </w:pPr>
      <w:r>
        <w:rPr>
          <w:rFonts w:asciiTheme="minorEastAsia" w:eastAsiaTheme="minorEastAsia" w:hAnsiTheme="minorEastAsia" w:cstheme="minorEastAsia" w:hint="eastAsia"/>
        </w:rPr>
        <w:tab/>
      </w:r>
    </w:p>
    <w:p w:rsidR="00FF4C10">
      <w:pPr>
        <w:pStyle w:val="Heading1"/>
        <w:jc w:val="center"/>
        <w:rPr>
          <w:rFonts w:asciiTheme="minorEastAsia" w:eastAsiaTheme="minorEastAsia" w:hAnsiTheme="minorEastAsia" w:cstheme="minorEastAsia"/>
        </w:rPr>
      </w:pPr>
      <w:bookmarkStart w:id="1" w:name="_Toc32199"/>
      <w:bookmarkStart w:id="2" w:name="_Toc27192"/>
      <w:bookmarkStart w:id="3" w:name="_Toc31034"/>
      <w:bookmarkStart w:id="4" w:name="第二部分"/>
      <w:bookmarkStart w:id="5" w:name="_Toc91899870"/>
      <w:r>
        <w:rPr>
          <w:rFonts w:asciiTheme="minorEastAsia" w:eastAsiaTheme="minorEastAsia" w:hAnsiTheme="minorEastAsia" w:cstheme="minorEastAsia" w:hint="eastAsia"/>
          <w:sz w:val="36"/>
          <w:szCs w:val="36"/>
        </w:rPr>
        <w:t>第一部分询价公告</w:t>
      </w:r>
      <w:bookmarkEnd w:id="1"/>
      <w:bookmarkEnd w:id="2"/>
      <w:bookmarkEnd w:id="3"/>
    </w:p>
    <w:p w:rsidR="00FF4C10">
      <w:pPr>
        <w:adjustRightInd w:val="0"/>
        <w:spacing w:line="360" w:lineRule="auto"/>
        <w:jc w:val="cente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绍兴市上虞区公共资源交易中心关于浙江省上虞中学上虞中学86寸一体机采购项目的询价公告</w:t>
      </w:r>
    </w:p>
    <w:p w:rsidR="00FF4C10">
      <w:pPr>
        <w:adjustRightInd w:val="0"/>
        <w:spacing w:line="360" w:lineRule="auto"/>
        <w:jc w:val="cente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公告日期：2023年12月1日</w:t>
      </w:r>
    </w:p>
    <w:p w:rsidR="00FF4C10">
      <w:pPr>
        <w:adjustRightInd w:val="0"/>
        <w:spacing w:line="360"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根据《中华人民共和国政府采购法》等有关规定，绍兴市上虞区公共资源交易中心受浙江省上虞中学委托，现就上虞中学86寸一体机采购项目进行询价采购，欢迎国内合格的供应商参加本次采购活动。</w:t>
      </w:r>
    </w:p>
    <w:p w:rsidR="00FF4C10">
      <w:pPr>
        <w:adjustRightInd w:val="0"/>
        <w:spacing w:line="360"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一．项目编号：XJ2023018</w:t>
      </w:r>
    </w:p>
    <w:p w:rsidR="00FF4C10">
      <w:pPr>
        <w:adjustRightInd w:val="0"/>
        <w:spacing w:line="360"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 xml:space="preserve">二．采购组织类型：集中采购-询价 </w:t>
      </w:r>
    </w:p>
    <w:p w:rsidR="00FF4C10">
      <w:pPr>
        <w:adjustRightInd w:val="0"/>
        <w:spacing w:line="360"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三．项目概况:</w:t>
      </w:r>
    </w:p>
    <w:tbl>
      <w:tblPr>
        <w:tblStyle w:val="TableNormal"/>
        <w:tblW w:w="9607" w:type="dxa"/>
        <w:jc w:val="center"/>
        <w:tblBorders>
          <w:top w:val="single" w:sz="4" w:space="0" w:color="000000"/>
          <w:left w:val="single" w:sz="4" w:space="0" w:color="000000"/>
          <w:bottom w:val="single" w:sz="4" w:space="0" w:color="000000"/>
          <w:right w:val="single" w:sz="4" w:space="0" w:color="000000"/>
          <w:insideH w:val="single" w:sz="4" w:space="0" w:color="A6A6A6"/>
          <w:insideV w:val="single" w:sz="4" w:space="0" w:color="A6A6A6"/>
        </w:tblBorders>
        <w:tblLayout w:type="fixed"/>
        <w:tblLook w:val="04A0"/>
      </w:tblPr>
      <w:tblGrid>
        <w:gridCol w:w="558"/>
        <w:gridCol w:w="2552"/>
        <w:gridCol w:w="709"/>
        <w:gridCol w:w="709"/>
        <w:gridCol w:w="1246"/>
        <w:gridCol w:w="2439"/>
        <w:gridCol w:w="1394"/>
      </w:tblGrid>
      <w:tr>
        <w:tblPrEx>
          <w:tblW w:w="9607" w:type="dxa"/>
          <w:jc w:val="center"/>
          <w:tblBorders>
            <w:top w:val="single" w:sz="4" w:space="0" w:color="000000"/>
            <w:left w:val="single" w:sz="4" w:space="0" w:color="000000"/>
            <w:bottom w:val="single" w:sz="4" w:space="0" w:color="000000"/>
            <w:right w:val="single" w:sz="4" w:space="0" w:color="000000"/>
            <w:insideH w:val="single" w:sz="4" w:space="0" w:color="A6A6A6"/>
            <w:insideV w:val="single" w:sz="4" w:space="0" w:color="A6A6A6"/>
          </w:tblBorders>
          <w:tblLayout w:type="fixed"/>
          <w:tblLook w:val="04A0"/>
        </w:tblPrEx>
        <w:trPr>
          <w:trHeight w:val="977"/>
          <w:jc w:val="center"/>
        </w:trPr>
        <w:tc>
          <w:tcPr>
            <w:tcW w:w="558" w:type="dxa"/>
            <w:tcBorders>
              <w:top w:val="single" w:sz="4" w:space="0" w:color="000000"/>
            </w:tcBorders>
            <w:vAlign w:val="center"/>
          </w:tcPr>
          <w:p w:rsidR="00FF4C10">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序号</w:t>
            </w:r>
          </w:p>
        </w:tc>
        <w:tc>
          <w:tcPr>
            <w:tcW w:w="2552" w:type="dxa"/>
            <w:tcBorders>
              <w:top w:val="single" w:sz="4" w:space="0" w:color="000000"/>
            </w:tcBorders>
            <w:vAlign w:val="center"/>
          </w:tcPr>
          <w:p w:rsidR="00FF4C10">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项目名称</w:t>
            </w:r>
          </w:p>
        </w:tc>
        <w:tc>
          <w:tcPr>
            <w:tcW w:w="709" w:type="dxa"/>
            <w:tcBorders>
              <w:top w:val="single" w:sz="4" w:space="0" w:color="000000"/>
            </w:tcBorders>
            <w:vAlign w:val="center"/>
          </w:tcPr>
          <w:p w:rsidR="00FF4C10">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数量</w:t>
            </w:r>
          </w:p>
        </w:tc>
        <w:tc>
          <w:tcPr>
            <w:tcW w:w="709" w:type="dxa"/>
            <w:tcBorders>
              <w:top w:val="single" w:sz="4" w:space="0" w:color="000000"/>
            </w:tcBorders>
            <w:vAlign w:val="center"/>
          </w:tcPr>
          <w:p w:rsidR="00FF4C10">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单位</w:t>
            </w:r>
          </w:p>
        </w:tc>
        <w:tc>
          <w:tcPr>
            <w:tcW w:w="1246" w:type="dxa"/>
            <w:tcBorders>
              <w:top w:val="single" w:sz="4" w:space="0" w:color="000000"/>
            </w:tcBorders>
            <w:vAlign w:val="center"/>
          </w:tcPr>
          <w:p w:rsidR="00FF4C10">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预算金额(万元)</w:t>
            </w:r>
          </w:p>
        </w:tc>
        <w:tc>
          <w:tcPr>
            <w:tcW w:w="2439" w:type="dxa"/>
            <w:tcBorders>
              <w:top w:val="single" w:sz="4" w:space="0" w:color="000000"/>
            </w:tcBorders>
            <w:vAlign w:val="center"/>
          </w:tcPr>
          <w:p w:rsidR="00FF4C10">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简要规格描述或标项基本概况介绍</w:t>
            </w:r>
          </w:p>
        </w:tc>
        <w:tc>
          <w:tcPr>
            <w:tcW w:w="1394" w:type="dxa"/>
            <w:tcBorders>
              <w:top w:val="single" w:sz="4" w:space="0" w:color="000000"/>
            </w:tcBorders>
            <w:vAlign w:val="center"/>
          </w:tcPr>
          <w:p w:rsidR="00FF4C10">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最高限价(万元)</w:t>
            </w:r>
          </w:p>
        </w:tc>
      </w:tr>
      <w:tr>
        <w:tblPrEx>
          <w:tblW w:w="9607" w:type="dxa"/>
          <w:jc w:val="center"/>
          <w:tblLayout w:type="fixed"/>
          <w:tblLook w:val="04A0"/>
        </w:tblPrEx>
        <w:trPr>
          <w:trHeight w:val="2223"/>
          <w:jc w:val="center"/>
        </w:trPr>
        <w:tc>
          <w:tcPr>
            <w:tcW w:w="558" w:type="dxa"/>
            <w:tcBorders>
              <w:bottom w:val="single" w:sz="4" w:space="0" w:color="000000"/>
            </w:tcBorders>
            <w:vAlign w:val="center"/>
          </w:tcPr>
          <w:p w:rsidR="00FF4C10">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w:t>
            </w:r>
          </w:p>
        </w:tc>
        <w:tc>
          <w:tcPr>
            <w:tcW w:w="2552" w:type="dxa"/>
            <w:tcBorders>
              <w:bottom w:val="single" w:sz="4" w:space="0" w:color="000000"/>
            </w:tcBorders>
            <w:vAlign w:val="center"/>
          </w:tcPr>
          <w:p w:rsidR="00FF4C10">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上虞中学86寸一体机采购项目</w:t>
            </w:r>
          </w:p>
        </w:tc>
        <w:tc>
          <w:tcPr>
            <w:tcW w:w="709" w:type="dxa"/>
            <w:tcBorders>
              <w:bottom w:val="single" w:sz="4" w:space="0" w:color="000000"/>
            </w:tcBorders>
            <w:vAlign w:val="center"/>
          </w:tcPr>
          <w:p w:rsidR="00FF4C10">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w:t>
            </w:r>
          </w:p>
        </w:tc>
        <w:tc>
          <w:tcPr>
            <w:tcW w:w="709" w:type="dxa"/>
            <w:tcBorders>
              <w:bottom w:val="single" w:sz="4" w:space="0" w:color="000000"/>
            </w:tcBorders>
            <w:vAlign w:val="center"/>
          </w:tcPr>
          <w:p w:rsidR="00FF4C10">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批</w:t>
            </w:r>
          </w:p>
        </w:tc>
        <w:tc>
          <w:tcPr>
            <w:tcW w:w="1246" w:type="dxa"/>
            <w:tcBorders>
              <w:bottom w:val="single" w:sz="4" w:space="0" w:color="000000"/>
            </w:tcBorders>
            <w:vAlign w:val="center"/>
          </w:tcPr>
          <w:p w:rsidR="00FF4C10">
            <w:pPr>
              <w:widowControl/>
              <w:spacing w:before="100" w:after="10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30.6</w:t>
            </w:r>
          </w:p>
        </w:tc>
        <w:tc>
          <w:tcPr>
            <w:tcW w:w="2439" w:type="dxa"/>
            <w:tcBorders>
              <w:bottom w:val="single" w:sz="4" w:space="0" w:color="000000"/>
            </w:tcBorders>
            <w:vAlign w:val="center"/>
          </w:tcPr>
          <w:p w:rsidR="00FF4C10">
            <w:pPr>
              <w:pStyle w:val="PlainText"/>
              <w:snapToGrid w:val="0"/>
              <w:spacing w:before="120" w:after="12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主要为一体机的采购</w:t>
            </w:r>
          </w:p>
        </w:tc>
        <w:tc>
          <w:tcPr>
            <w:tcW w:w="1394" w:type="dxa"/>
            <w:tcBorders>
              <w:bottom w:val="single" w:sz="4" w:space="0" w:color="000000"/>
            </w:tcBorders>
            <w:vAlign w:val="center"/>
          </w:tcPr>
          <w:p w:rsidR="00FF4C10">
            <w:pPr>
              <w:adjustRightInd w:val="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30.6</w:t>
            </w:r>
          </w:p>
        </w:tc>
      </w:tr>
    </w:tbl>
    <w:p w:rsidR="00FF4C10">
      <w:pPr>
        <w:adjustRightInd w:val="0"/>
        <w:spacing w:line="360"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四．合格供应商资格要求:</w:t>
      </w:r>
    </w:p>
    <w:p w:rsidR="00FF4C10">
      <w:pPr>
        <w:numPr>
          <w:ilvl w:val="0"/>
          <w:numId w:val="3"/>
        </w:numPr>
        <w:wordWrap w:val="0"/>
        <w:adjustRightInd w:val="0"/>
        <w:spacing w:line="360"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符合政府采购法第二十二条，且未被“信用中国”（</w:t>
      </w:r>
      <w:r w:rsidR="001B60B2">
        <w:rPr>
          <w:rFonts w:asciiTheme="minorEastAsia" w:eastAsiaTheme="minorEastAsia" w:hAnsiTheme="minorEastAsia" w:cstheme="minorEastAsia" w:hint="eastAsia"/>
          <w:sz w:val="24"/>
          <w:szCs w:val="24"/>
        </w:rPr>
        <w:t>sdf.lkj</w:t>
      </w:r>
      <w:r>
        <w:rPr>
          <w:rFonts w:asciiTheme="minorEastAsia" w:eastAsiaTheme="minorEastAsia" w:hAnsiTheme="minorEastAsia" w:cstheme="minorEastAsia" w:hint="eastAsia"/>
          <w:sz w:val="24"/>
          <w:szCs w:val="24"/>
        </w:rPr>
        <w:t>creditchina.gov.cn）、中国政府采购网（</w:t>
      </w:r>
      <w:r w:rsidR="001B60B2">
        <w:rPr>
          <w:rFonts w:asciiTheme="minorEastAsia" w:eastAsiaTheme="minorEastAsia" w:hAnsiTheme="minorEastAsia" w:cstheme="minorEastAsia" w:hint="eastAsia"/>
          <w:sz w:val="24"/>
          <w:szCs w:val="24"/>
        </w:rPr>
        <w:t>sdf.lkj</w:t>
      </w:r>
      <w:r>
        <w:rPr>
          <w:rFonts w:asciiTheme="minorEastAsia" w:eastAsiaTheme="minorEastAsia" w:hAnsiTheme="minorEastAsia" w:cstheme="minorEastAsia" w:hint="eastAsia"/>
          <w:sz w:val="24"/>
          <w:szCs w:val="24"/>
        </w:rPr>
        <w:t>ccgp.gov.cn）列入失信被执行人、重大税收违法案件当事人名单、政府采购严重违法失信行为记录名单。</w:t>
      </w:r>
    </w:p>
    <w:p w:rsidR="00FF4C10">
      <w:pPr>
        <w:numPr>
          <w:ilvl w:val="0"/>
          <w:numId w:val="3"/>
        </w:numPr>
        <w:adjustRightInd w:val="0"/>
        <w:spacing w:line="360" w:lineRule="auto"/>
        <w:ind w:firstLine="480" w:firstLineChars="200"/>
        <w:rPr>
          <w:rFonts w:asciiTheme="minorEastAsia" w:eastAsiaTheme="minorEastAsia" w:hAnsiTheme="minorEastAsia" w:cstheme="minorEastAsia"/>
          <w:sz w:val="24"/>
          <w:szCs w:val="24"/>
        </w:rPr>
      </w:pPr>
      <w:r>
        <w:rPr>
          <w:rFonts w:ascii="宋体" w:hAnsi="宋体" w:cs="宋体" w:hint="eastAsia"/>
          <w:sz w:val="24"/>
          <w:szCs w:val="24"/>
        </w:rPr>
        <w:t>落实政府采购政策需满足的资格要求：供应商为中小企业/小微企业。</w:t>
      </w:r>
    </w:p>
    <w:p w:rsidR="00FF4C10">
      <w:pPr>
        <w:numPr>
          <w:ilvl w:val="0"/>
          <w:numId w:val="3"/>
        </w:numPr>
        <w:adjustRightInd w:val="0"/>
        <w:spacing w:line="360"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本项目不接受联合体。</w:t>
      </w:r>
    </w:p>
    <w:p w:rsidR="00FF4C10">
      <w:pPr>
        <w:adjustRightInd w:val="0"/>
        <w:spacing w:line="360" w:lineRule="auto"/>
        <w:ind w:firstLine="480" w:firstLineChars="200"/>
        <w:rPr>
          <w:rFonts w:eastAsiaTheme="minorEastAsia"/>
        </w:rPr>
      </w:pPr>
      <w:r>
        <w:rPr>
          <w:rFonts w:asciiTheme="minorEastAsia" w:eastAsiaTheme="minorEastAsia" w:hAnsiTheme="minorEastAsia" w:cstheme="minorEastAsia" w:hint="eastAsia"/>
          <w:sz w:val="24"/>
          <w:szCs w:val="24"/>
        </w:rPr>
        <w:t>4.</w:t>
      </w:r>
      <w:r>
        <w:rPr>
          <w:rFonts w:ascii="宋体" w:hAnsi="宋体" w:cs="宋体" w:hint="eastAsia"/>
          <w:sz w:val="24"/>
          <w:szCs w:val="24"/>
        </w:rPr>
        <w:t>本次招标采用资格后审的审查方式，由询价小组负责审查。</w:t>
      </w:r>
    </w:p>
    <w:p w:rsidR="00FF4C10">
      <w:pPr>
        <w:adjustRightInd w:val="0"/>
        <w:spacing w:line="360"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五．获取询价文件</w:t>
      </w:r>
    </w:p>
    <w:p w:rsidR="00FF4C10">
      <w:pPr>
        <w:numPr>
          <w:ilvl w:val="0"/>
          <w:numId w:val="4"/>
        </w:numPr>
        <w:adjustRightInd w:val="0"/>
        <w:spacing w:line="360" w:lineRule="auto"/>
        <w:ind w:firstLine="480" w:firstLineChars="200"/>
        <w:rPr>
          <w:rFonts w:asciiTheme="minorEastAsia" w:eastAsiaTheme="minorEastAsia" w:hAnsiTheme="minorEastAsia" w:cstheme="minorEastAsia"/>
          <w:sz w:val="24"/>
          <w:szCs w:val="24"/>
        </w:rPr>
      </w:pPr>
      <w:bookmarkStart w:id="6" w:name="报名开始时间1"/>
      <w:r>
        <w:rPr>
          <w:rFonts w:asciiTheme="minorEastAsia" w:eastAsiaTheme="minorEastAsia" w:hAnsiTheme="minorEastAsia" w:cstheme="minorEastAsia" w:hint="eastAsia"/>
          <w:sz w:val="24"/>
          <w:szCs w:val="24"/>
        </w:rPr>
        <w:t>获取询价文件时间:</w:t>
      </w:r>
      <w:bookmarkEnd w:id="6"/>
      <w:r>
        <w:rPr>
          <w:rFonts w:asciiTheme="minorEastAsia" w:eastAsiaTheme="minorEastAsia" w:hAnsiTheme="minorEastAsia" w:cstheme="minorEastAsia" w:hint="eastAsia"/>
          <w:sz w:val="24"/>
          <w:szCs w:val="24"/>
          <w:u w:val="single"/>
        </w:rPr>
        <w:t>2023年12月7日9:30</w:t>
      </w:r>
      <w:r>
        <w:rPr>
          <w:rFonts w:asciiTheme="minorEastAsia" w:eastAsiaTheme="minorEastAsia" w:hAnsiTheme="minorEastAsia" w:cstheme="minorEastAsia" w:hint="eastAsia"/>
          <w:sz w:val="24"/>
          <w:szCs w:val="24"/>
        </w:rPr>
        <w:t>之前获取。</w:t>
      </w:r>
    </w:p>
    <w:p w:rsidR="00FF4C10">
      <w:pPr>
        <w:numPr>
          <w:ilvl w:val="0"/>
          <w:numId w:val="4"/>
        </w:numPr>
        <w:adjustRightInd w:val="0"/>
        <w:spacing w:line="360" w:lineRule="auto"/>
        <w:ind w:firstLine="480" w:firstLineChars="200"/>
        <w:rPr>
          <w:rFonts w:asciiTheme="minorEastAsia" w:eastAsiaTheme="minorEastAsia" w:hAnsiTheme="minorEastAsia" w:cstheme="minorEastAsia"/>
          <w:sz w:val="24"/>
          <w:szCs w:val="24"/>
        </w:rPr>
        <w:sectPr>
          <w:footerReference w:type="default" r:id="rId7"/>
          <w:pgSz w:w="11906" w:h="16838"/>
          <w:pgMar w:top="1440" w:right="1800" w:bottom="1440" w:left="1800" w:header="851" w:footer="992" w:gutter="0"/>
          <w:pgNumType w:start="1"/>
          <w:cols w:space="425"/>
          <w:docGrid w:type="lines" w:linePitch="312"/>
        </w:sectPr>
      </w:pPr>
      <w:r>
        <w:rPr>
          <w:rFonts w:asciiTheme="minorEastAsia" w:eastAsiaTheme="minorEastAsia" w:hAnsiTheme="minorEastAsia" w:cstheme="minorEastAsia" w:hint="eastAsia"/>
          <w:sz w:val="24"/>
          <w:szCs w:val="24"/>
        </w:rPr>
        <w:t>获取询价文件方式：供应商登陆政采云平台</w:t>
      </w:r>
      <w:r w:rsidR="00CD58E5">
        <w:rPr>
          <w:rFonts w:asciiTheme="minorEastAsia" w:eastAsiaTheme="minorEastAsia" w:hAnsiTheme="minorEastAsia" w:cstheme="minorEastAsia" w:hint="eastAsia"/>
          <w:sz w:val="24"/>
          <w:szCs w:val="24"/>
        </w:rPr>
        <w:t>lkj:</w:t>
      </w:r>
      <w:r>
        <w:rPr>
          <w:rFonts w:asciiTheme="minorEastAsia" w:eastAsiaTheme="minorEastAsia" w:hAnsiTheme="minorEastAsia" w:cstheme="minorEastAsia" w:hint="eastAsia"/>
          <w:sz w:val="24"/>
          <w:szCs w:val="24"/>
        </w:rPr>
        <w:t>//</w:t>
      </w:r>
      <w:r w:rsidR="001B60B2">
        <w:rPr>
          <w:rFonts w:asciiTheme="minorEastAsia" w:eastAsiaTheme="minorEastAsia" w:hAnsiTheme="minorEastAsia" w:cstheme="minorEastAsia" w:hint="eastAsia"/>
          <w:sz w:val="24"/>
          <w:szCs w:val="24"/>
        </w:rPr>
        <w:t>sdf.lkj</w:t>
      </w:r>
    </w:p>
    <w:p w:rsidR="00FF4C10">
      <w:pPr>
        <w:numPr>
          <w:ilvl w:val="0"/>
          <w:numId w:val="0"/>
        </w:numPr>
        <w:adjustRightInd w:val="0"/>
        <w:spacing w:line="360" w:lineRule="auto"/>
        <w:ind w:left="0"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zcygov.cn/，在线申请获取询价文件（进入“项目采购”应用，在获取采购文件菜单中选择项目，申请获取询价文件）。</w:t>
      </w:r>
    </w:p>
    <w:p w:rsidR="00FF4C10">
      <w:pPr>
        <w:numPr>
          <w:ilvl w:val="0"/>
          <w:numId w:val="4"/>
        </w:numPr>
        <w:adjustRightInd w:val="0"/>
        <w:spacing w:line="360"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提示：</w:t>
      </w:r>
    </w:p>
    <w:p w:rsidR="00FF4C10">
      <w:pPr>
        <w:numPr>
          <w:ilvl w:val="0"/>
          <w:numId w:val="5"/>
        </w:numPr>
        <w:adjustRightInd w:val="0"/>
        <w:spacing w:line="360"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将拒绝接受未获取询价文件供应商的响应文件。</w:t>
      </w:r>
    </w:p>
    <w:p w:rsidR="00FF4C10">
      <w:pPr>
        <w:numPr>
          <w:ilvl w:val="0"/>
          <w:numId w:val="5"/>
        </w:numPr>
        <w:adjustRightInd w:val="0"/>
        <w:spacing w:line="360"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询价文件及更正补充公告请自行登录浙江政府采购网或绍兴市上虞区公共资源交易中心网站，在采购公告页面中下载。</w:t>
      </w:r>
    </w:p>
    <w:p w:rsidR="00FF4C10">
      <w:pPr>
        <w:adjustRightInd w:val="0"/>
        <w:spacing w:line="360"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六、投标与开标注意事项：</w:t>
      </w:r>
    </w:p>
    <w:p w:rsidR="00FF4C10">
      <w:pPr>
        <w:adjustRightInd w:val="0"/>
        <w:spacing w:line="360"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1．</w:t>
      </w:r>
      <w:r>
        <w:rPr>
          <w:rFonts w:asciiTheme="minorEastAsia" w:eastAsiaTheme="minorEastAsia" w:hAnsiTheme="minorEastAsia" w:cstheme="minorEastAsia" w:hint="eastAsia"/>
          <w:sz w:val="24"/>
          <w:szCs w:val="24"/>
        </w:rPr>
        <w:t>本项目实行</w:t>
      </w:r>
      <w:r>
        <w:rPr>
          <w:rFonts w:asciiTheme="minorEastAsia" w:eastAsiaTheme="minorEastAsia" w:hAnsiTheme="minorEastAsia" w:cstheme="minorEastAsia" w:hint="eastAsia"/>
          <w:b/>
          <w:bCs/>
          <w:sz w:val="24"/>
          <w:szCs w:val="24"/>
        </w:rPr>
        <w:t>网上投标</w:t>
      </w:r>
      <w:r>
        <w:rPr>
          <w:rFonts w:asciiTheme="minorEastAsia" w:eastAsiaTheme="minorEastAsia" w:hAnsiTheme="minorEastAsia" w:cstheme="minorEastAsia" w:hint="eastAsia"/>
          <w:sz w:val="24"/>
          <w:szCs w:val="24"/>
        </w:rPr>
        <w:t>，采用电子投标文件，若供应商参与投标，自行承担投标一切费用。</w:t>
      </w:r>
    </w:p>
    <w:p w:rsidR="00FF4C10">
      <w:pPr>
        <w:wordWrap w:val="0"/>
        <w:adjustRightInd w:val="0"/>
        <w:spacing w:line="360"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2．</w:t>
      </w:r>
      <w:r>
        <w:rPr>
          <w:rFonts w:asciiTheme="minorEastAsia" w:eastAsiaTheme="minorEastAsia" w:hAnsiTheme="minorEastAsia" w:cstheme="minorEastAsia" w:hint="eastAsia"/>
          <w:sz w:val="24"/>
          <w:szCs w:val="24"/>
        </w:rPr>
        <w:t>标前准备：各供应商应在开标前确保成为浙江省政府采购网正式注册入库供应商，并完成CA数字证书办理。因未注册入库、未办理CA数字证书等原因造成无法投标或投标失败等后果由供应商自行承担。</w:t>
      </w:r>
    </w:p>
    <w:p w:rsidR="00FF4C10">
      <w:pPr>
        <w:autoSpaceDE w:val="0"/>
        <w:autoSpaceDN w:val="0"/>
        <w:spacing w:line="360" w:lineRule="auto"/>
        <w:ind w:firstLine="480" w:firstLineChars="200"/>
        <w:textAlignment w:val="bottom"/>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供应商将政采云电子交易客户端下载、安装完成后，可通过账号密码或CA登录客户端进行投标文件制作。在使用政采云投标客户端时，建议使用WIN7及以上操作系统。</w:t>
      </w:r>
    </w:p>
    <w:p w:rsidR="00FF4C10">
      <w:pPr>
        <w:autoSpaceDE w:val="0"/>
        <w:autoSpaceDN w:val="0"/>
        <w:spacing w:line="360" w:lineRule="auto"/>
        <w:ind w:firstLine="480" w:firstLineChars="200"/>
        <w:textAlignment w:val="bottom"/>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注：供应商先要申领CA，取得CA后需要在政采云平台进行绑定，CA相关操作可参考《CA管理学习专题》。完成CA数字证书办理在资料齐全的情况下预计7个工作日左右，建议供应商获取招标文件后立即办理。</w:t>
      </w:r>
    </w:p>
    <w:p w:rsidR="00FF4C10">
      <w:pPr>
        <w:adjustRightInd w:val="0"/>
        <w:spacing w:line="360" w:lineRule="auto"/>
        <w:ind w:left="400" w:leftChars="20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《CA管理学习专题》：</w:t>
      </w:r>
    </w:p>
    <w:p w:rsidR="00FF4C10">
      <w:pPr>
        <w:adjustRightInd w:val="0"/>
        <w:spacing w:line="360" w:lineRule="auto"/>
        <w:ind w:left="400" w:leftChars="20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https://edu.zcygov.cn/luban/ca?utm=web-government-front.380aac0a.0.0.fc2b6aa0b6e211ebbdb0dd007730dd44</w:t>
      </w:r>
    </w:p>
    <w:p w:rsidR="00FF4C10">
      <w:pPr>
        <w:adjustRightInd w:val="0"/>
        <w:spacing w:line="360" w:lineRule="auto"/>
        <w:ind w:left="400" w:leftChars="20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《CA驱动和申领流程》:</w:t>
      </w:r>
    </w:p>
    <w:p w:rsidR="00FF4C10">
      <w:pPr>
        <w:adjustRightInd w:val="0"/>
        <w:spacing w:line="360" w:lineRule="auto"/>
        <w:ind w:left="400" w:leftChars="200"/>
        <w:rPr>
          <w:rFonts w:asciiTheme="minorEastAsia" w:eastAsiaTheme="minorEastAsia" w:hAnsiTheme="minorEastAsia" w:cstheme="minorEastAsia"/>
          <w:sz w:val="24"/>
          <w:szCs w:val="24"/>
        </w:rPr>
      </w:pPr>
      <w:hyperlink r:id="rId8" w:history="1">
        <w:r>
          <w:rPr>
            <w:rFonts w:asciiTheme="minorEastAsia" w:eastAsiaTheme="minorEastAsia" w:hAnsiTheme="minorEastAsia" w:cstheme="minorEastAsia" w:hint="eastAsia"/>
            <w:sz w:val="24"/>
          </w:rPr>
          <w:t>lkj:</w:t>
        </w:r>
        <w:r w:rsidR="008E4E0E">
          <w:rPr>
            <w:rFonts w:asciiTheme="minorEastAsia" w:eastAsiaTheme="minorEastAsia" w:hAnsiTheme="minorEastAsia" w:cstheme="minorEastAsia" w:hint="eastAsia"/>
            <w:sz w:val="24"/>
          </w:rPr>
          <w:t>//zfcg.czt.zj.gov.cn/bidClientTemplate/2019-05-27/12945.html</w:t>
        </w:r>
      </w:hyperlink>
    </w:p>
    <w:p w:rsidR="00FF4C10">
      <w:pPr>
        <w:adjustRightInd w:val="0"/>
        <w:spacing w:line="360"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3．</w:t>
      </w:r>
      <w:r>
        <w:rPr>
          <w:rFonts w:asciiTheme="minorEastAsia" w:eastAsiaTheme="minorEastAsia" w:hAnsiTheme="minorEastAsia" w:cstheme="minorEastAsia" w:hint="eastAsia"/>
          <w:sz w:val="24"/>
          <w:szCs w:val="24"/>
        </w:rPr>
        <w:t>投标文件制作：</w:t>
      </w:r>
    </w:p>
    <w:p w:rsidR="00FF4C10">
      <w:pPr>
        <w:numPr>
          <w:ilvl w:val="0"/>
          <w:numId w:val="6"/>
        </w:numPr>
        <w:adjustRightInd w:val="0"/>
        <w:spacing w:line="360"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应按照本项目招标文件和政采云平台的要求编制、加密并递交投标文件。供应商在使用系统进行投标的过程中遇到涉及平台使用的任何问题，可致电政采云平台技术支持热线咨询，联系方式：400-881-7190。</w:t>
      </w:r>
    </w:p>
    <w:p w:rsidR="00FF4C10">
      <w:pPr>
        <w:numPr>
          <w:ilvl w:val="0"/>
          <w:numId w:val="6"/>
        </w:numPr>
        <w:wordWrap w:val="0"/>
        <w:adjustRightInd w:val="0"/>
        <w:spacing w:line="360"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投标人通过“政采云”平台电子投标工具制作投标文件。</w:t>
      </w:r>
    </w:p>
    <w:p w:rsidR="00FF4C10">
      <w:pPr>
        <w:adjustRightInd w:val="0"/>
        <w:spacing w:line="360" w:lineRule="auto"/>
        <w:ind w:firstLine="480" w:firstLineChars="20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《电子投标工具》：</w:t>
      </w:r>
    </w:p>
    <w:p w:rsidR="00FF4C10">
      <w:pPr>
        <w:adjustRightInd w:val="0"/>
        <w:spacing w:line="360" w:lineRule="auto"/>
        <w:ind w:firstLine="400" w:firstLineChars="200"/>
        <w:jc w:val="left"/>
        <w:rPr>
          <w:rFonts w:asciiTheme="minorEastAsia" w:eastAsiaTheme="minorEastAsia" w:hAnsiTheme="minorEastAsia" w:cstheme="minorEastAsia"/>
          <w:sz w:val="24"/>
          <w:szCs w:val="24"/>
        </w:rPr>
        <w:sectPr>
          <w:footerReference w:type="default" r:id="rId9"/>
          <w:type w:val="nextPage"/>
          <w:pgSz w:w="11906" w:h="16838"/>
          <w:pgMar w:top="1440" w:right="1800" w:bottom="1440" w:left="1800" w:header="851" w:footer="992" w:gutter="0"/>
          <w:pgNumType w:start="2"/>
          <w:cols w:space="425"/>
          <w:titlePg w:val="0"/>
          <w:docGrid w:type="lines" w:linePitch="312"/>
        </w:sectPr>
      </w:pPr>
      <w:hyperlink r:id="rId10" w:history="1">
        <w:r>
          <w:rPr>
            <w:rFonts w:asciiTheme="minorEastAsia" w:eastAsiaTheme="minorEastAsia" w:hAnsiTheme="minorEastAsia" w:cstheme="minorEastAsia" w:hint="eastAsia"/>
            <w:sz w:val="24"/>
            <w:szCs w:val="24"/>
          </w:rPr>
          <w:t>lkj:</w:t>
        </w:r>
        <w:r w:rsidR="008E4E0E">
          <w:rPr>
            <w:rFonts w:asciiTheme="minorEastAsia" w:eastAsiaTheme="minorEastAsia" w:hAnsiTheme="minorEastAsia" w:cstheme="minorEastAsia" w:hint="eastAsia"/>
            <w:sz w:val="24"/>
            <w:szCs w:val="24"/>
          </w:rPr>
          <w:t>//zfcg.czt.zj.gov.cn/bidClientTemplate/2019-09-24/12975.html</w:t>
        </w:r>
      </w:hyperlink>
    </w:p>
    <w:p w:rsidR="00FF4C10">
      <w:pPr>
        <w:adjustRightInd w:val="0"/>
        <w:spacing w:line="360" w:lineRule="auto"/>
        <w:ind w:firstLine="480" w:firstLineChars="20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《供应商-政府采购项目电子交易操作指南》：(需登录账号后查看)</w:t>
      </w:r>
    </w:p>
    <w:p w:rsidR="00FF4C10">
      <w:pPr>
        <w:adjustRightInd w:val="0"/>
        <w:spacing w:line="360" w:lineRule="auto"/>
        <w:ind w:firstLine="400" w:firstLineChars="200"/>
        <w:jc w:val="left"/>
        <w:rPr>
          <w:rFonts w:asciiTheme="minorEastAsia" w:eastAsiaTheme="minorEastAsia" w:hAnsiTheme="minorEastAsia" w:cstheme="minorEastAsia"/>
          <w:sz w:val="24"/>
          <w:szCs w:val="24"/>
        </w:rPr>
      </w:pPr>
      <w:hyperlink r:id="rId11" w:anchor="/knowledges/tree?tag=AG1DtGwBFdiHxlNdhY0r" w:history="1">
        <w:r w:rsidR="008E4E0E">
          <w:rPr>
            <w:rFonts w:asciiTheme="minorEastAsia" w:eastAsiaTheme="minorEastAsia" w:hAnsiTheme="minorEastAsia" w:cstheme="minorEastAsia" w:hint="eastAsia"/>
            <w:sz w:val="24"/>
            <w:szCs w:val="24"/>
          </w:rPr>
          <w:t>https://service.zcygov.cn/#/knowledges/tree?tag=AG1DtGwBFdiHxlNdhY0r</w:t>
        </w:r>
      </w:hyperlink>
    </w:p>
    <w:p w:rsidR="00FF4C10">
      <w:pPr>
        <w:adjustRightInd w:val="0"/>
        <w:spacing w:line="360"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4．</w:t>
      </w:r>
      <w:r>
        <w:rPr>
          <w:rFonts w:asciiTheme="minorEastAsia" w:eastAsiaTheme="minorEastAsia" w:hAnsiTheme="minorEastAsia" w:cstheme="minorEastAsia" w:hint="eastAsia"/>
          <w:sz w:val="24"/>
          <w:szCs w:val="24"/>
        </w:rPr>
        <w:t>供应商在法定质疑期内应一次性提出针对同一采购程序环节的质疑。</w:t>
      </w:r>
    </w:p>
    <w:p w:rsidR="00FF4C10">
      <w:pPr>
        <w:adjustRightInd w:val="0"/>
        <w:spacing w:line="360"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5．</w:t>
      </w:r>
      <w:r>
        <w:rPr>
          <w:rFonts w:asciiTheme="minorEastAsia" w:eastAsiaTheme="minorEastAsia" w:hAnsiTheme="minorEastAsia" w:cstheme="minorEastAsia" w:hint="eastAsia"/>
          <w:sz w:val="24"/>
          <w:szCs w:val="24"/>
        </w:rPr>
        <w:t>投标人可指派授权代表递交备份文件，授权代表递交备份文件需携带法定代表人授权书原件，于投标截止时间前到达开标地点递交。</w:t>
      </w:r>
    </w:p>
    <w:p w:rsidR="00FF4C10">
      <w:pPr>
        <w:adjustRightInd w:val="0"/>
        <w:spacing w:line="360" w:lineRule="auto"/>
        <w:ind w:left="400" w:left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6.特别提醒</w:t>
      </w:r>
    </w:p>
    <w:p w:rsidR="00FF4C10">
      <w:pPr>
        <w:wordWrap w:val="0"/>
        <w:adjustRightInd w:val="0"/>
        <w:spacing w:line="360"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单位负责人为同一人或者存在直接控股、管理关系的不同供应商，不得参加同一合同项下的政府采购活动。</w:t>
      </w:r>
    </w:p>
    <w:p w:rsidR="00FF4C10">
      <w:pPr>
        <w:adjustRightInd w:val="0"/>
        <w:spacing w:line="360" w:lineRule="auto"/>
        <w:ind w:firstLine="480" w:firstLineChars="20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除单一来源采购项目外，为采购项目提供整体设计、规范编制或者项目管理、监理、检测等服务的供应商，不得再参加该采购项目的其他采购活动。</w:t>
      </w:r>
    </w:p>
    <w:p w:rsidR="00FF4C10">
      <w:pPr>
        <w:adjustRightInd w:val="0"/>
        <w:spacing w:line="360" w:lineRule="auto"/>
        <w:ind w:firstLine="480" w:firstLineChars="20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七．询价响应截止时间及要求：</w:t>
      </w:r>
      <w:r>
        <w:rPr>
          <w:rFonts w:asciiTheme="minorEastAsia" w:eastAsiaTheme="minorEastAsia" w:hAnsiTheme="minorEastAsia" w:cstheme="minorEastAsia" w:hint="eastAsia"/>
          <w:sz w:val="24"/>
          <w:szCs w:val="24"/>
          <w:u w:val="single"/>
        </w:rPr>
        <w:t xml:space="preserve"> 2023 </w:t>
      </w:r>
      <w:r>
        <w:rPr>
          <w:rFonts w:asciiTheme="minorEastAsia" w:eastAsiaTheme="minorEastAsia" w:hAnsiTheme="minorEastAsia" w:cstheme="minorEastAsia" w:hint="eastAsia"/>
          <w:sz w:val="24"/>
          <w:szCs w:val="24"/>
        </w:rPr>
        <w:t>年</w:t>
      </w:r>
      <w:r>
        <w:rPr>
          <w:rFonts w:asciiTheme="minorEastAsia" w:eastAsiaTheme="minorEastAsia" w:hAnsiTheme="minorEastAsia" w:cstheme="minorEastAsia" w:hint="eastAsia"/>
          <w:sz w:val="24"/>
          <w:szCs w:val="24"/>
          <w:u w:val="single"/>
        </w:rPr>
        <w:t xml:space="preserve"> 12 </w:t>
      </w:r>
      <w:r>
        <w:rPr>
          <w:rFonts w:asciiTheme="minorEastAsia" w:eastAsiaTheme="minorEastAsia" w:hAnsiTheme="minorEastAsia" w:cstheme="minorEastAsia" w:hint="eastAsia"/>
          <w:sz w:val="24"/>
          <w:szCs w:val="24"/>
        </w:rPr>
        <w:t>月</w:t>
      </w:r>
      <w:r>
        <w:rPr>
          <w:rFonts w:asciiTheme="minorEastAsia" w:eastAsiaTheme="minorEastAsia" w:hAnsiTheme="minorEastAsia" w:cstheme="minorEastAsia" w:hint="eastAsia"/>
          <w:sz w:val="24"/>
          <w:szCs w:val="24"/>
          <w:u w:val="single"/>
        </w:rPr>
        <w:t xml:space="preserve"> 7 </w:t>
      </w:r>
      <w:r>
        <w:rPr>
          <w:rFonts w:asciiTheme="minorEastAsia" w:eastAsiaTheme="minorEastAsia" w:hAnsiTheme="minorEastAsia" w:cstheme="minorEastAsia" w:hint="eastAsia"/>
          <w:sz w:val="24"/>
          <w:szCs w:val="24"/>
        </w:rPr>
        <w:t>日</w:t>
      </w:r>
      <w:r>
        <w:rPr>
          <w:rFonts w:asciiTheme="minorEastAsia" w:eastAsiaTheme="minorEastAsia" w:hAnsiTheme="minorEastAsia" w:cstheme="minorEastAsia" w:hint="eastAsia"/>
          <w:sz w:val="24"/>
          <w:szCs w:val="24"/>
          <w:u w:val="single"/>
        </w:rPr>
        <w:t>9</w:t>
      </w:r>
      <w:r>
        <w:rPr>
          <w:rFonts w:asciiTheme="minorEastAsia" w:eastAsiaTheme="minorEastAsia" w:hAnsiTheme="minorEastAsia" w:cstheme="minorEastAsia" w:hint="eastAsia"/>
          <w:sz w:val="24"/>
          <w:szCs w:val="24"/>
        </w:rPr>
        <w:t>时</w:t>
      </w:r>
      <w:r>
        <w:rPr>
          <w:rFonts w:asciiTheme="minorEastAsia" w:eastAsiaTheme="minorEastAsia" w:hAnsiTheme="minorEastAsia" w:cstheme="minorEastAsia" w:hint="eastAsia"/>
          <w:sz w:val="24"/>
          <w:szCs w:val="24"/>
          <w:u w:val="single"/>
        </w:rPr>
        <w:t xml:space="preserve"> 30</w:t>
      </w:r>
      <w:r>
        <w:rPr>
          <w:rFonts w:asciiTheme="minorEastAsia" w:eastAsiaTheme="minorEastAsia" w:hAnsiTheme="minorEastAsia" w:cstheme="minorEastAsia" w:hint="eastAsia"/>
          <w:sz w:val="24"/>
          <w:szCs w:val="24"/>
        </w:rPr>
        <w:t>分整之前将电子询价响应文件上传到“政采云”平台。</w:t>
      </w:r>
    </w:p>
    <w:p w:rsidR="00FF4C10">
      <w:pPr>
        <w:adjustRightInd w:val="0"/>
        <w:spacing w:line="360" w:lineRule="auto"/>
        <w:ind w:firstLine="480" w:firstLineChars="20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八．递交首次响应文件时间及地点</w:t>
      </w:r>
      <w:bookmarkStart w:id="7" w:name="B30_开标地点"/>
      <w:r>
        <w:rPr>
          <w:rFonts w:asciiTheme="minorEastAsia" w:eastAsiaTheme="minorEastAsia" w:hAnsiTheme="minorEastAsia" w:cstheme="minorEastAsia" w:hint="eastAsia"/>
          <w:b/>
          <w:bCs/>
          <w:sz w:val="24"/>
          <w:szCs w:val="24"/>
        </w:rPr>
        <w:t>：</w:t>
      </w:r>
      <w:r>
        <w:rPr>
          <w:rFonts w:asciiTheme="minorEastAsia" w:eastAsiaTheme="minorEastAsia" w:hAnsiTheme="minorEastAsia" w:cstheme="minorEastAsia" w:hint="eastAsia"/>
          <w:sz w:val="24"/>
          <w:szCs w:val="24"/>
          <w:u w:val="single"/>
        </w:rPr>
        <w:t xml:space="preserve"> 2023 </w:t>
      </w:r>
      <w:r>
        <w:rPr>
          <w:rFonts w:asciiTheme="minorEastAsia" w:eastAsiaTheme="minorEastAsia" w:hAnsiTheme="minorEastAsia" w:cstheme="minorEastAsia" w:hint="eastAsia"/>
          <w:sz w:val="24"/>
          <w:szCs w:val="24"/>
        </w:rPr>
        <w:t>年</w:t>
      </w:r>
      <w:r>
        <w:rPr>
          <w:rFonts w:asciiTheme="minorEastAsia" w:eastAsiaTheme="minorEastAsia" w:hAnsiTheme="minorEastAsia" w:cstheme="minorEastAsia" w:hint="eastAsia"/>
          <w:sz w:val="24"/>
          <w:szCs w:val="24"/>
          <w:u w:val="single"/>
        </w:rPr>
        <w:t xml:space="preserve"> 12 </w:t>
      </w:r>
      <w:r>
        <w:rPr>
          <w:rFonts w:asciiTheme="minorEastAsia" w:eastAsiaTheme="minorEastAsia" w:hAnsiTheme="minorEastAsia" w:cstheme="minorEastAsia" w:hint="eastAsia"/>
          <w:sz w:val="24"/>
          <w:szCs w:val="24"/>
        </w:rPr>
        <w:t>月</w:t>
      </w:r>
      <w:r>
        <w:rPr>
          <w:rFonts w:asciiTheme="minorEastAsia" w:eastAsiaTheme="minorEastAsia" w:hAnsiTheme="minorEastAsia" w:cstheme="minorEastAsia" w:hint="eastAsia"/>
          <w:sz w:val="24"/>
          <w:szCs w:val="24"/>
          <w:u w:val="single"/>
        </w:rPr>
        <w:t xml:space="preserve"> 7 </w:t>
      </w:r>
      <w:r>
        <w:rPr>
          <w:rFonts w:asciiTheme="minorEastAsia" w:eastAsiaTheme="minorEastAsia" w:hAnsiTheme="minorEastAsia" w:cstheme="minorEastAsia" w:hint="eastAsia"/>
          <w:sz w:val="24"/>
          <w:szCs w:val="24"/>
        </w:rPr>
        <w:t>日</w:t>
      </w:r>
      <w:r>
        <w:rPr>
          <w:rFonts w:asciiTheme="minorEastAsia" w:eastAsiaTheme="minorEastAsia" w:hAnsiTheme="minorEastAsia" w:cstheme="minorEastAsia" w:hint="eastAsia"/>
          <w:sz w:val="24"/>
          <w:szCs w:val="24"/>
          <w:u w:val="single"/>
        </w:rPr>
        <w:t>9</w:t>
      </w:r>
      <w:r>
        <w:rPr>
          <w:rFonts w:asciiTheme="minorEastAsia" w:eastAsiaTheme="minorEastAsia" w:hAnsiTheme="minorEastAsia" w:cstheme="minorEastAsia" w:hint="eastAsia"/>
          <w:sz w:val="24"/>
          <w:szCs w:val="24"/>
        </w:rPr>
        <w:t>时</w:t>
      </w:r>
      <w:r>
        <w:rPr>
          <w:rFonts w:asciiTheme="minorEastAsia" w:eastAsiaTheme="minorEastAsia" w:hAnsiTheme="minorEastAsia" w:cstheme="minorEastAsia" w:hint="eastAsia"/>
          <w:sz w:val="24"/>
          <w:szCs w:val="24"/>
          <w:u w:val="single"/>
        </w:rPr>
        <w:t xml:space="preserve"> 30</w:t>
      </w:r>
      <w:r>
        <w:rPr>
          <w:rFonts w:asciiTheme="minorEastAsia" w:eastAsiaTheme="minorEastAsia" w:hAnsiTheme="minorEastAsia" w:cstheme="minorEastAsia" w:hint="eastAsia"/>
          <w:sz w:val="24"/>
          <w:szCs w:val="24"/>
        </w:rPr>
        <w:t>分整在绍兴市上虞区公共资源交易中心三楼</w:t>
      </w:r>
      <w:r>
        <w:rPr>
          <w:rFonts w:asciiTheme="minorEastAsia" w:eastAsiaTheme="minorEastAsia" w:hAnsiTheme="minorEastAsia" w:cstheme="minorEastAsia" w:hint="eastAsia"/>
          <w:sz w:val="24"/>
          <w:szCs w:val="24"/>
          <w:u w:val="single"/>
        </w:rPr>
        <w:t xml:space="preserve"> 363 </w:t>
      </w:r>
      <w:r>
        <w:rPr>
          <w:rFonts w:asciiTheme="minorEastAsia" w:eastAsiaTheme="minorEastAsia" w:hAnsiTheme="minorEastAsia" w:cstheme="minorEastAsia" w:hint="eastAsia"/>
          <w:sz w:val="24"/>
          <w:szCs w:val="24"/>
        </w:rPr>
        <w:t>开标室开标。</w:t>
      </w:r>
      <w:bookmarkEnd w:id="7"/>
    </w:p>
    <w:p w:rsidR="00FF4C10">
      <w:pPr>
        <w:adjustRightInd w:val="0"/>
        <w:spacing w:line="360"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开标时间后30分钟内供应商可以登录“政采云”平台，用“项目采购-开标评标”功能进行解密响应文件。若供应商在规定时间内解密失败，则由采购代理机构工作人员上传供应商提供的备份文件。备份文件（后缀名为.bfbs）须存储在U盘中，与上传的电子询价响应文件一致，用信封进行密封并盖章</w:t>
      </w:r>
      <w:r>
        <w:rPr>
          <w:rFonts w:asciiTheme="minorEastAsia" w:eastAsiaTheme="minorEastAsia" w:hAnsiTheme="minorEastAsia" w:cstheme="minorEastAsia" w:hint="eastAsia"/>
          <w:b/>
          <w:bCs/>
          <w:sz w:val="24"/>
          <w:szCs w:val="24"/>
        </w:rPr>
        <w:t>（信封内仅需放入存储备份文件的U盘）</w:t>
      </w:r>
      <w:r>
        <w:rPr>
          <w:rFonts w:asciiTheme="minorEastAsia" w:eastAsiaTheme="minorEastAsia" w:hAnsiTheme="minorEastAsia" w:cstheme="minorEastAsia" w:hint="eastAsia"/>
          <w:sz w:val="24"/>
          <w:szCs w:val="24"/>
        </w:rPr>
        <w:t>，由授权代表在询价响应截止时间前递交至开标地点。若电子询价响应文件正常解锁，则U盘退还给供应商；若解锁失败，则由采购代理机构将U盘中的备份文件上传，该U盘将由采购代理机构保存。</w:t>
      </w:r>
    </w:p>
    <w:p w:rsidR="00FF4C10">
      <w:pPr>
        <w:adjustRightInd w:val="0"/>
        <w:spacing w:line="360"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本次开标不提供现场视频。</w:t>
      </w:r>
    </w:p>
    <w:p w:rsidR="00FF4C10">
      <w:pPr>
        <w:adjustRightInd w:val="0"/>
        <w:spacing w:line="360"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九．询价保证金：无</w:t>
      </w:r>
    </w:p>
    <w:p w:rsidR="00FF4C10">
      <w:pPr>
        <w:adjustRightInd w:val="0"/>
        <w:spacing w:line="360"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十．公告期限：3个工作日</w:t>
      </w:r>
    </w:p>
    <w:p w:rsidR="00FF4C10">
      <w:pPr>
        <w:adjustRightInd w:val="0"/>
        <w:spacing w:line="360"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十一．联系方式：</w:t>
      </w:r>
    </w:p>
    <w:p w:rsidR="00FF4C10">
      <w:pPr>
        <w:adjustRightInd w:val="0"/>
        <w:spacing w:line="360"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1．采购代理机构名称：绍兴市上虞区公共资源交易中心</w:t>
      </w:r>
    </w:p>
    <w:p w:rsidR="00FF4C10">
      <w:pPr>
        <w:adjustRightInd w:val="0"/>
        <w:spacing w:line="360"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项目联系人：贾女士</w:t>
      </w:r>
    </w:p>
    <w:p w:rsidR="00FF4C10">
      <w:pPr>
        <w:adjustRightInd w:val="0"/>
        <w:spacing w:line="360" w:lineRule="auto"/>
        <w:ind w:firstLine="480" w:firstLineChars="200"/>
        <w:rPr>
          <w:rFonts w:asciiTheme="minorEastAsia" w:eastAsiaTheme="minorEastAsia" w:hAnsiTheme="minorEastAsia" w:cstheme="minorEastAsia"/>
          <w:sz w:val="24"/>
        </w:rPr>
        <w:sectPr>
          <w:footerReference w:type="default" r:id="rId12"/>
          <w:type w:val="nextPage"/>
          <w:pgSz w:w="11906" w:h="16838"/>
          <w:pgMar w:top="1440" w:right="1800" w:bottom="1440" w:left="1800" w:header="851" w:footer="992" w:gutter="0"/>
          <w:pgNumType w:start="3"/>
          <w:cols w:space="425"/>
          <w:titlePg w:val="0"/>
          <w:docGrid w:type="lines" w:linePitch="312"/>
        </w:sectPr>
      </w:pPr>
      <w:r>
        <w:rPr>
          <w:rFonts w:asciiTheme="minorEastAsia" w:eastAsiaTheme="minorEastAsia" w:hAnsiTheme="minorEastAsia" w:cstheme="minorEastAsia" w:hint="eastAsia"/>
          <w:sz w:val="24"/>
          <w:szCs w:val="24"/>
        </w:rPr>
        <w:t>项目联系方式：</w:t>
      </w:r>
      <w:r>
        <w:rPr>
          <w:rFonts w:asciiTheme="minorEastAsia" w:eastAsiaTheme="minorEastAsia" w:hAnsiTheme="minorEastAsia" w:cstheme="minorEastAsia" w:hint="eastAsia"/>
          <w:sz w:val="24"/>
        </w:rPr>
        <w:t xml:space="preserve">                      </w:t>
      </w:r>
    </w:p>
    <w:p w:rsidR="00FF4C10">
      <w:pPr>
        <w:widowControl/>
        <w:spacing w:line="360" w:lineRule="auto"/>
        <w:ind w:firstLine="54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质疑联系人：池女士</w:t>
      </w:r>
    </w:p>
    <w:p w:rsidR="00FF4C10">
      <w:pPr>
        <w:widowControl/>
        <w:spacing w:line="360" w:lineRule="auto"/>
        <w:ind w:firstLine="54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质疑联系方式：</w:t>
      </w:r>
    </w:p>
    <w:p w:rsidR="00FF4C10">
      <w:pPr>
        <w:widowControl/>
        <w:spacing w:line="360" w:lineRule="auto"/>
        <w:ind w:firstLine="54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地址：浙江省绍兴市上虞区便民服务中心三楼</w:t>
      </w:r>
    </w:p>
    <w:p w:rsidR="00FF4C10">
      <w:pPr>
        <w:adjustRightInd w:val="0"/>
        <w:spacing w:line="360"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2．采购人名称：</w:t>
      </w:r>
      <w:r>
        <w:rPr>
          <w:rFonts w:asciiTheme="minorEastAsia" w:eastAsiaTheme="minorEastAsia" w:hAnsiTheme="minorEastAsia" w:cstheme="minorEastAsia" w:hint="eastAsia"/>
          <w:sz w:val="24"/>
        </w:rPr>
        <w:t>浙江省上虞中学</w:t>
      </w:r>
    </w:p>
    <w:p w:rsidR="00FF4C10">
      <w:pPr>
        <w:adjustRightInd w:val="0"/>
        <w:spacing w:line="360"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项目联系人：何先生</w:t>
      </w:r>
    </w:p>
    <w:p w:rsidR="00FF4C10">
      <w:pPr>
        <w:adjustRightInd w:val="0"/>
        <w:spacing w:line="360"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项目联系方式：</w:t>
      </w:r>
    </w:p>
    <w:p w:rsidR="00FF4C10">
      <w:pPr>
        <w:adjustRightInd w:val="0"/>
        <w:spacing w:line="360"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质疑联系人：应先生</w:t>
      </w:r>
    </w:p>
    <w:p w:rsidR="00FF4C10">
      <w:pPr>
        <w:adjustRightInd w:val="0"/>
        <w:spacing w:line="360"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质疑联系方式：</w:t>
      </w:r>
    </w:p>
    <w:p w:rsidR="00FF4C10">
      <w:pPr>
        <w:adjustRightInd w:val="0"/>
        <w:spacing w:line="360"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地址：绍兴市上虞区人民西路786号</w:t>
      </w:r>
    </w:p>
    <w:p w:rsidR="00FF4C10">
      <w:pPr>
        <w:adjustRightInd w:val="0"/>
        <w:spacing w:line="360"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3．同级政府采购监督管理部门名称：上虞区财政局政府采购监管科</w:t>
      </w:r>
    </w:p>
    <w:p w:rsidR="00FF4C10">
      <w:pPr>
        <w:adjustRightInd w:val="0"/>
        <w:spacing w:line="360"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联系人：谷先生</w:t>
      </w:r>
    </w:p>
    <w:p w:rsidR="00FF4C10">
      <w:pPr>
        <w:adjustRightInd w:val="0"/>
        <w:spacing w:line="360"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监督投诉电话：</w:t>
      </w:r>
    </w:p>
    <w:p w:rsidR="00FF4C10">
      <w:pPr>
        <w:adjustRightInd w:val="0"/>
        <w:spacing w:line="360"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传真：</w:t>
      </w:r>
    </w:p>
    <w:p w:rsidR="00FF4C10">
      <w:pPr>
        <w:adjustRightInd w:val="0"/>
        <w:spacing w:line="360" w:lineRule="auto"/>
        <w:ind w:firstLine="480" w:firstLineChars="200"/>
        <w:rPr>
          <w:rFonts w:asciiTheme="minorEastAsia" w:eastAsiaTheme="minorEastAsia" w:hAnsiTheme="minorEastAsia" w:cstheme="minorEastAsia"/>
          <w:sz w:val="24"/>
          <w:szCs w:val="24"/>
        </w:rPr>
        <w:sectPr>
          <w:footerReference w:type="default" r:id="rId13"/>
          <w:type w:val="nextPage"/>
          <w:pgSz w:w="11906" w:h="16838"/>
          <w:pgMar w:top="1440" w:right="1800" w:bottom="1440" w:left="1800" w:header="851" w:footer="992" w:gutter="0"/>
          <w:pgNumType w:start="4"/>
          <w:cols w:space="425"/>
          <w:titlePg w:val="0"/>
          <w:docGrid w:type="lines" w:linePitch="312"/>
        </w:sectPr>
      </w:pPr>
      <w:r>
        <w:rPr>
          <w:rFonts w:asciiTheme="minorEastAsia" w:eastAsiaTheme="minorEastAsia" w:hAnsiTheme="minorEastAsia" w:cstheme="minorEastAsia" w:hint="eastAsia"/>
          <w:sz w:val="24"/>
          <w:szCs w:val="24"/>
        </w:rPr>
        <w:t>地址：绍兴市上虞区体育场路18号</w:t>
      </w:r>
    </w:p>
    <w:p w:rsidR="00FF4C10">
      <w:pPr>
        <w:spacing w:line="360" w:lineRule="auto"/>
        <w:jc w:val="center"/>
        <w:outlineLvl w:val="0"/>
        <w:rPr>
          <w:rFonts w:asciiTheme="minorEastAsia" w:eastAsiaTheme="minorEastAsia" w:hAnsiTheme="minorEastAsia" w:cstheme="minorEastAsia"/>
          <w:b/>
          <w:bCs/>
          <w:sz w:val="36"/>
          <w:szCs w:val="36"/>
        </w:rPr>
      </w:pPr>
      <w:bookmarkStart w:id="8" w:name="_Toc9942"/>
      <w:bookmarkStart w:id="9" w:name="_Toc29834"/>
      <w:bookmarkStart w:id="10" w:name="_Toc546"/>
      <w:r>
        <w:rPr>
          <w:rStyle w:val="11"/>
          <w:rFonts w:asciiTheme="minorEastAsia" w:eastAsiaTheme="minorEastAsia" w:hAnsiTheme="minorEastAsia" w:cstheme="minorEastAsia" w:hint="eastAsia"/>
          <w:sz w:val="36"/>
          <w:szCs w:val="36"/>
        </w:rPr>
        <w:t>第二部分</w:t>
      </w:r>
      <w:bookmarkEnd w:id="4"/>
      <w:bookmarkEnd w:id="5"/>
      <w:r>
        <w:rPr>
          <w:rStyle w:val="11"/>
          <w:rFonts w:asciiTheme="minorEastAsia" w:eastAsiaTheme="minorEastAsia" w:hAnsiTheme="minorEastAsia" w:cstheme="minorEastAsia" w:hint="eastAsia"/>
          <w:sz w:val="36"/>
          <w:szCs w:val="36"/>
        </w:rPr>
        <w:t>供应商须知</w:t>
      </w:r>
      <w:bookmarkEnd w:id="8"/>
      <w:bookmarkEnd w:id="9"/>
      <w:bookmarkEnd w:id="10"/>
    </w:p>
    <w:p w:rsidR="00FF4C10">
      <w:pPr>
        <w:widowControl/>
        <w:adjustRightInd w:val="0"/>
        <w:snapToGrid w:val="0"/>
        <w:spacing w:line="360" w:lineRule="auto"/>
        <w:jc w:val="center"/>
        <w:rPr>
          <w:rFonts w:asciiTheme="minorEastAsia" w:eastAsiaTheme="minorEastAsia" w:hAnsiTheme="minorEastAsia" w:cstheme="minorEastAsia"/>
          <w:b/>
          <w:bCs/>
          <w:snapToGrid w:val="0"/>
          <w:sz w:val="32"/>
          <w:szCs w:val="32"/>
        </w:rPr>
      </w:pPr>
      <w:r>
        <w:rPr>
          <w:rFonts w:asciiTheme="minorEastAsia" w:eastAsiaTheme="minorEastAsia" w:hAnsiTheme="minorEastAsia" w:cstheme="minorEastAsia" w:hint="eastAsia"/>
          <w:b/>
          <w:bCs/>
          <w:snapToGrid w:val="0"/>
          <w:sz w:val="30"/>
          <w:szCs w:val="30"/>
        </w:rPr>
        <w:t>供应商须知前附表</w:t>
      </w:r>
    </w:p>
    <w:tbl>
      <w:tblPr>
        <w:tblStyle w:val="TableNormal"/>
        <w:tblW w:w="9130"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648"/>
        <w:gridCol w:w="1907"/>
        <w:gridCol w:w="6575"/>
      </w:tblGrid>
      <w:tr>
        <w:tblPrEx>
          <w:tblW w:w="9130"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Ex>
        <w:trPr>
          <w:cantSplit/>
          <w:trHeight w:val="364"/>
          <w:tblHeader/>
          <w:jc w:val="center"/>
        </w:trPr>
        <w:tc>
          <w:tcPr>
            <w:tcW w:w="648" w:type="dxa"/>
            <w:tcBorders>
              <w:top w:val="double" w:sz="4" w:space="0" w:color="auto"/>
            </w:tcBorders>
            <w:vAlign w:val="center"/>
          </w:tcPr>
          <w:p w:rsidR="00FF4C10">
            <w:pPr>
              <w:snapToGrid w:val="0"/>
              <w:jc w:val="center"/>
              <w:rPr>
                <w:rFonts w:asciiTheme="minorEastAsia" w:eastAsiaTheme="minorEastAsia" w:hAnsiTheme="minorEastAsia" w:cstheme="minorEastAsia"/>
                <w:b/>
                <w:bCs/>
                <w:snapToGrid w:val="0"/>
              </w:rPr>
            </w:pPr>
            <w:r>
              <w:rPr>
                <w:rFonts w:asciiTheme="minorEastAsia" w:eastAsiaTheme="minorEastAsia" w:hAnsiTheme="minorEastAsia" w:cstheme="minorEastAsia" w:hint="eastAsia"/>
                <w:b/>
                <w:bCs/>
                <w:snapToGrid w:val="0"/>
              </w:rPr>
              <w:t>序号</w:t>
            </w:r>
          </w:p>
        </w:tc>
        <w:tc>
          <w:tcPr>
            <w:tcW w:w="1907" w:type="dxa"/>
            <w:tcBorders>
              <w:top w:val="double" w:sz="4" w:space="0" w:color="auto"/>
            </w:tcBorders>
            <w:vAlign w:val="center"/>
          </w:tcPr>
          <w:p w:rsidR="00FF4C10">
            <w:pPr>
              <w:snapToGrid w:val="0"/>
              <w:jc w:val="center"/>
              <w:rPr>
                <w:rFonts w:asciiTheme="minorEastAsia" w:eastAsiaTheme="minorEastAsia" w:hAnsiTheme="minorEastAsia" w:cstheme="minorEastAsia"/>
                <w:b/>
                <w:bCs/>
                <w:snapToGrid w:val="0"/>
              </w:rPr>
            </w:pPr>
            <w:r>
              <w:rPr>
                <w:rFonts w:asciiTheme="minorEastAsia" w:eastAsiaTheme="minorEastAsia" w:hAnsiTheme="minorEastAsia" w:cstheme="minorEastAsia" w:hint="eastAsia"/>
                <w:b/>
                <w:bCs/>
                <w:snapToGrid w:val="0"/>
              </w:rPr>
              <w:t>项目</w:t>
            </w:r>
          </w:p>
        </w:tc>
        <w:tc>
          <w:tcPr>
            <w:tcW w:w="6575" w:type="dxa"/>
            <w:tcBorders>
              <w:top w:val="double" w:sz="4" w:space="0" w:color="auto"/>
            </w:tcBorders>
            <w:vAlign w:val="center"/>
          </w:tcPr>
          <w:p w:rsidR="00FF4C10">
            <w:pPr>
              <w:snapToGrid w:val="0"/>
              <w:jc w:val="center"/>
              <w:rPr>
                <w:rFonts w:asciiTheme="minorEastAsia" w:eastAsiaTheme="minorEastAsia" w:hAnsiTheme="minorEastAsia" w:cstheme="minorEastAsia"/>
                <w:b/>
                <w:bCs/>
                <w:snapToGrid w:val="0"/>
              </w:rPr>
            </w:pPr>
            <w:r>
              <w:rPr>
                <w:rFonts w:asciiTheme="minorEastAsia" w:eastAsiaTheme="minorEastAsia" w:hAnsiTheme="minorEastAsia" w:cstheme="minorEastAsia" w:hint="eastAsia"/>
                <w:b/>
                <w:bCs/>
                <w:snapToGrid w:val="0"/>
              </w:rPr>
              <w:t>内容</w:t>
            </w:r>
          </w:p>
        </w:tc>
      </w:tr>
      <w:tr>
        <w:tblPrEx>
          <w:tblW w:w="9130" w:type="dxa"/>
          <w:jc w:val="center"/>
          <w:tblLayout w:type="fixed"/>
          <w:tblLook w:val="04A0"/>
        </w:tblPrEx>
        <w:trPr>
          <w:trHeight w:val="447"/>
          <w:jc w:val="center"/>
        </w:trPr>
        <w:tc>
          <w:tcPr>
            <w:tcW w:w="648" w:type="dxa"/>
            <w:vAlign w:val="center"/>
          </w:tcPr>
          <w:p w:rsidR="00FF4C10">
            <w:pPr>
              <w:snapToGrid w:val="0"/>
              <w:jc w:val="center"/>
              <w:rPr>
                <w:rFonts w:asciiTheme="minorEastAsia" w:eastAsiaTheme="minorEastAsia" w:hAnsiTheme="minorEastAsia" w:cstheme="minorEastAsia"/>
                <w:snapToGrid w:val="0"/>
              </w:rPr>
            </w:pPr>
            <w:r>
              <w:rPr>
                <w:rFonts w:asciiTheme="minorEastAsia" w:eastAsiaTheme="minorEastAsia" w:hAnsiTheme="minorEastAsia" w:cstheme="minorEastAsia" w:hint="eastAsia"/>
                <w:snapToGrid w:val="0"/>
              </w:rPr>
              <w:t>1</w:t>
            </w:r>
          </w:p>
        </w:tc>
        <w:tc>
          <w:tcPr>
            <w:tcW w:w="1907" w:type="dxa"/>
            <w:vAlign w:val="center"/>
          </w:tcPr>
          <w:p w:rsidR="00FF4C10">
            <w:pPr>
              <w:snapToGrid w:val="0"/>
              <w:jc w:val="center"/>
              <w:rPr>
                <w:rFonts w:asciiTheme="minorEastAsia" w:eastAsiaTheme="minorEastAsia" w:hAnsiTheme="minorEastAsia" w:cstheme="minorEastAsia"/>
                <w:snapToGrid w:val="0"/>
              </w:rPr>
            </w:pPr>
            <w:r>
              <w:rPr>
                <w:rFonts w:asciiTheme="minorEastAsia" w:eastAsiaTheme="minorEastAsia" w:hAnsiTheme="minorEastAsia" w:cstheme="minorEastAsia" w:hint="eastAsia"/>
                <w:snapToGrid w:val="0"/>
              </w:rPr>
              <w:t>项目名称</w:t>
            </w:r>
          </w:p>
        </w:tc>
        <w:tc>
          <w:tcPr>
            <w:tcW w:w="6575" w:type="dxa"/>
            <w:vAlign w:val="center"/>
          </w:tcPr>
          <w:p w:rsidR="00FF4C10">
            <w:pPr>
              <w:snapToGrid w:val="0"/>
              <w:ind w:firstLine="400" w:firstLineChars="200"/>
              <w:rPr>
                <w:rFonts w:asciiTheme="minorEastAsia" w:eastAsiaTheme="minorEastAsia" w:hAnsiTheme="minorEastAsia" w:cstheme="minorEastAsia"/>
                <w:snapToGrid w:val="0"/>
              </w:rPr>
            </w:pPr>
            <w:r>
              <w:rPr>
                <w:rFonts w:asciiTheme="minorEastAsia" w:eastAsiaTheme="minorEastAsia" w:hAnsiTheme="minorEastAsia" w:cstheme="minorEastAsia" w:hint="eastAsia"/>
                <w:snapToGrid w:val="0"/>
              </w:rPr>
              <w:t>上虞中学86寸一体机采购项目</w:t>
            </w:r>
          </w:p>
        </w:tc>
      </w:tr>
      <w:tr>
        <w:tblPrEx>
          <w:tblW w:w="9130" w:type="dxa"/>
          <w:jc w:val="center"/>
          <w:tblLayout w:type="fixed"/>
          <w:tblLook w:val="04A0"/>
        </w:tblPrEx>
        <w:trPr>
          <w:trHeight w:val="417"/>
          <w:jc w:val="center"/>
        </w:trPr>
        <w:tc>
          <w:tcPr>
            <w:tcW w:w="648" w:type="dxa"/>
            <w:vAlign w:val="center"/>
          </w:tcPr>
          <w:p w:rsidR="00FF4C10">
            <w:pPr>
              <w:snapToGrid w:val="0"/>
              <w:jc w:val="center"/>
              <w:rPr>
                <w:rFonts w:asciiTheme="minorEastAsia" w:eastAsiaTheme="minorEastAsia" w:hAnsiTheme="minorEastAsia" w:cstheme="minorEastAsia"/>
                <w:snapToGrid w:val="0"/>
              </w:rPr>
            </w:pPr>
            <w:r>
              <w:rPr>
                <w:rFonts w:asciiTheme="minorEastAsia" w:eastAsiaTheme="minorEastAsia" w:hAnsiTheme="minorEastAsia" w:cstheme="minorEastAsia" w:hint="eastAsia"/>
                <w:snapToGrid w:val="0"/>
              </w:rPr>
              <w:t>2</w:t>
            </w:r>
          </w:p>
        </w:tc>
        <w:tc>
          <w:tcPr>
            <w:tcW w:w="1907" w:type="dxa"/>
            <w:vAlign w:val="center"/>
          </w:tcPr>
          <w:p w:rsidR="00FF4C10">
            <w:pPr>
              <w:snapToGrid w:val="0"/>
              <w:jc w:val="center"/>
              <w:rPr>
                <w:rFonts w:asciiTheme="minorEastAsia" w:eastAsiaTheme="minorEastAsia" w:hAnsiTheme="minorEastAsia" w:cstheme="minorEastAsia"/>
                <w:snapToGrid w:val="0"/>
              </w:rPr>
            </w:pPr>
            <w:r>
              <w:rPr>
                <w:rFonts w:asciiTheme="minorEastAsia" w:eastAsiaTheme="minorEastAsia" w:hAnsiTheme="minorEastAsia" w:cstheme="minorEastAsia" w:hint="eastAsia"/>
                <w:snapToGrid w:val="0"/>
              </w:rPr>
              <w:t>项目实施时间</w:t>
            </w:r>
          </w:p>
        </w:tc>
        <w:tc>
          <w:tcPr>
            <w:tcW w:w="6575" w:type="dxa"/>
            <w:vAlign w:val="center"/>
          </w:tcPr>
          <w:p w:rsidR="00FF4C10">
            <w:pPr>
              <w:ind w:firstLine="400" w:firstLineChars="200"/>
              <w:rPr>
                <w:rFonts w:asciiTheme="minorEastAsia" w:eastAsiaTheme="minorEastAsia" w:hAnsiTheme="minorEastAsia" w:cstheme="minorEastAsia"/>
                <w:b/>
                <w:bCs/>
              </w:rPr>
            </w:pPr>
            <w:r>
              <w:rPr>
                <w:rFonts w:asciiTheme="minorEastAsia" w:eastAsiaTheme="minorEastAsia" w:hAnsiTheme="minorEastAsia" w:cstheme="minorEastAsia" w:hint="eastAsia"/>
                <w:b/>
                <w:bCs/>
              </w:rPr>
              <w:t>签订合同后在24个月内分散安装，每次安装时间以收到采购人指令后3天内完成设备安装及调试</w:t>
            </w:r>
          </w:p>
        </w:tc>
      </w:tr>
      <w:tr>
        <w:tblPrEx>
          <w:tblW w:w="9130" w:type="dxa"/>
          <w:jc w:val="center"/>
          <w:tblLayout w:type="fixed"/>
          <w:tblLook w:val="04A0"/>
        </w:tblPrEx>
        <w:trPr>
          <w:trHeight w:val="387"/>
          <w:jc w:val="center"/>
        </w:trPr>
        <w:tc>
          <w:tcPr>
            <w:tcW w:w="648" w:type="dxa"/>
            <w:vAlign w:val="center"/>
          </w:tcPr>
          <w:p w:rsidR="00FF4C10">
            <w:pPr>
              <w:snapToGrid w:val="0"/>
              <w:jc w:val="center"/>
              <w:rPr>
                <w:rFonts w:asciiTheme="minorEastAsia" w:eastAsiaTheme="minorEastAsia" w:hAnsiTheme="minorEastAsia" w:cstheme="minorEastAsia"/>
                <w:snapToGrid w:val="0"/>
              </w:rPr>
            </w:pPr>
            <w:r>
              <w:rPr>
                <w:rFonts w:asciiTheme="minorEastAsia" w:eastAsiaTheme="minorEastAsia" w:hAnsiTheme="minorEastAsia" w:cstheme="minorEastAsia" w:hint="eastAsia"/>
                <w:snapToGrid w:val="0"/>
              </w:rPr>
              <w:t>3</w:t>
            </w:r>
          </w:p>
        </w:tc>
        <w:tc>
          <w:tcPr>
            <w:tcW w:w="1907" w:type="dxa"/>
            <w:vAlign w:val="center"/>
          </w:tcPr>
          <w:p w:rsidR="00FF4C10">
            <w:pPr>
              <w:snapToGrid w:val="0"/>
              <w:jc w:val="center"/>
              <w:rPr>
                <w:rFonts w:asciiTheme="minorEastAsia" w:eastAsiaTheme="minorEastAsia" w:hAnsiTheme="minorEastAsia" w:cstheme="minorEastAsia"/>
                <w:b/>
                <w:bCs/>
                <w:snapToGrid w:val="0"/>
              </w:rPr>
            </w:pPr>
            <w:r>
              <w:rPr>
                <w:rFonts w:asciiTheme="minorEastAsia" w:eastAsiaTheme="minorEastAsia" w:hAnsiTheme="minorEastAsia" w:cstheme="minorEastAsia" w:hint="eastAsia"/>
                <w:b/>
                <w:bCs/>
                <w:snapToGrid w:val="0"/>
              </w:rPr>
              <w:t>最高限价</w:t>
            </w:r>
          </w:p>
        </w:tc>
        <w:tc>
          <w:tcPr>
            <w:tcW w:w="6575" w:type="dxa"/>
            <w:vAlign w:val="center"/>
          </w:tcPr>
          <w:p w:rsidR="00FF4C10">
            <w:pPr>
              <w:snapToGrid w:val="0"/>
              <w:ind w:firstLine="400" w:firstLineChars="200"/>
              <w:rPr>
                <w:rFonts w:asciiTheme="minorEastAsia" w:eastAsiaTheme="minorEastAsia" w:hAnsiTheme="minorEastAsia" w:cstheme="minorEastAsia"/>
                <w:b/>
                <w:bCs/>
                <w:snapToGrid w:val="0"/>
              </w:rPr>
            </w:pPr>
            <w:r>
              <w:rPr>
                <w:rFonts w:asciiTheme="minorEastAsia" w:eastAsiaTheme="minorEastAsia" w:hAnsiTheme="minorEastAsia" w:cstheme="minorEastAsia" w:hint="eastAsia"/>
              </w:rPr>
              <w:t>本项目最高限价人民币</w:t>
            </w:r>
            <w:r>
              <w:rPr>
                <w:rFonts w:asciiTheme="minorEastAsia" w:eastAsiaTheme="minorEastAsia" w:hAnsiTheme="minorEastAsia" w:cstheme="minorEastAsia" w:hint="eastAsia"/>
                <w:u w:val="single"/>
              </w:rPr>
              <w:t xml:space="preserve"> 30.6 </w:t>
            </w:r>
            <w:r>
              <w:rPr>
                <w:rFonts w:asciiTheme="minorEastAsia" w:eastAsiaTheme="minorEastAsia" w:hAnsiTheme="minorEastAsia" w:cstheme="minorEastAsia" w:hint="eastAsia"/>
              </w:rPr>
              <w:t>万元。</w:t>
            </w:r>
          </w:p>
        </w:tc>
      </w:tr>
      <w:tr>
        <w:tblPrEx>
          <w:tblW w:w="9130" w:type="dxa"/>
          <w:jc w:val="center"/>
          <w:tblLayout w:type="fixed"/>
          <w:tblLook w:val="04A0"/>
        </w:tblPrEx>
        <w:trPr>
          <w:trHeight w:val="567"/>
          <w:jc w:val="center"/>
        </w:trPr>
        <w:tc>
          <w:tcPr>
            <w:tcW w:w="648" w:type="dxa"/>
            <w:vAlign w:val="center"/>
          </w:tcPr>
          <w:p w:rsidR="00FF4C10">
            <w:pPr>
              <w:snapToGrid w:val="0"/>
              <w:jc w:val="center"/>
              <w:rPr>
                <w:rFonts w:asciiTheme="minorEastAsia" w:eastAsiaTheme="minorEastAsia" w:hAnsiTheme="minorEastAsia" w:cstheme="minorEastAsia"/>
                <w:snapToGrid w:val="0"/>
              </w:rPr>
            </w:pPr>
            <w:r>
              <w:rPr>
                <w:rFonts w:asciiTheme="minorEastAsia" w:eastAsiaTheme="minorEastAsia" w:hAnsiTheme="minorEastAsia" w:cstheme="minorEastAsia" w:hint="eastAsia"/>
                <w:snapToGrid w:val="0"/>
              </w:rPr>
              <w:t xml:space="preserve">                                                                                                   4</w:t>
            </w:r>
          </w:p>
        </w:tc>
        <w:tc>
          <w:tcPr>
            <w:tcW w:w="1907" w:type="dxa"/>
            <w:vAlign w:val="center"/>
          </w:tcPr>
          <w:p w:rsidR="00FF4C10">
            <w:pPr>
              <w:snapToGrid w:val="0"/>
              <w:jc w:val="center"/>
              <w:rPr>
                <w:rFonts w:asciiTheme="minorEastAsia" w:eastAsiaTheme="minorEastAsia" w:hAnsiTheme="minorEastAsia" w:cstheme="minorEastAsia"/>
                <w:snapToGrid w:val="0"/>
              </w:rPr>
            </w:pPr>
            <w:r>
              <w:rPr>
                <w:rFonts w:asciiTheme="minorEastAsia" w:eastAsiaTheme="minorEastAsia" w:hAnsiTheme="minorEastAsia" w:cstheme="minorEastAsia" w:hint="eastAsia"/>
                <w:snapToGrid w:val="0"/>
              </w:rPr>
              <w:t>资格审查方式</w:t>
            </w:r>
          </w:p>
        </w:tc>
        <w:tc>
          <w:tcPr>
            <w:tcW w:w="6575" w:type="dxa"/>
            <w:vAlign w:val="center"/>
          </w:tcPr>
          <w:p w:rsidR="00FF4C10">
            <w:pPr>
              <w:snapToGrid w:val="0"/>
              <w:ind w:firstLine="400" w:firstLineChars="200"/>
              <w:rPr>
                <w:rFonts w:asciiTheme="minorEastAsia" w:eastAsiaTheme="minorEastAsia" w:hAnsiTheme="minorEastAsia" w:cstheme="minorEastAsia"/>
                <w:snapToGrid w:val="0"/>
              </w:rPr>
            </w:pPr>
            <w:r>
              <w:rPr>
                <w:rFonts w:asciiTheme="minorEastAsia" w:eastAsiaTheme="minorEastAsia" w:hAnsiTheme="minorEastAsia" w:cstheme="minorEastAsia" w:hint="eastAsia"/>
                <w:snapToGrid w:val="0"/>
              </w:rPr>
              <w:t>资格审查是指开标后，询价小组将依据法律法规和询价文件的规定对供应商的资格进行审查。</w:t>
            </w:r>
          </w:p>
        </w:tc>
      </w:tr>
      <w:tr>
        <w:tblPrEx>
          <w:tblW w:w="9130" w:type="dxa"/>
          <w:jc w:val="center"/>
          <w:tblLayout w:type="fixed"/>
          <w:tblLook w:val="04A0"/>
        </w:tblPrEx>
        <w:trPr>
          <w:trHeight w:val="312"/>
          <w:jc w:val="center"/>
        </w:trPr>
        <w:tc>
          <w:tcPr>
            <w:tcW w:w="648" w:type="dxa"/>
            <w:vAlign w:val="center"/>
          </w:tcPr>
          <w:p w:rsidR="00FF4C10">
            <w:pPr>
              <w:snapToGrid w:val="0"/>
              <w:jc w:val="center"/>
              <w:rPr>
                <w:rFonts w:asciiTheme="minorEastAsia" w:eastAsiaTheme="minorEastAsia" w:hAnsiTheme="minorEastAsia" w:cstheme="minorEastAsia"/>
                <w:snapToGrid w:val="0"/>
              </w:rPr>
            </w:pPr>
            <w:r>
              <w:rPr>
                <w:rFonts w:asciiTheme="minorEastAsia" w:eastAsiaTheme="minorEastAsia" w:hAnsiTheme="minorEastAsia" w:cstheme="minorEastAsia" w:hint="eastAsia"/>
                <w:snapToGrid w:val="0"/>
              </w:rPr>
              <w:t>5</w:t>
            </w:r>
          </w:p>
        </w:tc>
        <w:tc>
          <w:tcPr>
            <w:tcW w:w="1907" w:type="dxa"/>
            <w:vAlign w:val="center"/>
          </w:tcPr>
          <w:p w:rsidR="00FF4C10">
            <w:pPr>
              <w:snapToGrid w:val="0"/>
              <w:jc w:val="center"/>
              <w:rPr>
                <w:rFonts w:asciiTheme="minorEastAsia" w:eastAsiaTheme="minorEastAsia" w:hAnsiTheme="minorEastAsia" w:cstheme="minorEastAsia"/>
                <w:snapToGrid w:val="0"/>
              </w:rPr>
            </w:pPr>
            <w:r>
              <w:rPr>
                <w:rFonts w:asciiTheme="minorEastAsia" w:eastAsiaTheme="minorEastAsia" w:hAnsiTheme="minorEastAsia" w:cstheme="minorEastAsia" w:hint="eastAsia"/>
                <w:snapToGrid w:val="0"/>
              </w:rPr>
              <w:t>踏勘现场</w:t>
            </w:r>
          </w:p>
        </w:tc>
        <w:tc>
          <w:tcPr>
            <w:tcW w:w="6575" w:type="dxa"/>
            <w:vAlign w:val="center"/>
          </w:tcPr>
          <w:p w:rsidR="00FF4C10">
            <w:pPr>
              <w:snapToGrid w:val="0"/>
              <w:ind w:firstLine="400" w:firstLineChars="200"/>
              <w:rPr>
                <w:rFonts w:asciiTheme="minorEastAsia" w:eastAsiaTheme="minorEastAsia" w:hAnsiTheme="minorEastAsia" w:cstheme="minorEastAsia"/>
                <w:snapToGrid w:val="0"/>
              </w:rPr>
            </w:pPr>
            <w:r>
              <w:rPr>
                <w:rFonts w:asciiTheme="minorEastAsia" w:eastAsiaTheme="minorEastAsia" w:hAnsiTheme="minorEastAsia" w:cstheme="minorEastAsia" w:hint="eastAsia"/>
                <w:b/>
                <w:bCs/>
                <w:snapToGrid w:val="0"/>
              </w:rPr>
              <w:t>本项目不组织现场踏勘</w:t>
            </w:r>
          </w:p>
        </w:tc>
      </w:tr>
      <w:tr>
        <w:tblPrEx>
          <w:tblW w:w="9130" w:type="dxa"/>
          <w:jc w:val="center"/>
          <w:tblLayout w:type="fixed"/>
          <w:tblLook w:val="04A0"/>
        </w:tblPrEx>
        <w:trPr>
          <w:trHeight w:val="567"/>
          <w:jc w:val="center"/>
        </w:trPr>
        <w:tc>
          <w:tcPr>
            <w:tcW w:w="648" w:type="dxa"/>
            <w:vAlign w:val="center"/>
          </w:tcPr>
          <w:p w:rsidR="00FF4C10">
            <w:pPr>
              <w:snapToGrid w:val="0"/>
              <w:jc w:val="center"/>
              <w:rPr>
                <w:rFonts w:asciiTheme="minorEastAsia" w:eastAsiaTheme="minorEastAsia" w:hAnsiTheme="minorEastAsia" w:cstheme="minorEastAsia"/>
                <w:snapToGrid w:val="0"/>
              </w:rPr>
            </w:pPr>
            <w:r>
              <w:rPr>
                <w:rFonts w:asciiTheme="minorEastAsia" w:eastAsiaTheme="minorEastAsia" w:hAnsiTheme="minorEastAsia" w:cstheme="minorEastAsia" w:hint="eastAsia"/>
                <w:snapToGrid w:val="0"/>
              </w:rPr>
              <w:t>6</w:t>
            </w:r>
          </w:p>
        </w:tc>
        <w:tc>
          <w:tcPr>
            <w:tcW w:w="1907" w:type="dxa"/>
            <w:vAlign w:val="center"/>
          </w:tcPr>
          <w:p w:rsidR="00FF4C10">
            <w:pPr>
              <w:snapToGrid w:val="0"/>
              <w:jc w:val="center"/>
              <w:rPr>
                <w:rFonts w:asciiTheme="minorEastAsia" w:eastAsiaTheme="minorEastAsia" w:hAnsiTheme="minorEastAsia" w:cstheme="minorEastAsia"/>
                <w:snapToGrid w:val="0"/>
              </w:rPr>
            </w:pPr>
            <w:r>
              <w:rPr>
                <w:rFonts w:asciiTheme="minorEastAsia" w:eastAsiaTheme="minorEastAsia" w:hAnsiTheme="minorEastAsia" w:cstheme="minorEastAsia" w:hint="eastAsia"/>
                <w:snapToGrid w:val="0"/>
              </w:rPr>
              <w:t>询问</w:t>
            </w:r>
          </w:p>
        </w:tc>
        <w:tc>
          <w:tcPr>
            <w:tcW w:w="6575" w:type="dxa"/>
            <w:vAlign w:val="center"/>
          </w:tcPr>
          <w:p w:rsidR="00FF4C10">
            <w:pPr>
              <w:snapToGrid w:val="0"/>
              <w:ind w:firstLine="400" w:firstLineChars="200"/>
              <w:rPr>
                <w:rFonts w:asciiTheme="minorEastAsia" w:eastAsiaTheme="minorEastAsia" w:hAnsiTheme="minorEastAsia" w:cstheme="minorEastAsia"/>
                <w:snapToGrid w:val="0"/>
              </w:rPr>
            </w:pPr>
            <w:r>
              <w:rPr>
                <w:rFonts w:asciiTheme="minorEastAsia" w:eastAsiaTheme="minorEastAsia" w:hAnsiTheme="minorEastAsia" w:cstheme="minorEastAsia" w:hint="eastAsia"/>
                <w:snapToGrid w:val="0"/>
              </w:rPr>
              <w:t>供应商对政府采购活动事项有疑问的，可以向采购机构提出询问，采购人或者招标代理机构应当在3个工作日内对供应商依法提出的询问作出答复，但答复的内容不得涉及商业秘密。</w:t>
            </w:r>
          </w:p>
        </w:tc>
      </w:tr>
      <w:tr>
        <w:tblPrEx>
          <w:tblW w:w="9130" w:type="dxa"/>
          <w:jc w:val="center"/>
          <w:tblLayout w:type="fixed"/>
          <w:tblLook w:val="04A0"/>
        </w:tblPrEx>
        <w:trPr>
          <w:trHeight w:val="567"/>
          <w:jc w:val="center"/>
        </w:trPr>
        <w:tc>
          <w:tcPr>
            <w:tcW w:w="648" w:type="dxa"/>
            <w:vAlign w:val="center"/>
          </w:tcPr>
          <w:p w:rsidR="00FF4C10">
            <w:pPr>
              <w:snapToGrid w:val="0"/>
              <w:jc w:val="center"/>
              <w:rPr>
                <w:rFonts w:asciiTheme="minorEastAsia" w:eastAsiaTheme="minorEastAsia" w:hAnsiTheme="minorEastAsia" w:cstheme="minorEastAsia"/>
                <w:snapToGrid w:val="0"/>
              </w:rPr>
            </w:pPr>
            <w:r>
              <w:rPr>
                <w:rFonts w:asciiTheme="minorEastAsia" w:eastAsiaTheme="minorEastAsia" w:hAnsiTheme="minorEastAsia" w:cstheme="minorEastAsia" w:hint="eastAsia"/>
                <w:snapToGrid w:val="0"/>
              </w:rPr>
              <w:t>7</w:t>
            </w:r>
          </w:p>
        </w:tc>
        <w:tc>
          <w:tcPr>
            <w:tcW w:w="1907" w:type="dxa"/>
            <w:vAlign w:val="center"/>
          </w:tcPr>
          <w:p w:rsidR="00FF4C10">
            <w:pPr>
              <w:snapToGrid w:val="0"/>
              <w:jc w:val="center"/>
              <w:rPr>
                <w:rFonts w:asciiTheme="minorEastAsia" w:eastAsiaTheme="minorEastAsia" w:hAnsiTheme="minorEastAsia" w:cstheme="minorEastAsia"/>
                <w:snapToGrid w:val="0"/>
              </w:rPr>
            </w:pPr>
            <w:r>
              <w:rPr>
                <w:rFonts w:asciiTheme="minorEastAsia" w:eastAsiaTheme="minorEastAsia" w:hAnsiTheme="minorEastAsia" w:cstheme="minorEastAsia" w:hint="eastAsia"/>
                <w:snapToGrid w:val="0"/>
              </w:rPr>
              <w:t>询价文件的澄清与修改</w:t>
            </w:r>
          </w:p>
        </w:tc>
        <w:tc>
          <w:tcPr>
            <w:tcW w:w="6575" w:type="dxa"/>
            <w:vAlign w:val="center"/>
          </w:tcPr>
          <w:p w:rsidR="00FF4C10">
            <w:pPr>
              <w:snapToGrid w:val="0"/>
              <w:ind w:firstLine="400" w:firstLineChars="200"/>
              <w:rPr>
                <w:rFonts w:asciiTheme="minorEastAsia" w:eastAsiaTheme="minorEastAsia" w:hAnsiTheme="minorEastAsia" w:cstheme="minorEastAsia"/>
                <w:snapToGrid w:val="0"/>
              </w:rPr>
            </w:pPr>
            <w:r>
              <w:rPr>
                <w:rFonts w:asciiTheme="minorEastAsia" w:eastAsiaTheme="minorEastAsia" w:hAnsiTheme="minorEastAsia" w:cstheme="minorEastAsia" w:hint="eastAsia"/>
                <w:snapToGrid w:val="0"/>
              </w:rPr>
              <w:t>采购单位可以对已发出的询价文件进行必要澄清或者修改，澄清或者修改的内容可能影响响应文件编制的，应当在提交首次响应文件截止时间至少3个工作日前，在询价公告发布的媒体上发布更正公告。本项目询价文件和补充（答疑、澄清）、修改文件等请自行登录浙江政府采购网或绍兴市上虞区公共资源交易中心网站查看。</w:t>
            </w:r>
          </w:p>
        </w:tc>
      </w:tr>
      <w:tr>
        <w:tblPrEx>
          <w:tblW w:w="9130" w:type="dxa"/>
          <w:jc w:val="center"/>
          <w:tblLayout w:type="fixed"/>
          <w:tblLook w:val="04A0"/>
        </w:tblPrEx>
        <w:trPr>
          <w:trHeight w:val="567"/>
          <w:jc w:val="center"/>
        </w:trPr>
        <w:tc>
          <w:tcPr>
            <w:tcW w:w="648" w:type="dxa"/>
            <w:vAlign w:val="center"/>
          </w:tcPr>
          <w:p w:rsidR="00FF4C10">
            <w:pPr>
              <w:snapToGrid w:val="0"/>
              <w:jc w:val="center"/>
              <w:rPr>
                <w:rFonts w:asciiTheme="minorEastAsia" w:eastAsiaTheme="minorEastAsia" w:hAnsiTheme="minorEastAsia" w:cstheme="minorEastAsia"/>
                <w:snapToGrid w:val="0"/>
              </w:rPr>
            </w:pPr>
            <w:r>
              <w:rPr>
                <w:rFonts w:asciiTheme="minorEastAsia" w:eastAsiaTheme="minorEastAsia" w:hAnsiTheme="minorEastAsia" w:cstheme="minorEastAsia" w:hint="eastAsia"/>
                <w:snapToGrid w:val="0"/>
              </w:rPr>
              <w:t>8</w:t>
            </w:r>
          </w:p>
        </w:tc>
        <w:tc>
          <w:tcPr>
            <w:tcW w:w="1907" w:type="dxa"/>
            <w:vAlign w:val="center"/>
          </w:tcPr>
          <w:p w:rsidR="00FF4C10">
            <w:pPr>
              <w:snapToGrid w:val="0"/>
              <w:jc w:val="center"/>
              <w:rPr>
                <w:rFonts w:asciiTheme="minorEastAsia" w:eastAsiaTheme="minorEastAsia" w:hAnsiTheme="minorEastAsia" w:cstheme="minorEastAsia"/>
                <w:snapToGrid w:val="0"/>
              </w:rPr>
            </w:pPr>
            <w:r>
              <w:rPr>
                <w:rFonts w:asciiTheme="minorEastAsia" w:eastAsiaTheme="minorEastAsia" w:hAnsiTheme="minorEastAsia" w:cstheme="minorEastAsia" w:hint="eastAsia"/>
                <w:snapToGrid w:val="0"/>
              </w:rPr>
              <w:t>询价响应文件组成</w:t>
            </w:r>
          </w:p>
        </w:tc>
        <w:tc>
          <w:tcPr>
            <w:tcW w:w="6575" w:type="dxa"/>
            <w:vAlign w:val="center"/>
          </w:tcPr>
          <w:p w:rsidR="00FF4C10">
            <w:pPr>
              <w:snapToGrid w:val="0"/>
              <w:ind w:firstLine="400" w:firstLineChars="200"/>
              <w:rPr>
                <w:rFonts w:asciiTheme="minorEastAsia" w:eastAsiaTheme="minorEastAsia" w:hAnsiTheme="minorEastAsia" w:cstheme="minorEastAsia"/>
                <w:snapToGrid w:val="0"/>
              </w:rPr>
            </w:pPr>
            <w:r>
              <w:rPr>
                <w:rFonts w:asciiTheme="minorEastAsia" w:eastAsiaTheme="minorEastAsia" w:hAnsiTheme="minorEastAsia" w:cstheme="minorEastAsia" w:hint="eastAsia"/>
                <w:snapToGrid w:val="0"/>
              </w:rPr>
              <w:t>供应商向采购人递交的响应文件由资格文件、商务技术文件、报价文件三部分组成。</w:t>
            </w:r>
          </w:p>
        </w:tc>
      </w:tr>
      <w:tr>
        <w:tblPrEx>
          <w:tblW w:w="9130" w:type="dxa"/>
          <w:jc w:val="center"/>
          <w:tblLayout w:type="fixed"/>
          <w:tblLook w:val="04A0"/>
        </w:tblPrEx>
        <w:trPr>
          <w:trHeight w:val="319"/>
          <w:jc w:val="center"/>
        </w:trPr>
        <w:tc>
          <w:tcPr>
            <w:tcW w:w="648" w:type="dxa"/>
            <w:vAlign w:val="center"/>
          </w:tcPr>
          <w:p w:rsidR="00FF4C10">
            <w:pPr>
              <w:snapToGrid w:val="0"/>
              <w:jc w:val="center"/>
              <w:rPr>
                <w:rFonts w:asciiTheme="minorEastAsia" w:eastAsiaTheme="minorEastAsia" w:hAnsiTheme="minorEastAsia" w:cstheme="minorEastAsia"/>
                <w:snapToGrid w:val="0"/>
              </w:rPr>
            </w:pPr>
            <w:r>
              <w:rPr>
                <w:rFonts w:asciiTheme="minorEastAsia" w:eastAsiaTheme="minorEastAsia" w:hAnsiTheme="minorEastAsia" w:cstheme="minorEastAsia" w:hint="eastAsia"/>
                <w:snapToGrid w:val="0"/>
              </w:rPr>
              <w:t>9</w:t>
            </w:r>
          </w:p>
        </w:tc>
        <w:tc>
          <w:tcPr>
            <w:tcW w:w="1907" w:type="dxa"/>
            <w:vAlign w:val="center"/>
          </w:tcPr>
          <w:p w:rsidR="00FF4C10">
            <w:pPr>
              <w:snapToGrid w:val="0"/>
              <w:jc w:val="center"/>
              <w:rPr>
                <w:rFonts w:asciiTheme="minorEastAsia" w:eastAsiaTheme="minorEastAsia" w:hAnsiTheme="minorEastAsia" w:cstheme="minorEastAsia"/>
                <w:snapToGrid w:val="0"/>
              </w:rPr>
            </w:pPr>
            <w:r>
              <w:rPr>
                <w:rFonts w:asciiTheme="minorEastAsia" w:eastAsiaTheme="minorEastAsia" w:hAnsiTheme="minorEastAsia" w:cstheme="minorEastAsia" w:hint="eastAsia"/>
                <w:snapToGrid w:val="0"/>
              </w:rPr>
              <w:t>评标办法</w:t>
            </w:r>
          </w:p>
        </w:tc>
        <w:tc>
          <w:tcPr>
            <w:tcW w:w="6575" w:type="dxa"/>
            <w:vAlign w:val="center"/>
          </w:tcPr>
          <w:p w:rsidR="00FF4C10">
            <w:pPr>
              <w:snapToGrid w:val="0"/>
              <w:ind w:firstLine="400" w:firstLineChars="200"/>
              <w:rPr>
                <w:rFonts w:asciiTheme="minorEastAsia" w:eastAsiaTheme="minorEastAsia" w:hAnsiTheme="minorEastAsia" w:cstheme="minorEastAsia"/>
                <w:snapToGrid w:val="0"/>
              </w:rPr>
            </w:pPr>
            <w:r>
              <w:rPr>
                <w:rFonts w:asciiTheme="minorEastAsia" w:eastAsiaTheme="minorEastAsia" w:hAnsiTheme="minorEastAsia" w:cstheme="minorEastAsia" w:hint="eastAsia"/>
                <w:snapToGrid w:val="0"/>
              </w:rPr>
              <w:t>最低评标价法</w:t>
            </w:r>
          </w:p>
        </w:tc>
      </w:tr>
      <w:tr>
        <w:tblPrEx>
          <w:tblW w:w="9130" w:type="dxa"/>
          <w:jc w:val="center"/>
          <w:tblLayout w:type="fixed"/>
          <w:tblLook w:val="04A0"/>
        </w:tblPrEx>
        <w:trPr>
          <w:trHeight w:val="567"/>
          <w:jc w:val="center"/>
        </w:trPr>
        <w:tc>
          <w:tcPr>
            <w:tcW w:w="648" w:type="dxa"/>
            <w:vAlign w:val="center"/>
          </w:tcPr>
          <w:p w:rsidR="00FF4C10">
            <w:pPr>
              <w:snapToGrid w:val="0"/>
              <w:jc w:val="center"/>
              <w:rPr>
                <w:rFonts w:asciiTheme="minorEastAsia" w:eastAsiaTheme="minorEastAsia" w:hAnsiTheme="minorEastAsia" w:cstheme="minorEastAsia"/>
                <w:snapToGrid w:val="0"/>
              </w:rPr>
            </w:pPr>
            <w:r>
              <w:rPr>
                <w:rFonts w:asciiTheme="minorEastAsia" w:eastAsiaTheme="minorEastAsia" w:hAnsiTheme="minorEastAsia" w:cstheme="minorEastAsia" w:hint="eastAsia"/>
                <w:snapToGrid w:val="0"/>
              </w:rPr>
              <w:t>10</w:t>
            </w:r>
          </w:p>
        </w:tc>
        <w:tc>
          <w:tcPr>
            <w:tcW w:w="1907" w:type="dxa"/>
            <w:vAlign w:val="center"/>
          </w:tcPr>
          <w:p w:rsidR="00FF4C10">
            <w:pPr>
              <w:snapToGrid w:val="0"/>
              <w:jc w:val="center"/>
              <w:rPr>
                <w:rFonts w:asciiTheme="minorEastAsia" w:eastAsiaTheme="minorEastAsia" w:hAnsiTheme="minorEastAsia" w:cstheme="minorEastAsia"/>
                <w:snapToGrid w:val="0"/>
              </w:rPr>
            </w:pPr>
            <w:r>
              <w:rPr>
                <w:rFonts w:asciiTheme="minorEastAsia" w:eastAsiaTheme="minorEastAsia" w:hAnsiTheme="minorEastAsia" w:cstheme="minorEastAsia" w:hint="eastAsia"/>
                <w:snapToGrid w:val="0"/>
              </w:rPr>
              <w:t>询价响应文件递交地址及截止时间</w:t>
            </w:r>
          </w:p>
        </w:tc>
        <w:tc>
          <w:tcPr>
            <w:tcW w:w="6575" w:type="dxa"/>
            <w:vAlign w:val="center"/>
          </w:tcPr>
          <w:p w:rsidR="00FF4C10">
            <w:pPr>
              <w:snapToGrid w:val="0"/>
              <w:ind w:firstLine="400" w:firstLineChars="200"/>
              <w:rPr>
                <w:rFonts w:asciiTheme="minorEastAsia" w:eastAsiaTheme="minorEastAsia" w:hAnsiTheme="minorEastAsia" w:cstheme="minorEastAsia"/>
              </w:rPr>
            </w:pPr>
            <w:r>
              <w:rPr>
                <w:rFonts w:asciiTheme="minorEastAsia" w:eastAsiaTheme="minorEastAsia" w:hAnsiTheme="minorEastAsia" w:cstheme="minorEastAsia" w:hint="eastAsia"/>
                <w:snapToGrid w:val="0"/>
              </w:rPr>
              <w:t>详见询价公告</w:t>
            </w:r>
          </w:p>
        </w:tc>
      </w:tr>
      <w:tr>
        <w:tblPrEx>
          <w:tblW w:w="9130" w:type="dxa"/>
          <w:jc w:val="center"/>
          <w:tblLayout w:type="fixed"/>
          <w:tblLook w:val="04A0"/>
        </w:tblPrEx>
        <w:trPr>
          <w:trHeight w:val="567"/>
          <w:jc w:val="center"/>
        </w:trPr>
        <w:tc>
          <w:tcPr>
            <w:tcW w:w="648" w:type="dxa"/>
            <w:vAlign w:val="center"/>
          </w:tcPr>
          <w:p w:rsidR="00FF4C10">
            <w:pPr>
              <w:snapToGrid w:val="0"/>
              <w:jc w:val="center"/>
              <w:rPr>
                <w:rFonts w:asciiTheme="minorEastAsia" w:eastAsiaTheme="minorEastAsia" w:hAnsiTheme="minorEastAsia" w:cstheme="minorEastAsia"/>
                <w:snapToGrid w:val="0"/>
              </w:rPr>
            </w:pPr>
            <w:r>
              <w:rPr>
                <w:rFonts w:asciiTheme="minorEastAsia" w:eastAsiaTheme="minorEastAsia" w:hAnsiTheme="minorEastAsia" w:cstheme="minorEastAsia" w:hint="eastAsia"/>
                <w:snapToGrid w:val="0"/>
              </w:rPr>
              <w:t>11</w:t>
            </w:r>
          </w:p>
        </w:tc>
        <w:tc>
          <w:tcPr>
            <w:tcW w:w="1907" w:type="dxa"/>
            <w:vAlign w:val="center"/>
          </w:tcPr>
          <w:p w:rsidR="00FF4C10">
            <w:pPr>
              <w:snapToGrid w:val="0"/>
              <w:jc w:val="center"/>
              <w:rPr>
                <w:rFonts w:asciiTheme="minorEastAsia" w:eastAsiaTheme="minorEastAsia" w:hAnsiTheme="minorEastAsia" w:cstheme="minorEastAsia"/>
                <w:snapToGrid w:val="0"/>
              </w:rPr>
            </w:pPr>
            <w:r>
              <w:rPr>
                <w:rFonts w:asciiTheme="minorEastAsia" w:eastAsiaTheme="minorEastAsia" w:hAnsiTheme="minorEastAsia" w:cstheme="minorEastAsia" w:hint="eastAsia"/>
                <w:snapToGrid w:val="0"/>
              </w:rPr>
              <w:t>开标时间、地点</w:t>
            </w:r>
          </w:p>
        </w:tc>
        <w:tc>
          <w:tcPr>
            <w:tcW w:w="6575" w:type="dxa"/>
            <w:vAlign w:val="center"/>
          </w:tcPr>
          <w:p w:rsidR="00FF4C10">
            <w:pPr>
              <w:snapToGrid w:val="0"/>
              <w:ind w:firstLine="400" w:firstLineChars="200"/>
              <w:rPr>
                <w:rFonts w:asciiTheme="minorEastAsia" w:eastAsiaTheme="minorEastAsia" w:hAnsiTheme="minorEastAsia" w:cstheme="minorEastAsia"/>
                <w:snapToGrid w:val="0"/>
              </w:rPr>
            </w:pPr>
            <w:r>
              <w:rPr>
                <w:rFonts w:asciiTheme="minorEastAsia" w:eastAsiaTheme="minorEastAsia" w:hAnsiTheme="minorEastAsia" w:cstheme="minorEastAsia" w:hint="eastAsia"/>
                <w:snapToGrid w:val="0"/>
              </w:rPr>
              <w:t>开标时间：</w:t>
            </w:r>
            <w:r>
              <w:rPr>
                <w:rFonts w:asciiTheme="minorEastAsia" w:eastAsiaTheme="minorEastAsia" w:hAnsiTheme="minorEastAsia" w:cstheme="minorEastAsia" w:hint="eastAsia"/>
              </w:rPr>
              <w:t>详见询价公告</w:t>
            </w:r>
          </w:p>
          <w:p w:rsidR="00FF4C10">
            <w:pPr>
              <w:snapToGrid w:val="0"/>
              <w:ind w:firstLine="400" w:firstLineChars="200"/>
              <w:rPr>
                <w:rFonts w:asciiTheme="minorEastAsia" w:eastAsiaTheme="minorEastAsia" w:hAnsiTheme="minorEastAsia" w:cstheme="minorEastAsia"/>
              </w:rPr>
            </w:pPr>
            <w:r>
              <w:rPr>
                <w:rFonts w:asciiTheme="minorEastAsia" w:eastAsiaTheme="minorEastAsia" w:hAnsiTheme="minorEastAsia" w:cstheme="minorEastAsia" w:hint="eastAsia"/>
                <w:snapToGrid w:val="0"/>
              </w:rPr>
              <w:t>开标地点：</w:t>
            </w:r>
            <w:r>
              <w:rPr>
                <w:rFonts w:asciiTheme="minorEastAsia" w:eastAsiaTheme="minorEastAsia" w:hAnsiTheme="minorEastAsia" w:cstheme="minorEastAsia" w:hint="eastAsia"/>
              </w:rPr>
              <w:t>详见询价公告</w:t>
            </w:r>
          </w:p>
        </w:tc>
      </w:tr>
      <w:tr>
        <w:tblPrEx>
          <w:tblW w:w="9130" w:type="dxa"/>
          <w:jc w:val="center"/>
          <w:tblLayout w:type="fixed"/>
          <w:tblLook w:val="04A0"/>
        </w:tblPrEx>
        <w:trPr>
          <w:trHeight w:val="567"/>
          <w:jc w:val="center"/>
        </w:trPr>
        <w:tc>
          <w:tcPr>
            <w:tcW w:w="648" w:type="dxa"/>
            <w:vAlign w:val="center"/>
          </w:tcPr>
          <w:p w:rsidR="00FF4C10">
            <w:pPr>
              <w:snapToGrid w:val="0"/>
              <w:jc w:val="center"/>
              <w:rPr>
                <w:rFonts w:asciiTheme="minorEastAsia" w:eastAsiaTheme="minorEastAsia" w:hAnsiTheme="minorEastAsia" w:cstheme="minorEastAsia"/>
                <w:snapToGrid w:val="0"/>
              </w:rPr>
            </w:pPr>
            <w:r>
              <w:rPr>
                <w:rFonts w:asciiTheme="minorEastAsia" w:eastAsiaTheme="minorEastAsia" w:hAnsiTheme="minorEastAsia" w:cstheme="minorEastAsia" w:hint="eastAsia"/>
                <w:snapToGrid w:val="0"/>
              </w:rPr>
              <w:t>12</w:t>
            </w:r>
          </w:p>
        </w:tc>
        <w:tc>
          <w:tcPr>
            <w:tcW w:w="1907" w:type="dxa"/>
            <w:vAlign w:val="center"/>
          </w:tcPr>
          <w:p w:rsidR="00FF4C10">
            <w:pPr>
              <w:snapToGrid w:val="0"/>
              <w:jc w:val="center"/>
              <w:rPr>
                <w:rFonts w:asciiTheme="minorEastAsia" w:eastAsiaTheme="minorEastAsia" w:hAnsiTheme="minorEastAsia" w:cstheme="minorEastAsia"/>
                <w:snapToGrid w:val="0"/>
              </w:rPr>
            </w:pPr>
            <w:r>
              <w:rPr>
                <w:rFonts w:asciiTheme="minorEastAsia" w:eastAsiaTheme="minorEastAsia" w:hAnsiTheme="minorEastAsia" w:cstheme="minorEastAsia" w:hint="eastAsia"/>
                <w:snapToGrid w:val="0"/>
              </w:rPr>
              <w:t>询价响应文件有效期</w:t>
            </w:r>
          </w:p>
        </w:tc>
        <w:tc>
          <w:tcPr>
            <w:tcW w:w="6575" w:type="dxa"/>
            <w:vAlign w:val="center"/>
          </w:tcPr>
          <w:p w:rsidR="00FF4C10">
            <w:pPr>
              <w:snapToGrid w:val="0"/>
              <w:ind w:firstLine="400" w:firstLineChars="200"/>
              <w:rPr>
                <w:rFonts w:asciiTheme="minorEastAsia" w:eastAsiaTheme="minorEastAsia" w:hAnsiTheme="minorEastAsia" w:cstheme="minorEastAsia"/>
                <w:snapToGrid w:val="0"/>
              </w:rPr>
            </w:pPr>
            <w:r>
              <w:rPr>
                <w:rFonts w:asciiTheme="minorEastAsia" w:eastAsiaTheme="minorEastAsia" w:hAnsiTheme="minorEastAsia" w:cstheme="minorEastAsia" w:hint="eastAsia"/>
                <w:snapToGrid w:val="0"/>
              </w:rPr>
              <w:t>响应文件有效期为从提交响应文件的截止之日起90天。供应商的响应文件中承诺的响应文件有效期少于询价文件中载明的响应文件有效期的，询价无效。</w:t>
            </w:r>
          </w:p>
        </w:tc>
      </w:tr>
      <w:tr>
        <w:tblPrEx>
          <w:tblW w:w="9130" w:type="dxa"/>
          <w:jc w:val="center"/>
          <w:tblLayout w:type="fixed"/>
          <w:tblLook w:val="04A0"/>
        </w:tblPrEx>
        <w:trPr>
          <w:trHeight w:val="402"/>
          <w:jc w:val="center"/>
        </w:trPr>
        <w:tc>
          <w:tcPr>
            <w:tcW w:w="648" w:type="dxa"/>
            <w:vAlign w:val="center"/>
          </w:tcPr>
          <w:p w:rsidR="00FF4C10">
            <w:pPr>
              <w:snapToGrid w:val="0"/>
              <w:jc w:val="center"/>
              <w:rPr>
                <w:rFonts w:asciiTheme="minorEastAsia" w:eastAsiaTheme="minorEastAsia" w:hAnsiTheme="minorEastAsia" w:cstheme="minorEastAsia"/>
                <w:snapToGrid w:val="0"/>
              </w:rPr>
            </w:pPr>
            <w:r>
              <w:rPr>
                <w:rFonts w:asciiTheme="minorEastAsia" w:eastAsiaTheme="minorEastAsia" w:hAnsiTheme="minorEastAsia" w:cstheme="minorEastAsia" w:hint="eastAsia"/>
                <w:snapToGrid w:val="0"/>
              </w:rPr>
              <w:t>13</w:t>
            </w:r>
          </w:p>
        </w:tc>
        <w:tc>
          <w:tcPr>
            <w:tcW w:w="1907" w:type="dxa"/>
            <w:vAlign w:val="center"/>
          </w:tcPr>
          <w:p w:rsidR="00FF4C10">
            <w:pPr>
              <w:snapToGrid w:val="0"/>
              <w:jc w:val="center"/>
              <w:rPr>
                <w:rFonts w:asciiTheme="minorEastAsia" w:eastAsiaTheme="minorEastAsia" w:hAnsiTheme="minorEastAsia" w:cstheme="minorEastAsia"/>
                <w:snapToGrid w:val="0"/>
              </w:rPr>
            </w:pPr>
            <w:r>
              <w:rPr>
                <w:rFonts w:asciiTheme="minorEastAsia" w:eastAsiaTheme="minorEastAsia" w:hAnsiTheme="minorEastAsia" w:cstheme="minorEastAsia" w:hint="eastAsia"/>
                <w:snapToGrid w:val="0"/>
              </w:rPr>
              <w:t>履约保证金</w:t>
            </w:r>
          </w:p>
        </w:tc>
        <w:tc>
          <w:tcPr>
            <w:tcW w:w="6575" w:type="dxa"/>
            <w:vAlign w:val="center"/>
          </w:tcPr>
          <w:p w:rsidR="00FF4C10">
            <w:pPr>
              <w:snapToGrid w:val="0"/>
              <w:ind w:firstLine="400" w:firstLineChars="200"/>
              <w:rPr>
                <w:rFonts w:asciiTheme="minorEastAsia" w:eastAsiaTheme="minorEastAsia" w:hAnsiTheme="minorEastAsia" w:cstheme="minorEastAsia"/>
                <w:snapToGrid w:val="0"/>
              </w:rPr>
            </w:pPr>
            <w:r>
              <w:rPr>
                <w:rFonts w:asciiTheme="minorEastAsia" w:eastAsiaTheme="minorEastAsia" w:hAnsiTheme="minorEastAsia" w:cstheme="minorEastAsia" w:hint="eastAsia"/>
                <w:snapToGrid w:val="0"/>
              </w:rPr>
              <w:t>本项目不设置履约保证金。</w:t>
            </w:r>
          </w:p>
        </w:tc>
      </w:tr>
      <w:tr>
        <w:tblPrEx>
          <w:tblW w:w="9130" w:type="dxa"/>
          <w:jc w:val="center"/>
          <w:tblLayout w:type="fixed"/>
          <w:tblLook w:val="04A0"/>
        </w:tblPrEx>
        <w:trPr>
          <w:trHeight w:val="567"/>
          <w:jc w:val="center"/>
        </w:trPr>
        <w:tc>
          <w:tcPr>
            <w:tcW w:w="648" w:type="dxa"/>
            <w:vAlign w:val="center"/>
          </w:tcPr>
          <w:p w:rsidR="00FF4C10">
            <w:pPr>
              <w:snapToGrid w:val="0"/>
              <w:jc w:val="center"/>
              <w:rPr>
                <w:rFonts w:asciiTheme="minorEastAsia" w:eastAsiaTheme="minorEastAsia" w:hAnsiTheme="minorEastAsia" w:cstheme="minorEastAsia"/>
                <w:snapToGrid w:val="0"/>
              </w:rPr>
            </w:pPr>
            <w:r>
              <w:rPr>
                <w:rFonts w:asciiTheme="minorEastAsia" w:eastAsiaTheme="minorEastAsia" w:hAnsiTheme="minorEastAsia" w:cstheme="minorEastAsia" w:hint="eastAsia"/>
                <w:snapToGrid w:val="0"/>
              </w:rPr>
              <w:t>14</w:t>
            </w:r>
          </w:p>
        </w:tc>
        <w:tc>
          <w:tcPr>
            <w:tcW w:w="1907" w:type="dxa"/>
            <w:vAlign w:val="center"/>
          </w:tcPr>
          <w:p w:rsidR="00FF4C10">
            <w:pPr>
              <w:snapToGrid w:val="0"/>
              <w:jc w:val="center"/>
              <w:rPr>
                <w:rFonts w:asciiTheme="minorEastAsia" w:eastAsiaTheme="minorEastAsia" w:hAnsiTheme="minorEastAsia" w:cstheme="minorEastAsia"/>
                <w:snapToGrid w:val="0"/>
              </w:rPr>
            </w:pPr>
            <w:r>
              <w:rPr>
                <w:rFonts w:asciiTheme="minorEastAsia" w:eastAsiaTheme="minorEastAsia" w:hAnsiTheme="minorEastAsia" w:cstheme="minorEastAsia" w:hint="eastAsia"/>
                <w:snapToGrid w:val="0"/>
              </w:rPr>
              <w:t>询价公告及成交结果公告发布媒体</w:t>
            </w:r>
          </w:p>
        </w:tc>
        <w:tc>
          <w:tcPr>
            <w:tcW w:w="6575" w:type="dxa"/>
            <w:vAlign w:val="center"/>
          </w:tcPr>
          <w:p w:rsidR="00FF4C10">
            <w:pPr>
              <w:pStyle w:val="PlainText"/>
              <w:snapToGrid w:val="0"/>
              <w:ind w:firstLine="400" w:firstLineChars="200"/>
              <w:rPr>
                <w:rFonts w:asciiTheme="minorEastAsia" w:eastAsiaTheme="minorEastAsia" w:hAnsiTheme="minorEastAsia" w:cstheme="minorEastAsia"/>
              </w:rPr>
            </w:pPr>
            <w:r>
              <w:rPr>
                <w:rFonts w:asciiTheme="minorEastAsia" w:eastAsiaTheme="minorEastAsia" w:hAnsiTheme="minorEastAsia" w:cstheme="minorEastAsia" w:hint="eastAsia"/>
              </w:rPr>
              <w:t>浙江省政府采购网、绍兴市上虞区公共资源交易中心网站</w:t>
            </w:r>
          </w:p>
        </w:tc>
      </w:tr>
      <w:tr>
        <w:tblPrEx>
          <w:tblW w:w="9130" w:type="dxa"/>
          <w:jc w:val="center"/>
          <w:tblLayout w:type="fixed"/>
          <w:tblLook w:val="04A0"/>
        </w:tblPrEx>
        <w:trPr>
          <w:trHeight w:val="567"/>
          <w:jc w:val="center"/>
        </w:trPr>
        <w:tc>
          <w:tcPr>
            <w:tcW w:w="648" w:type="dxa"/>
            <w:vAlign w:val="center"/>
          </w:tcPr>
          <w:p w:rsidR="00FF4C10">
            <w:pPr>
              <w:snapToGrid w:val="0"/>
              <w:jc w:val="center"/>
              <w:rPr>
                <w:rFonts w:asciiTheme="minorEastAsia" w:eastAsiaTheme="minorEastAsia" w:hAnsiTheme="minorEastAsia" w:cstheme="minorEastAsia"/>
              </w:rPr>
            </w:pPr>
            <w:r>
              <w:rPr>
                <w:rFonts w:asciiTheme="minorEastAsia" w:eastAsiaTheme="minorEastAsia" w:hAnsiTheme="minorEastAsia" w:cstheme="minorEastAsia" w:hint="eastAsia"/>
              </w:rPr>
              <w:t>15</w:t>
            </w:r>
          </w:p>
        </w:tc>
        <w:tc>
          <w:tcPr>
            <w:tcW w:w="1907" w:type="dxa"/>
            <w:vAlign w:val="center"/>
          </w:tcPr>
          <w:p w:rsidR="00FF4C10">
            <w:pPr>
              <w:snapToGrid w:val="0"/>
              <w:jc w:val="center"/>
              <w:rPr>
                <w:rFonts w:asciiTheme="minorEastAsia" w:eastAsiaTheme="minorEastAsia" w:hAnsiTheme="minorEastAsia" w:cstheme="minorEastAsia"/>
                <w:snapToGrid w:val="0"/>
              </w:rPr>
            </w:pPr>
            <w:r>
              <w:rPr>
                <w:rFonts w:asciiTheme="minorEastAsia" w:eastAsiaTheme="minorEastAsia" w:hAnsiTheme="minorEastAsia" w:cstheme="minorEastAsia" w:hint="eastAsia"/>
                <w:snapToGrid w:val="0"/>
              </w:rPr>
              <w:t>质疑</w:t>
            </w:r>
          </w:p>
        </w:tc>
        <w:tc>
          <w:tcPr>
            <w:tcW w:w="6575" w:type="dxa"/>
            <w:vAlign w:val="center"/>
          </w:tcPr>
          <w:p w:rsidR="00FF4C10">
            <w:pPr>
              <w:pStyle w:val="PlainText"/>
              <w:snapToGrid w:val="0"/>
              <w:ind w:firstLine="400" w:firstLineChars="200"/>
              <w:rPr>
                <w:rFonts w:asciiTheme="minorEastAsia" w:eastAsiaTheme="minorEastAsia" w:hAnsiTheme="minorEastAsia" w:cstheme="minorEastAsia"/>
              </w:rPr>
            </w:pPr>
            <w:r>
              <w:rPr>
                <w:rFonts w:asciiTheme="minorEastAsia" w:eastAsiaTheme="minorEastAsia" w:hAnsiTheme="minorEastAsia" w:cstheme="minorEastAsia" w:hint="eastAsia"/>
              </w:rPr>
              <w:t>根据《中华人民共和国政府采购法》第五十二条、《中华人民共和国政府采购法实施条例》第五十三条、《浙江省政府采购供应商质疑处理办法》的规定：</w:t>
            </w:r>
          </w:p>
          <w:p w:rsidR="00FF4C10">
            <w:pPr>
              <w:pStyle w:val="PlainText"/>
              <w:snapToGrid w:val="0"/>
              <w:ind w:firstLine="400" w:firstLineChars="200"/>
              <w:rPr>
                <w:rFonts w:asciiTheme="minorEastAsia" w:eastAsiaTheme="minorEastAsia" w:hAnsiTheme="minorEastAsia" w:cstheme="minorEastAsia"/>
              </w:rPr>
            </w:pPr>
            <w:r>
              <w:rPr>
                <w:rFonts w:asciiTheme="minorEastAsia" w:eastAsiaTheme="minorEastAsia" w:hAnsiTheme="minorEastAsia" w:cstheme="minorEastAsia" w:hint="eastAsia"/>
              </w:rPr>
              <w:t>供应商认为询价文件使自己的权益受到损害的，可以在询价文件公告期限届满之日起7个工作日内，以书面形式向采购人和采购代理机构提出质疑。供应商在法定质疑期内应一次性提出针对同一采购程序环节的质疑。</w:t>
            </w:r>
          </w:p>
          <w:p w:rsidR="00FF4C10">
            <w:pPr>
              <w:pStyle w:val="PlainText"/>
              <w:snapToGrid w:val="0"/>
              <w:ind w:firstLine="400" w:firstLineChars="200"/>
              <w:rPr>
                <w:rFonts w:asciiTheme="minorEastAsia" w:eastAsiaTheme="minorEastAsia" w:hAnsiTheme="minorEastAsia" w:cstheme="minorEastAsia"/>
              </w:rPr>
            </w:pPr>
            <w:r>
              <w:rPr>
                <w:rFonts w:asciiTheme="minorEastAsia" w:eastAsiaTheme="minorEastAsia" w:hAnsiTheme="minorEastAsia" w:cstheme="minorEastAsia" w:hint="eastAsia"/>
              </w:rPr>
              <w:t>供应商如认为采购过程使自身的合法权益受到损害的，应于各采购程序环节结束之日起七个工作日内以书面形式向采购机构提出质疑；</w:t>
            </w:r>
          </w:p>
          <w:p w:rsidR="00FF4C10">
            <w:pPr>
              <w:pStyle w:val="PlainText"/>
              <w:snapToGrid w:val="0"/>
              <w:ind w:firstLine="400" w:firstLineChars="200"/>
              <w:rPr>
                <w:rFonts w:asciiTheme="minorEastAsia" w:eastAsiaTheme="minorEastAsia" w:hAnsiTheme="minorEastAsia" w:cstheme="minorEastAsia"/>
              </w:rPr>
            </w:pPr>
            <w:r>
              <w:rPr>
                <w:rFonts w:asciiTheme="minorEastAsia" w:eastAsiaTheme="minorEastAsia" w:hAnsiTheme="minorEastAsia" w:cstheme="minorEastAsia" w:hint="eastAsia"/>
              </w:rPr>
              <w:t>供应商如认为中标结果使自身的合法权益受到损害的，应于中标或者成交结果公告期限届满之日起七个工作日内以书面形式向采购机构提出质疑。</w:t>
            </w:r>
          </w:p>
        </w:tc>
      </w:tr>
      <w:tr>
        <w:tblPrEx>
          <w:tblW w:w="9130" w:type="dxa"/>
          <w:jc w:val="center"/>
          <w:tblLayout w:type="fixed"/>
          <w:tblLook w:val="04A0"/>
        </w:tblPrEx>
        <w:trPr>
          <w:trHeight w:val="567"/>
          <w:jc w:val="center"/>
        </w:trPr>
        <w:tc>
          <w:tcPr>
            <w:tcW w:w="648" w:type="dxa"/>
            <w:vAlign w:val="center"/>
          </w:tcPr>
          <w:p w:rsidR="00FF4C10">
            <w:pPr>
              <w:snapToGrid w:val="0"/>
              <w:jc w:val="center"/>
              <w:rPr>
                <w:rFonts w:asciiTheme="minorEastAsia" w:eastAsiaTheme="minorEastAsia" w:hAnsiTheme="minorEastAsia" w:cstheme="minorEastAsia"/>
                <w:snapToGrid w:val="0"/>
              </w:rPr>
            </w:pPr>
            <w:r>
              <w:rPr>
                <w:rFonts w:asciiTheme="minorEastAsia" w:eastAsiaTheme="minorEastAsia" w:hAnsiTheme="minorEastAsia" w:cstheme="minorEastAsia" w:hint="eastAsia"/>
                <w:snapToGrid w:val="0"/>
              </w:rPr>
              <w:t>16</w:t>
            </w:r>
          </w:p>
        </w:tc>
        <w:tc>
          <w:tcPr>
            <w:tcW w:w="1907" w:type="dxa"/>
            <w:vAlign w:val="center"/>
          </w:tcPr>
          <w:p w:rsidR="00FF4C10">
            <w:pPr>
              <w:snapToGrid w:val="0"/>
              <w:jc w:val="center"/>
              <w:rPr>
                <w:rFonts w:asciiTheme="minorEastAsia" w:eastAsiaTheme="minorEastAsia" w:hAnsiTheme="minorEastAsia" w:cstheme="minorEastAsia"/>
                <w:snapToGrid w:val="0"/>
              </w:rPr>
            </w:pPr>
            <w:r>
              <w:rPr>
                <w:rFonts w:asciiTheme="minorEastAsia" w:eastAsiaTheme="minorEastAsia" w:hAnsiTheme="minorEastAsia" w:cstheme="minorEastAsia" w:hint="eastAsia"/>
                <w:snapToGrid w:val="0"/>
              </w:rPr>
              <w:t>投诉</w:t>
            </w:r>
          </w:p>
        </w:tc>
        <w:tc>
          <w:tcPr>
            <w:tcW w:w="6575" w:type="dxa"/>
            <w:vAlign w:val="center"/>
          </w:tcPr>
          <w:p w:rsidR="00FF4C10">
            <w:pPr>
              <w:pStyle w:val="PlainText"/>
              <w:snapToGrid w:val="0"/>
              <w:ind w:firstLine="400" w:firstLineChars="200"/>
              <w:rPr>
                <w:rFonts w:asciiTheme="minorEastAsia" w:eastAsiaTheme="minorEastAsia" w:hAnsiTheme="minorEastAsia" w:cstheme="minorEastAsia"/>
              </w:rPr>
            </w:pPr>
            <w:r>
              <w:rPr>
                <w:rFonts w:asciiTheme="minorEastAsia" w:eastAsiaTheme="minorEastAsia" w:hAnsiTheme="minorEastAsia" w:cstheme="minorEastAsia" w:hint="eastAsia"/>
              </w:rPr>
              <w:t>根据《中华人民共和国政府采购法》第五十五条的规定，质疑供应商对采购人、招标代理机构的答复不满意或者采购人、招标代理机构未在规定的时间内作出答复的，可以在答复期满后十五个工作日内向同级政府采购监督管理部门投诉。</w:t>
            </w:r>
          </w:p>
        </w:tc>
      </w:tr>
    </w:tbl>
    <w:p>
      <w:pPr>
        <w:sectPr>
          <w:footerReference w:type="default" r:id="rId14"/>
          <w:type w:val="nextPage"/>
          <w:pgSz w:w="11906" w:h="16838"/>
          <w:pgMar w:top="1440" w:right="1800" w:bottom="1440" w:left="1800" w:header="851" w:footer="992" w:gutter="0"/>
          <w:pgNumType w:start="5"/>
          <w:cols w:space="425"/>
          <w:titlePg w:val="0"/>
          <w:docGrid w:type="lines" w:linePitch="312"/>
        </w:sectPr>
      </w:pPr>
    </w:p>
    <w:tbl>
      <w:tblPr>
        <w:tblStyle w:val="TableNormal"/>
        <w:tblW w:w="9130"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648"/>
        <w:gridCol w:w="1907"/>
        <w:gridCol w:w="6575"/>
      </w:tblGrid>
      <w:tr>
        <w:tblPrEx>
          <w:tblW w:w="9130"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Ex>
        <w:trPr>
          <w:trHeight w:val="567"/>
          <w:jc w:val="center"/>
        </w:trPr>
        <w:tc>
          <w:tcPr>
            <w:tcW w:w="648" w:type="dxa"/>
            <w:vAlign w:val="center"/>
          </w:tcPr>
          <w:p w:rsidR="00FF4C10">
            <w:pPr>
              <w:snapToGrid w:val="0"/>
              <w:jc w:val="center"/>
              <w:rPr>
                <w:rFonts w:asciiTheme="minorEastAsia" w:eastAsiaTheme="minorEastAsia" w:hAnsiTheme="minorEastAsia" w:cstheme="minorEastAsia"/>
                <w:snapToGrid w:val="0"/>
              </w:rPr>
            </w:pPr>
            <w:r>
              <w:rPr>
                <w:rFonts w:asciiTheme="minorEastAsia" w:eastAsiaTheme="minorEastAsia" w:hAnsiTheme="minorEastAsia" w:cstheme="minorEastAsia" w:hint="eastAsia"/>
                <w:snapToGrid w:val="0"/>
              </w:rPr>
              <w:t>17</w:t>
            </w:r>
          </w:p>
        </w:tc>
        <w:tc>
          <w:tcPr>
            <w:tcW w:w="1907" w:type="dxa"/>
            <w:vAlign w:val="center"/>
          </w:tcPr>
          <w:p w:rsidR="00FF4C10">
            <w:pPr>
              <w:snapToGrid w:val="0"/>
              <w:jc w:val="center"/>
              <w:rPr>
                <w:rFonts w:asciiTheme="minorEastAsia" w:eastAsiaTheme="minorEastAsia" w:hAnsiTheme="minorEastAsia" w:cstheme="minorEastAsia"/>
                <w:snapToGrid w:val="0"/>
              </w:rPr>
            </w:pPr>
            <w:r>
              <w:rPr>
                <w:rFonts w:asciiTheme="minorEastAsia" w:eastAsiaTheme="minorEastAsia" w:hAnsiTheme="minorEastAsia" w:cstheme="minorEastAsia" w:hint="eastAsia"/>
                <w:snapToGrid w:val="0"/>
              </w:rPr>
              <w:t>特别说明</w:t>
            </w:r>
          </w:p>
        </w:tc>
        <w:tc>
          <w:tcPr>
            <w:tcW w:w="6575" w:type="dxa"/>
            <w:vAlign w:val="center"/>
          </w:tcPr>
          <w:p w:rsidR="00FF4C10">
            <w:pPr>
              <w:pStyle w:val="PlainText"/>
              <w:snapToGrid w:val="0"/>
              <w:ind w:firstLine="400" w:firstLineChars="200"/>
              <w:rPr>
                <w:rFonts w:asciiTheme="minorEastAsia" w:eastAsiaTheme="minorEastAsia" w:hAnsiTheme="minorEastAsia" w:cstheme="minorEastAsia"/>
              </w:rPr>
            </w:pPr>
            <w:r>
              <w:rPr>
                <w:rFonts w:asciiTheme="minorEastAsia" w:eastAsiaTheme="minorEastAsia" w:hAnsiTheme="minorEastAsia" w:cstheme="minorEastAsia" w:hint="eastAsia"/>
              </w:rPr>
              <w:t>供应商应无条件的、认真仔细的阅读本询价文件及其澄清答疑、修改答复的补充文件，严格按照询价文件及补充文件的规定和要求编制响应文件。在编制响应文件过程中，应严格遵循实事求是、诚信投标的原则，针对询价文件中的采购需求、合同条款等各项内容进行确认，如有偏离，应如实填写响应偏离表。</w:t>
            </w:r>
          </w:p>
          <w:p w:rsidR="00FF4C10">
            <w:pPr>
              <w:pStyle w:val="PlainText"/>
              <w:snapToGrid w:val="0"/>
              <w:ind w:firstLine="400" w:firstLineChars="200"/>
              <w:rPr>
                <w:rFonts w:asciiTheme="minorEastAsia" w:eastAsiaTheme="minorEastAsia" w:hAnsiTheme="minorEastAsia" w:cstheme="minorEastAsia"/>
              </w:rPr>
            </w:pPr>
            <w:r>
              <w:rPr>
                <w:rFonts w:asciiTheme="minorEastAsia" w:eastAsiaTheme="minorEastAsia" w:hAnsiTheme="minorEastAsia" w:cstheme="minorEastAsia" w:hint="eastAsia"/>
              </w:rPr>
              <w:t>该项目结果公告期间，供应商不得通过非正当途径、更不得通过非正当手段获取法律法规规定评标委员会（包括其他相关人员）应当保密的相关内容。即便由此获得资料并作为向采购人或招标代理机构或监督管理部门提出异（质）疑或投诉或法院起诉的理由，均属于非法索取的依据。</w:t>
            </w:r>
          </w:p>
          <w:p w:rsidR="00FF4C10">
            <w:pPr>
              <w:pStyle w:val="PlainText"/>
              <w:snapToGrid w:val="0"/>
              <w:ind w:firstLine="400" w:firstLineChars="200"/>
              <w:rPr>
                <w:rFonts w:asciiTheme="minorEastAsia" w:eastAsiaTheme="minorEastAsia" w:hAnsiTheme="minorEastAsia" w:cstheme="minorEastAsia"/>
              </w:rPr>
            </w:pPr>
            <w:r>
              <w:rPr>
                <w:rFonts w:asciiTheme="minorEastAsia" w:eastAsiaTheme="minorEastAsia" w:hAnsiTheme="minorEastAsia" w:cstheme="minorEastAsia" w:hint="eastAsia"/>
              </w:rPr>
              <w:t>质疑、投诉人未按前列进行质疑、投诉（申诉），均属于扰乱政府采购市场不良行为。</w:t>
            </w:r>
          </w:p>
          <w:p w:rsidR="00FF4C10">
            <w:pPr>
              <w:pStyle w:val="PlainText"/>
              <w:snapToGrid w:val="0"/>
              <w:ind w:firstLine="400" w:firstLineChars="200"/>
              <w:rPr>
                <w:rFonts w:asciiTheme="minorEastAsia" w:eastAsiaTheme="minorEastAsia" w:hAnsiTheme="minorEastAsia" w:cstheme="minorEastAsia"/>
                <w:b/>
                <w:bCs/>
              </w:rPr>
            </w:pPr>
            <w:r>
              <w:rPr>
                <w:rFonts w:asciiTheme="minorEastAsia" w:eastAsiaTheme="minorEastAsia" w:hAnsiTheme="minorEastAsia" w:cstheme="minorEastAsia" w:hint="eastAsia"/>
                <w:b/>
                <w:bCs/>
              </w:rPr>
              <w:t>询价文件中凡标注“★”的条款均为实质性要求，不响应的响应文件将作无效标处理。</w:t>
            </w:r>
          </w:p>
        </w:tc>
      </w:tr>
      <w:tr>
        <w:tblPrEx>
          <w:tblW w:w="9130" w:type="dxa"/>
          <w:jc w:val="center"/>
          <w:tblLayout w:type="fixed"/>
          <w:tblLook w:val="04A0"/>
        </w:tblPrEx>
        <w:trPr>
          <w:trHeight w:val="539"/>
          <w:jc w:val="center"/>
        </w:trPr>
        <w:tc>
          <w:tcPr>
            <w:tcW w:w="648" w:type="dxa"/>
            <w:vAlign w:val="center"/>
          </w:tcPr>
          <w:p w:rsidR="00FF4C10">
            <w:pPr>
              <w:snapToGrid w:val="0"/>
              <w:jc w:val="center"/>
              <w:rPr>
                <w:rFonts w:asciiTheme="minorEastAsia" w:eastAsiaTheme="minorEastAsia" w:hAnsiTheme="minorEastAsia" w:cstheme="minorEastAsia"/>
                <w:snapToGrid w:val="0"/>
              </w:rPr>
            </w:pPr>
            <w:r>
              <w:rPr>
                <w:rFonts w:asciiTheme="minorEastAsia" w:eastAsiaTheme="minorEastAsia" w:hAnsiTheme="minorEastAsia" w:cstheme="minorEastAsia" w:hint="eastAsia"/>
                <w:snapToGrid w:val="0"/>
              </w:rPr>
              <w:t>18</w:t>
            </w:r>
          </w:p>
        </w:tc>
        <w:tc>
          <w:tcPr>
            <w:tcW w:w="1907" w:type="dxa"/>
            <w:vAlign w:val="center"/>
          </w:tcPr>
          <w:p w:rsidR="00FF4C10">
            <w:pPr>
              <w:snapToGrid w:val="0"/>
              <w:jc w:val="center"/>
              <w:rPr>
                <w:rFonts w:asciiTheme="minorEastAsia" w:eastAsiaTheme="minorEastAsia" w:hAnsiTheme="minorEastAsia" w:cstheme="minorEastAsia"/>
              </w:rPr>
            </w:pPr>
            <w:r>
              <w:rPr>
                <w:rFonts w:asciiTheme="minorEastAsia" w:eastAsiaTheme="minorEastAsia" w:hAnsiTheme="minorEastAsia" w:cstheme="minorEastAsia" w:hint="eastAsia"/>
              </w:rPr>
              <w:t>支</w:t>
            </w:r>
          </w:p>
          <w:p w:rsidR="00FF4C10">
            <w:pPr>
              <w:snapToGrid w:val="0"/>
              <w:jc w:val="center"/>
              <w:rPr>
                <w:rFonts w:asciiTheme="minorEastAsia" w:eastAsiaTheme="minorEastAsia" w:hAnsiTheme="minorEastAsia" w:cstheme="minorEastAsia"/>
              </w:rPr>
            </w:pPr>
            <w:r>
              <w:rPr>
                <w:rFonts w:asciiTheme="minorEastAsia" w:eastAsiaTheme="minorEastAsia" w:hAnsiTheme="minorEastAsia" w:cstheme="minorEastAsia" w:hint="eastAsia"/>
              </w:rPr>
              <w:t>持</w:t>
            </w:r>
          </w:p>
          <w:p w:rsidR="00FF4C10">
            <w:pPr>
              <w:snapToGrid w:val="0"/>
              <w:jc w:val="center"/>
              <w:rPr>
                <w:rFonts w:asciiTheme="minorEastAsia" w:eastAsiaTheme="minorEastAsia" w:hAnsiTheme="minorEastAsia" w:cstheme="minorEastAsia"/>
              </w:rPr>
            </w:pPr>
            <w:r>
              <w:rPr>
                <w:rFonts w:asciiTheme="minorEastAsia" w:eastAsiaTheme="minorEastAsia" w:hAnsiTheme="minorEastAsia" w:cstheme="minorEastAsia" w:hint="eastAsia"/>
              </w:rPr>
              <w:t>中</w:t>
            </w:r>
          </w:p>
          <w:p w:rsidR="00FF4C10">
            <w:pPr>
              <w:snapToGrid w:val="0"/>
              <w:jc w:val="center"/>
              <w:rPr>
                <w:rFonts w:asciiTheme="minorEastAsia" w:eastAsiaTheme="minorEastAsia" w:hAnsiTheme="minorEastAsia" w:cstheme="minorEastAsia"/>
              </w:rPr>
            </w:pPr>
            <w:r>
              <w:rPr>
                <w:rFonts w:asciiTheme="minorEastAsia" w:eastAsiaTheme="minorEastAsia" w:hAnsiTheme="minorEastAsia" w:cstheme="minorEastAsia" w:hint="eastAsia"/>
              </w:rPr>
              <w:t>小</w:t>
            </w:r>
          </w:p>
          <w:p w:rsidR="00FF4C10">
            <w:pPr>
              <w:snapToGrid w:val="0"/>
              <w:jc w:val="center"/>
              <w:rPr>
                <w:rFonts w:asciiTheme="minorEastAsia" w:eastAsiaTheme="minorEastAsia" w:hAnsiTheme="minorEastAsia" w:cstheme="minorEastAsia"/>
              </w:rPr>
            </w:pPr>
            <w:r>
              <w:rPr>
                <w:rFonts w:asciiTheme="minorEastAsia" w:eastAsiaTheme="minorEastAsia" w:hAnsiTheme="minorEastAsia" w:cstheme="minorEastAsia" w:hint="eastAsia"/>
              </w:rPr>
              <w:t>企</w:t>
            </w:r>
          </w:p>
          <w:p w:rsidR="00FF4C10">
            <w:pPr>
              <w:snapToGrid w:val="0"/>
              <w:jc w:val="center"/>
              <w:rPr>
                <w:rFonts w:asciiTheme="minorEastAsia" w:eastAsiaTheme="minorEastAsia" w:hAnsiTheme="minorEastAsia" w:cstheme="minorEastAsia"/>
              </w:rPr>
            </w:pPr>
            <w:r>
              <w:rPr>
                <w:rFonts w:asciiTheme="minorEastAsia" w:eastAsiaTheme="minorEastAsia" w:hAnsiTheme="minorEastAsia" w:cstheme="minorEastAsia" w:hint="eastAsia"/>
              </w:rPr>
              <w:t>业</w:t>
            </w:r>
          </w:p>
        </w:tc>
        <w:tc>
          <w:tcPr>
            <w:tcW w:w="6575" w:type="dxa"/>
            <w:vAlign w:val="center"/>
          </w:tcPr>
          <w:p w:rsidR="00FF4C10">
            <w:pPr>
              <w:ind w:firstLine="400" w:firstLineChars="200"/>
              <w:rPr>
                <w:rFonts w:asciiTheme="minorEastAsia" w:eastAsiaTheme="minorEastAsia" w:hAnsiTheme="minorEastAsia" w:cstheme="minorEastAsia"/>
              </w:rPr>
            </w:pPr>
            <w:r>
              <w:rPr>
                <w:rFonts w:asciiTheme="minorEastAsia" w:eastAsiaTheme="minorEastAsia" w:hAnsiTheme="minorEastAsia" w:cstheme="minorEastAsia" w:hint="eastAsia"/>
              </w:rPr>
              <w:t>小微企业是指在中华人民共和国境内依法设立，依据国务院批准的中小企业划分标准确定的小型企业和微型企业，但与大企业的负责人为同一人，或者与大企业存在直接控股、管理关系的除外。</w:t>
            </w:r>
          </w:p>
          <w:p w:rsidR="00FF4C10">
            <w:pPr>
              <w:ind w:firstLine="400" w:firstLineChars="200"/>
              <w:rPr>
                <w:rFonts w:asciiTheme="minorEastAsia" w:eastAsiaTheme="minorEastAsia" w:hAnsiTheme="minorEastAsia" w:cstheme="minorEastAsia"/>
              </w:rPr>
            </w:pPr>
            <w:r>
              <w:rPr>
                <w:rFonts w:asciiTheme="minorEastAsia" w:eastAsiaTheme="minorEastAsia" w:hAnsiTheme="minorEastAsia" w:cstheme="minorEastAsia" w:hint="eastAsia"/>
              </w:rPr>
              <w:t>符合中小企业划分标准的个体工商户，在政府采购活动中视同中小企业。</w:t>
            </w:r>
          </w:p>
          <w:p w:rsidR="00FF4C10">
            <w:pPr>
              <w:ind w:firstLine="400" w:firstLineChars="200"/>
              <w:rPr>
                <w:rFonts w:asciiTheme="minorEastAsia" w:eastAsiaTheme="minorEastAsia" w:hAnsiTheme="minorEastAsia" w:cstheme="minorEastAsia"/>
              </w:rPr>
            </w:pPr>
            <w:r>
              <w:rPr>
                <w:rFonts w:asciiTheme="minorEastAsia" w:eastAsiaTheme="minorEastAsia" w:hAnsiTheme="minorEastAsia" w:cstheme="minorEastAsia" w:hint="eastAsia"/>
              </w:rPr>
              <w:t>在货物采购项目中，货物由小微企业制造，即货物由小微企业生产且使用该小微企业商号或者注册商标。供应商提供的货物既有中小企业制造货物，也有大型企业制造货物的，不享受中小企业扶持政策。</w:t>
            </w:r>
          </w:p>
          <w:p w:rsidR="00FF4C10">
            <w:pPr>
              <w:ind w:firstLine="400" w:firstLineChars="200"/>
              <w:rPr>
                <w:rFonts w:asciiTheme="minorEastAsia" w:eastAsiaTheme="minorEastAsia" w:hAnsiTheme="minorEastAsia" w:cstheme="minorEastAsia"/>
              </w:rPr>
            </w:pPr>
            <w:r>
              <w:rPr>
                <w:rFonts w:asciiTheme="minorEastAsia" w:eastAsiaTheme="minorEastAsia" w:hAnsiTheme="minorEastAsia" w:cstheme="minorEastAsia" w:hint="eastAsia"/>
              </w:rPr>
              <w:t>在服务采购项目中，服务由小微企业承接，即提供服务的人员为小微企业依照《中华人民共和国劳动合同法》订立劳动合同的从业人员。</w:t>
            </w:r>
          </w:p>
          <w:p w:rsidR="00FF4C10">
            <w:pPr>
              <w:ind w:firstLine="400" w:firstLineChars="200"/>
              <w:rPr>
                <w:rFonts w:asciiTheme="minorEastAsia" w:eastAsiaTheme="minorEastAsia" w:hAnsiTheme="minorEastAsia" w:cstheme="minorEastAsia"/>
              </w:rPr>
            </w:pPr>
            <w:r>
              <w:rPr>
                <w:rFonts w:asciiTheme="minorEastAsia" w:eastAsiaTheme="minorEastAsia" w:hAnsiTheme="minorEastAsia" w:cstheme="minorEastAsia" w:hint="eastAsia"/>
              </w:rPr>
              <w:t>联合体各方均为小型、微型企业的，联合体视同为小型、微型企业。</w:t>
            </w:r>
          </w:p>
          <w:p w:rsidR="00FF4C10">
            <w:pPr>
              <w:ind w:firstLine="400" w:firstLineChars="200"/>
              <w:rPr>
                <w:rFonts w:asciiTheme="minorEastAsia" w:eastAsiaTheme="minorEastAsia" w:hAnsiTheme="minorEastAsia" w:cstheme="minorEastAsia"/>
              </w:rPr>
            </w:pPr>
            <w:r>
              <w:rPr>
                <w:rFonts w:asciiTheme="minorEastAsia" w:eastAsiaTheme="minorEastAsia" w:hAnsiTheme="minorEastAsia" w:cstheme="minorEastAsia" w:hint="eastAsia"/>
              </w:rPr>
              <w:t>符合上述条件的中小微型企业应按照招标文件附件的格式要求提供《中小企业声明函》。符合《关于促进残疾人就业政府采购政策的通知》（财库〔2017〕141号）规定的条件并提供《残疾人福利性单位声明函》的残疾人福利性单位视同小型、微型企业；根据《关于政府采购支持监狱企业发展有关问题的通知》（财库[2014]68号）的规定，投标人提供由省级以上监狱管理局、戒毒管理局（含新疆生产建设兵团）出具的属于监狱企业证明文件的，视同为小型和微型企业。</w:t>
            </w:r>
          </w:p>
          <w:p w:rsidR="00FF4C10">
            <w:pPr>
              <w:ind w:firstLine="400" w:firstLineChars="200"/>
              <w:rPr>
                <w:rFonts w:asciiTheme="minorEastAsia" w:eastAsiaTheme="minorEastAsia" w:hAnsiTheme="minorEastAsia" w:cstheme="minorEastAsia"/>
              </w:rPr>
            </w:pPr>
            <w:r>
              <w:rPr>
                <w:rFonts w:asciiTheme="minorEastAsia" w:eastAsiaTheme="minorEastAsia" w:hAnsiTheme="minorEastAsia" w:cstheme="minorEastAsia" w:hint="eastAsia"/>
              </w:rPr>
              <w:t>根据财政部的《关于进一步加大政府采购支持中小企业力度的通知》（财库〔2022〕19号）规定，货物和服务项目中未预留份额专门面向中小企业采购的，以及预留份额项目中的非预留部分采购包，采购单位、采购代理机构应结合项目实际，对符合规定的小微企业报价按10%给予扣除，用扣除后的价格参加评审；对于联合协议或者分包意向协议约定小微企业的合同份额占到合同总金额30%以上的，采购单位、采购代理机构应结合项目实际，对联合体或者大中型企业的报价按4%给予扣除，用扣除后的价格参加评审。</w:t>
            </w:r>
          </w:p>
          <w:p w:rsidR="00FF4C10">
            <w:pPr>
              <w:ind w:firstLine="400" w:firstLineChars="200"/>
              <w:rPr>
                <w:rFonts w:asciiTheme="minorEastAsia" w:eastAsiaTheme="minorEastAsia" w:hAnsiTheme="minorEastAsia" w:cstheme="minorEastAsia"/>
              </w:rPr>
            </w:pPr>
            <w:r>
              <w:rPr>
                <w:rFonts w:asciiTheme="minorEastAsia" w:eastAsiaTheme="minorEastAsia" w:hAnsiTheme="minorEastAsia" w:cstheme="minorEastAsia" w:hint="eastAsia"/>
              </w:rPr>
              <w:t>组成联合体或者接受分包的小微企业与联合体内其他企业、分包企业之间存在直接控股、管理关系的，不享受价格扣除优惠政策。</w:t>
            </w:r>
          </w:p>
        </w:tc>
      </w:tr>
      <w:tr>
        <w:tblPrEx>
          <w:tblW w:w="9130" w:type="dxa"/>
          <w:jc w:val="center"/>
          <w:tblLayout w:type="fixed"/>
          <w:tblLook w:val="04A0"/>
        </w:tblPrEx>
        <w:trPr>
          <w:trHeight w:val="237"/>
          <w:jc w:val="center"/>
        </w:trPr>
        <w:tc>
          <w:tcPr>
            <w:tcW w:w="648" w:type="dxa"/>
            <w:vAlign w:val="center"/>
          </w:tcPr>
          <w:p w:rsidR="00FF4C10">
            <w:pPr>
              <w:snapToGrid w:val="0"/>
              <w:jc w:val="center"/>
              <w:rPr>
                <w:rFonts w:asciiTheme="minorEastAsia" w:eastAsiaTheme="minorEastAsia" w:hAnsiTheme="minorEastAsia" w:cstheme="minorEastAsia"/>
                <w:snapToGrid w:val="0"/>
              </w:rPr>
            </w:pPr>
            <w:r>
              <w:rPr>
                <w:rFonts w:asciiTheme="minorEastAsia" w:eastAsiaTheme="minorEastAsia" w:hAnsiTheme="minorEastAsia" w:cstheme="minorEastAsia" w:hint="eastAsia"/>
                <w:snapToGrid w:val="0"/>
              </w:rPr>
              <w:t>19</w:t>
            </w:r>
          </w:p>
        </w:tc>
        <w:tc>
          <w:tcPr>
            <w:tcW w:w="1907" w:type="dxa"/>
            <w:vAlign w:val="center"/>
          </w:tcPr>
          <w:p w:rsidR="00FF4C10">
            <w:pPr>
              <w:snapToGrid w:val="0"/>
              <w:jc w:val="center"/>
              <w:rPr>
                <w:rFonts w:asciiTheme="minorEastAsia" w:eastAsiaTheme="minorEastAsia" w:hAnsiTheme="minorEastAsia" w:cstheme="minorEastAsia"/>
              </w:rPr>
            </w:pPr>
            <w:r>
              <w:rPr>
                <w:rFonts w:asciiTheme="minorEastAsia" w:eastAsiaTheme="minorEastAsia" w:hAnsiTheme="minorEastAsia" w:cstheme="minorEastAsia" w:hint="eastAsia"/>
              </w:rPr>
              <w:t>是否允许分包</w:t>
            </w:r>
          </w:p>
        </w:tc>
        <w:tc>
          <w:tcPr>
            <w:tcW w:w="6575" w:type="dxa"/>
            <w:vAlign w:val="center"/>
          </w:tcPr>
          <w:p w:rsidR="00FF4C10">
            <w:pPr>
              <w:ind w:firstLine="400" w:firstLineChars="200"/>
              <w:rPr>
                <w:rFonts w:asciiTheme="minorEastAsia" w:eastAsiaTheme="minorEastAsia" w:hAnsiTheme="minorEastAsia" w:cstheme="minorEastAsia"/>
              </w:rPr>
            </w:pPr>
            <w:r>
              <w:rPr>
                <w:rFonts w:asciiTheme="minorEastAsia" w:eastAsiaTheme="minorEastAsia" w:hAnsiTheme="minorEastAsia" w:cstheme="minorEastAsia" w:hint="eastAsia"/>
              </w:rPr>
              <w:t>本项目</w:t>
            </w:r>
            <w:r>
              <w:rPr>
                <w:rFonts w:asciiTheme="minorEastAsia" w:eastAsiaTheme="minorEastAsia" w:hAnsiTheme="minorEastAsia" w:cstheme="minorEastAsia" w:hint="eastAsia"/>
                <w:u w:val="single"/>
              </w:rPr>
              <w:t>不允许</w:t>
            </w:r>
            <w:r>
              <w:rPr>
                <w:rFonts w:asciiTheme="minorEastAsia" w:eastAsiaTheme="minorEastAsia" w:hAnsiTheme="minorEastAsia" w:cstheme="minorEastAsia" w:hint="eastAsia"/>
              </w:rPr>
              <w:t>分包</w:t>
            </w:r>
          </w:p>
        </w:tc>
      </w:tr>
      <w:tr>
        <w:tblPrEx>
          <w:tblW w:w="9130" w:type="dxa"/>
          <w:jc w:val="center"/>
          <w:tblLayout w:type="fixed"/>
          <w:tblLook w:val="04A0"/>
        </w:tblPrEx>
        <w:trPr>
          <w:trHeight w:val="332"/>
          <w:jc w:val="center"/>
        </w:trPr>
        <w:tc>
          <w:tcPr>
            <w:tcW w:w="648" w:type="dxa"/>
            <w:vAlign w:val="center"/>
          </w:tcPr>
          <w:p w:rsidR="00FF4C10">
            <w:pPr>
              <w:snapToGrid w:val="0"/>
              <w:jc w:val="center"/>
              <w:rPr>
                <w:rFonts w:asciiTheme="minorEastAsia" w:eastAsiaTheme="minorEastAsia" w:hAnsiTheme="minorEastAsia" w:cstheme="minorEastAsia"/>
                <w:snapToGrid w:val="0"/>
              </w:rPr>
            </w:pPr>
            <w:r>
              <w:rPr>
                <w:rFonts w:asciiTheme="minorEastAsia" w:eastAsiaTheme="minorEastAsia" w:hAnsiTheme="minorEastAsia" w:cstheme="minorEastAsia" w:hint="eastAsia"/>
                <w:snapToGrid w:val="0"/>
              </w:rPr>
              <w:t>20</w:t>
            </w:r>
          </w:p>
        </w:tc>
        <w:tc>
          <w:tcPr>
            <w:tcW w:w="1907" w:type="dxa"/>
            <w:tcBorders>
              <w:top w:val="single" w:sz="4" w:space="0" w:color="auto"/>
            </w:tcBorders>
            <w:vAlign w:val="center"/>
          </w:tcPr>
          <w:p w:rsidR="00FF4C10">
            <w:pPr>
              <w:snapToGrid w:val="0"/>
              <w:jc w:val="center"/>
              <w:rPr>
                <w:rFonts w:asciiTheme="minorEastAsia" w:eastAsiaTheme="minorEastAsia" w:hAnsiTheme="minorEastAsia" w:cstheme="minorEastAsia"/>
              </w:rPr>
            </w:pPr>
            <w:r>
              <w:rPr>
                <w:rFonts w:asciiTheme="minorEastAsia" w:eastAsiaTheme="minorEastAsia" w:hAnsiTheme="minorEastAsia" w:cstheme="minorEastAsia" w:hint="eastAsia"/>
              </w:rPr>
              <w:t>是否提供演示</w:t>
            </w:r>
          </w:p>
        </w:tc>
        <w:tc>
          <w:tcPr>
            <w:tcW w:w="6575" w:type="dxa"/>
            <w:tcBorders>
              <w:top w:val="single" w:sz="4" w:space="0" w:color="auto"/>
            </w:tcBorders>
            <w:vAlign w:val="center"/>
          </w:tcPr>
          <w:p w:rsidR="00FF4C10">
            <w:pPr>
              <w:ind w:firstLine="400" w:firstLineChars="200"/>
              <w:rPr>
                <w:rFonts w:asciiTheme="minorEastAsia" w:eastAsiaTheme="minorEastAsia" w:hAnsiTheme="minorEastAsia" w:cstheme="minorEastAsia"/>
                <w:b/>
                <w:bCs/>
              </w:rPr>
            </w:pPr>
            <w:r>
              <w:rPr>
                <w:rFonts w:asciiTheme="minorEastAsia" w:eastAsiaTheme="minorEastAsia" w:hAnsiTheme="minorEastAsia" w:cstheme="minorEastAsia" w:hint="eastAsia"/>
              </w:rPr>
              <w:t>本项目</w:t>
            </w:r>
            <w:r>
              <w:rPr>
                <w:rFonts w:asciiTheme="minorEastAsia" w:eastAsiaTheme="minorEastAsia" w:hAnsiTheme="minorEastAsia" w:cstheme="minorEastAsia" w:hint="eastAsia"/>
                <w:u w:val="single"/>
              </w:rPr>
              <w:t>不允许</w:t>
            </w:r>
            <w:r>
              <w:rPr>
                <w:rFonts w:asciiTheme="minorEastAsia" w:eastAsiaTheme="minorEastAsia" w:hAnsiTheme="minorEastAsia" w:cstheme="minorEastAsia" w:hint="eastAsia"/>
              </w:rPr>
              <w:t>演示</w:t>
            </w:r>
          </w:p>
        </w:tc>
      </w:tr>
      <w:tr>
        <w:tblPrEx>
          <w:tblW w:w="9130" w:type="dxa"/>
          <w:jc w:val="center"/>
          <w:tblLayout w:type="fixed"/>
          <w:tblLook w:val="04A0"/>
        </w:tblPrEx>
        <w:trPr>
          <w:trHeight w:val="567"/>
          <w:jc w:val="center"/>
        </w:trPr>
        <w:tc>
          <w:tcPr>
            <w:tcW w:w="648" w:type="dxa"/>
            <w:vAlign w:val="center"/>
          </w:tcPr>
          <w:p w:rsidR="00FF4C10">
            <w:pPr>
              <w:snapToGrid w:val="0"/>
              <w:jc w:val="center"/>
              <w:rPr>
                <w:rFonts w:asciiTheme="minorEastAsia" w:eastAsiaTheme="minorEastAsia" w:hAnsiTheme="minorEastAsia" w:cstheme="minorEastAsia"/>
                <w:snapToGrid w:val="0"/>
              </w:rPr>
            </w:pPr>
            <w:r>
              <w:rPr>
                <w:rFonts w:asciiTheme="minorEastAsia" w:eastAsiaTheme="minorEastAsia" w:hAnsiTheme="minorEastAsia" w:cstheme="minorEastAsia" w:hint="eastAsia"/>
                <w:snapToGrid w:val="0"/>
              </w:rPr>
              <w:t>21</w:t>
            </w:r>
          </w:p>
        </w:tc>
        <w:tc>
          <w:tcPr>
            <w:tcW w:w="1907" w:type="dxa"/>
            <w:vAlign w:val="center"/>
          </w:tcPr>
          <w:p w:rsidR="00FF4C10">
            <w:pPr>
              <w:snapToGrid w:val="0"/>
              <w:spacing w:after="0"/>
              <w:jc w:val="center"/>
              <w:rPr>
                <w:rFonts w:asciiTheme="minorEastAsia" w:eastAsiaTheme="minorEastAsia" w:hAnsiTheme="minorEastAsia" w:cstheme="minorEastAsia"/>
              </w:rPr>
            </w:pPr>
          </w:p>
        </w:tc>
        <w:tc>
          <w:tcPr>
            <w:tcW w:w="6575" w:type="dxa"/>
            <w:vAlign w:val="center"/>
          </w:tcPr>
          <w:p w:rsidR="00FF4C10">
            <w:pPr>
              <w:spacing w:after="0"/>
              <w:ind w:firstLine="400" w:firstLineChars="200"/>
              <w:rPr>
                <w:rFonts w:asciiTheme="minorEastAsia" w:eastAsiaTheme="minorEastAsia" w:hAnsiTheme="minorEastAsia" w:cstheme="minorEastAsia"/>
              </w:rPr>
            </w:pPr>
            <w:r>
              <w:rPr>
                <w:rFonts w:asciiTheme="minorEastAsia" w:eastAsiaTheme="minorEastAsia" w:hAnsiTheme="minorEastAsia" w:cstheme="minorEastAsia" w:hint="eastAsia"/>
              </w:rPr>
              <w:t>1、查询渠道：信用中国（网址：</w:t>
            </w:r>
            <w:r w:rsidR="00CD58E5">
              <w:rPr>
                <w:rFonts w:asciiTheme="minorEastAsia" w:eastAsiaTheme="minorEastAsia" w:hAnsiTheme="minorEastAsia" w:cstheme="minorEastAsia" w:hint="eastAsia"/>
              </w:rPr>
              <w:t>lkj:</w:t>
            </w:r>
            <w:r>
              <w:rPr>
                <w:rFonts w:asciiTheme="minorEastAsia" w:eastAsiaTheme="minorEastAsia" w:hAnsiTheme="minorEastAsia" w:cstheme="minorEastAsia" w:hint="eastAsia"/>
              </w:rPr>
              <w:t>//</w:t>
            </w:r>
            <w:r w:rsidR="001B60B2">
              <w:rPr>
                <w:rFonts w:asciiTheme="minorEastAsia" w:eastAsiaTheme="minorEastAsia" w:hAnsiTheme="minorEastAsia" w:cstheme="minorEastAsia" w:hint="eastAsia"/>
              </w:rPr>
              <w:t>sdf.lkj</w:t>
            </w:r>
            <w:r>
              <w:rPr>
                <w:rFonts w:asciiTheme="minorEastAsia" w:eastAsiaTheme="minorEastAsia" w:hAnsiTheme="minorEastAsia" w:cstheme="minorEastAsia" w:hint="eastAsia"/>
              </w:rPr>
              <w:t>creditchina.gov.cn）、中国政府采购网(网址：</w:t>
            </w:r>
          </w:p>
        </w:tc>
      </w:tr>
    </w:tbl>
    <w:p>
      <w:pPr>
        <w:sectPr>
          <w:footerReference w:type="default" r:id="rId15"/>
          <w:type w:val="nextPage"/>
          <w:pgSz w:w="11906" w:h="16838"/>
          <w:pgMar w:top="1440" w:right="1800" w:bottom="1440" w:left="1800" w:header="851" w:footer="992" w:gutter="0"/>
          <w:pgNumType w:start="6"/>
          <w:cols w:space="425"/>
          <w:titlePg w:val="0"/>
          <w:docGrid w:type="lines" w:linePitch="312"/>
        </w:sectPr>
      </w:pPr>
    </w:p>
    <w:tbl>
      <w:tblPr>
        <w:tblStyle w:val="TableNormal"/>
        <w:tblW w:w="9130"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648"/>
        <w:gridCol w:w="1907"/>
        <w:gridCol w:w="6575"/>
      </w:tblGrid>
      <w:tr>
        <w:tblPrEx>
          <w:tblW w:w="9130"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Ex>
        <w:trPr>
          <w:trHeight w:val="567"/>
          <w:jc w:val="center"/>
        </w:trPr>
        <w:tc>
          <w:tcPr>
            <w:tcW w:w="648" w:type="dxa"/>
            <w:vAlign w:val="center"/>
          </w:tcPr>
          <w:p/>
        </w:tc>
        <w:tc>
          <w:tcPr>
            <w:tcW w:w="1907" w:type="dxa"/>
            <w:vAlign w:val="center"/>
          </w:tcPr>
          <w:p w:rsidR="00FF4C10">
            <w:pPr>
              <w:snapToGrid w:val="0"/>
              <w:spacing w:before="0"/>
              <w:jc w:val="center"/>
              <w:rPr>
                <w:rFonts w:asciiTheme="minorEastAsia" w:eastAsiaTheme="minorEastAsia" w:hAnsiTheme="minorEastAsia" w:cstheme="minorEastAsia"/>
              </w:rPr>
            </w:pPr>
            <w:r>
              <w:rPr>
                <w:rFonts w:asciiTheme="minorEastAsia" w:eastAsiaTheme="minorEastAsia" w:hAnsiTheme="minorEastAsia" w:cstheme="minorEastAsia" w:hint="eastAsia"/>
              </w:rPr>
              <w:t>供应商信用信息查询渠道及截止时点、信用信息查询记录和证据留存的具体方式、信用信息的使用规则</w:t>
            </w:r>
          </w:p>
        </w:tc>
        <w:tc>
          <w:tcPr>
            <w:tcW w:w="6575" w:type="dxa"/>
            <w:vAlign w:val="center"/>
          </w:tcPr>
          <w:p w:rsidR="00FF4C10">
            <w:pPr>
              <w:spacing w:before="0"/>
              <w:ind w:firstLine="400" w:firstLineChars="200"/>
              <w:rPr>
                <w:rFonts w:asciiTheme="minorEastAsia" w:eastAsiaTheme="minorEastAsia" w:hAnsiTheme="minorEastAsia" w:cstheme="minorEastAsia"/>
              </w:rPr>
            </w:pPr>
            <w:r w:rsidR="00CD58E5">
              <w:rPr>
                <w:rFonts w:asciiTheme="minorEastAsia" w:eastAsiaTheme="minorEastAsia" w:hAnsiTheme="minorEastAsia" w:cstheme="minorEastAsia" w:hint="eastAsia"/>
              </w:rPr>
              <w:t>lkj:</w:t>
            </w:r>
            <w:r>
              <w:rPr>
                <w:rFonts w:asciiTheme="minorEastAsia" w:eastAsiaTheme="minorEastAsia" w:hAnsiTheme="minorEastAsia" w:cstheme="minorEastAsia" w:hint="eastAsia"/>
              </w:rPr>
              <w:t>//</w:t>
            </w:r>
            <w:r w:rsidR="001B60B2">
              <w:rPr>
                <w:rFonts w:asciiTheme="minorEastAsia" w:eastAsiaTheme="minorEastAsia" w:hAnsiTheme="minorEastAsia" w:cstheme="minorEastAsia" w:hint="eastAsia"/>
              </w:rPr>
              <w:t>sdf.lkj</w:t>
            </w:r>
            <w:r>
              <w:rPr>
                <w:rFonts w:asciiTheme="minorEastAsia" w:eastAsiaTheme="minorEastAsia" w:hAnsiTheme="minorEastAsia" w:cstheme="minorEastAsia" w:hint="eastAsia"/>
              </w:rPr>
              <w:t>ccgp.gov.cn）。</w:t>
            </w:r>
          </w:p>
          <w:p w:rsidR="00FF4C10">
            <w:pPr>
              <w:ind w:firstLine="400" w:firstLineChars="200"/>
              <w:rPr>
                <w:rFonts w:asciiTheme="minorEastAsia" w:eastAsiaTheme="minorEastAsia" w:hAnsiTheme="minorEastAsia" w:cstheme="minorEastAsia"/>
              </w:rPr>
            </w:pPr>
            <w:r>
              <w:rPr>
                <w:rFonts w:asciiTheme="minorEastAsia" w:eastAsiaTheme="minorEastAsia" w:hAnsiTheme="minorEastAsia" w:cstheme="minorEastAsia" w:hint="eastAsia"/>
              </w:rPr>
              <w:t>2、截止时点：开标后评标前。</w:t>
            </w:r>
          </w:p>
          <w:p w:rsidR="00FF4C10">
            <w:pPr>
              <w:ind w:firstLine="400" w:firstLineChars="200"/>
              <w:rPr>
                <w:rFonts w:asciiTheme="minorEastAsia" w:eastAsiaTheme="minorEastAsia" w:hAnsiTheme="minorEastAsia" w:cstheme="minorEastAsia"/>
              </w:rPr>
            </w:pPr>
            <w:r>
              <w:rPr>
                <w:rFonts w:asciiTheme="minorEastAsia" w:eastAsiaTheme="minorEastAsia" w:hAnsiTheme="minorEastAsia" w:cstheme="minorEastAsia" w:hint="eastAsia"/>
              </w:rPr>
              <w:t>3、信用信息查询记录和证据留存的具体方式：由采购组织机构在规定查询时间内打印信用信息查询记录并归入项目档案。</w:t>
            </w:r>
          </w:p>
          <w:p w:rsidR="00FF4C10">
            <w:pPr>
              <w:ind w:firstLine="400" w:firstLineChars="200"/>
              <w:rPr>
                <w:rFonts w:asciiTheme="minorEastAsia" w:eastAsiaTheme="minorEastAsia" w:hAnsiTheme="minorEastAsia" w:cstheme="minorEastAsia"/>
              </w:rPr>
            </w:pPr>
            <w:r>
              <w:rPr>
                <w:rFonts w:asciiTheme="minorEastAsia" w:eastAsiaTheme="minorEastAsia" w:hAnsiTheme="minorEastAsia" w:cstheme="minorEastAsia" w:hint="eastAsia"/>
              </w:rPr>
              <w:t>4、使用规则：对列入失信被执行人、重大税收违法案件当事人名单、政府采购严重违法失信行为记录名单及其他不符合《中华人民共和国政府采购法》第二十二条规定条件的供应商，将被拒绝其参与政府采购活动。</w:t>
            </w:r>
          </w:p>
        </w:tc>
      </w:tr>
      <w:tr>
        <w:tblPrEx>
          <w:tblW w:w="9130" w:type="dxa"/>
          <w:jc w:val="center"/>
          <w:tblLayout w:type="fixed"/>
          <w:tblLook w:val="04A0"/>
        </w:tblPrEx>
        <w:trPr>
          <w:trHeight w:val="567"/>
          <w:jc w:val="center"/>
        </w:trPr>
        <w:tc>
          <w:tcPr>
            <w:tcW w:w="648" w:type="dxa"/>
            <w:vAlign w:val="center"/>
          </w:tcPr>
          <w:p w:rsidR="00FF4C10">
            <w:pPr>
              <w:snapToGrid w:val="0"/>
              <w:jc w:val="center"/>
              <w:rPr>
                <w:rFonts w:asciiTheme="minorEastAsia" w:eastAsiaTheme="minorEastAsia" w:hAnsiTheme="minorEastAsia" w:cstheme="minorEastAsia"/>
                <w:snapToGrid w:val="0"/>
              </w:rPr>
            </w:pPr>
            <w:r>
              <w:rPr>
                <w:rFonts w:asciiTheme="minorEastAsia" w:eastAsiaTheme="minorEastAsia" w:hAnsiTheme="minorEastAsia" w:cstheme="minorEastAsia" w:hint="eastAsia"/>
                <w:snapToGrid w:val="0"/>
              </w:rPr>
              <w:t>22</w:t>
            </w:r>
          </w:p>
        </w:tc>
        <w:tc>
          <w:tcPr>
            <w:tcW w:w="1907" w:type="dxa"/>
            <w:vAlign w:val="center"/>
          </w:tcPr>
          <w:p w:rsidR="00FF4C10">
            <w:pPr>
              <w:snapToGrid w:val="0"/>
              <w:jc w:val="center"/>
              <w:rPr>
                <w:rFonts w:asciiTheme="minorEastAsia" w:eastAsiaTheme="minorEastAsia" w:hAnsiTheme="minorEastAsia" w:cstheme="minorEastAsia"/>
              </w:rPr>
            </w:pPr>
            <w:r>
              <w:rPr>
                <w:rFonts w:asciiTheme="minorEastAsia" w:eastAsiaTheme="minorEastAsia" w:hAnsiTheme="minorEastAsia" w:cstheme="minorEastAsia" w:hint="eastAsia"/>
              </w:rPr>
              <w:t>金融支持</w:t>
            </w:r>
          </w:p>
        </w:tc>
        <w:tc>
          <w:tcPr>
            <w:tcW w:w="6575" w:type="dxa"/>
            <w:vAlign w:val="center"/>
          </w:tcPr>
          <w:p w:rsidR="00FF4C10">
            <w:pPr>
              <w:ind w:firstLine="400" w:firstLineChars="200"/>
              <w:rPr>
                <w:rFonts w:asciiTheme="minorEastAsia" w:eastAsiaTheme="minorEastAsia" w:hAnsiTheme="minorEastAsia" w:cstheme="minorEastAsia"/>
              </w:rPr>
            </w:pPr>
            <w:r>
              <w:rPr>
                <w:rFonts w:asciiTheme="minorEastAsia" w:eastAsiaTheme="minorEastAsia" w:hAnsiTheme="minorEastAsia" w:cstheme="minorEastAsia" w:hint="eastAsia"/>
              </w:rPr>
              <w:t>为支持和促进中小企业发展，进一步发挥政府采购政策功能，浙江省财政厅出台浙财采监〔2020〕3 号文件，企业若有融资意向，可登陆政采云平台融资服务（https://jinrong.zcygov.cn/），查看相应融资政策文件及各相关银行服务方案。</w:t>
            </w:r>
          </w:p>
        </w:tc>
      </w:tr>
      <w:tr>
        <w:tblPrEx>
          <w:tblW w:w="9130" w:type="dxa"/>
          <w:jc w:val="center"/>
          <w:tblLayout w:type="fixed"/>
          <w:tblLook w:val="04A0"/>
        </w:tblPrEx>
        <w:trPr>
          <w:trHeight w:val="567"/>
          <w:jc w:val="center"/>
        </w:trPr>
        <w:tc>
          <w:tcPr>
            <w:tcW w:w="648" w:type="dxa"/>
            <w:vAlign w:val="center"/>
          </w:tcPr>
          <w:p w:rsidR="00FF4C10">
            <w:pPr>
              <w:snapToGrid w:val="0"/>
              <w:jc w:val="center"/>
              <w:rPr>
                <w:rFonts w:asciiTheme="minorEastAsia" w:eastAsiaTheme="minorEastAsia" w:hAnsiTheme="minorEastAsia" w:cstheme="minorEastAsia"/>
                <w:snapToGrid w:val="0"/>
              </w:rPr>
            </w:pPr>
            <w:r>
              <w:rPr>
                <w:rFonts w:asciiTheme="minorEastAsia" w:eastAsiaTheme="minorEastAsia" w:hAnsiTheme="minorEastAsia" w:cstheme="minorEastAsia" w:hint="eastAsia"/>
                <w:snapToGrid w:val="0"/>
              </w:rPr>
              <w:t>23</w:t>
            </w:r>
          </w:p>
        </w:tc>
        <w:tc>
          <w:tcPr>
            <w:tcW w:w="1907" w:type="dxa"/>
            <w:vAlign w:val="center"/>
          </w:tcPr>
          <w:p w:rsidR="00FF4C10">
            <w:pPr>
              <w:snapToGrid w:val="0"/>
              <w:jc w:val="center"/>
              <w:rPr>
                <w:rFonts w:asciiTheme="minorEastAsia" w:eastAsiaTheme="minorEastAsia" w:hAnsiTheme="minorEastAsia" w:cstheme="minorEastAsia"/>
              </w:rPr>
            </w:pPr>
            <w:r>
              <w:rPr>
                <w:rFonts w:ascii="宋体" w:hAnsi="宋体" w:cs="宋体" w:hint="eastAsia"/>
                <w:szCs w:val="21"/>
              </w:rPr>
              <w:t>商品包装和快递包装要求</w:t>
            </w:r>
          </w:p>
        </w:tc>
        <w:tc>
          <w:tcPr>
            <w:tcW w:w="6575" w:type="dxa"/>
            <w:vAlign w:val="center"/>
          </w:tcPr>
          <w:p w:rsidR="00FF4C10">
            <w:pPr>
              <w:ind w:firstLine="400" w:firstLineChars="200"/>
              <w:rPr>
                <w:rFonts w:asciiTheme="minorEastAsia" w:eastAsiaTheme="minorEastAsia" w:hAnsiTheme="minorEastAsia" w:cstheme="minorEastAsia"/>
              </w:rPr>
            </w:pPr>
            <w:r>
              <w:rPr>
                <w:rFonts w:ascii="宋体" w:hAnsi="宋体" w:cs="宋体" w:hint="eastAsia"/>
                <w:b/>
                <w:szCs w:val="21"/>
              </w:rPr>
              <w:t>本次项目采购所涉及的商品包装和快递包装要求均应符合《关于印发《商品包装政府采购需求标准（试行）》、 《快递包装政府采购需求标准（试行）》的通知》（财办库〔2020〕123号）文件要求，必要时由采购人在履约验收环节根据实际情况要求供应商出具检测报告。</w:t>
            </w:r>
          </w:p>
        </w:tc>
      </w:tr>
      <w:tr>
        <w:tblPrEx>
          <w:tblW w:w="9130" w:type="dxa"/>
          <w:jc w:val="center"/>
          <w:tblLayout w:type="fixed"/>
          <w:tblLook w:val="04A0"/>
        </w:tblPrEx>
        <w:trPr>
          <w:trHeight w:val="567"/>
          <w:jc w:val="center"/>
        </w:trPr>
        <w:tc>
          <w:tcPr>
            <w:tcW w:w="648" w:type="dxa"/>
            <w:vAlign w:val="center"/>
          </w:tcPr>
          <w:p w:rsidR="00FF4C10">
            <w:pPr>
              <w:snapToGrid w:val="0"/>
              <w:jc w:val="center"/>
              <w:rPr>
                <w:rFonts w:asciiTheme="minorEastAsia" w:eastAsiaTheme="minorEastAsia" w:hAnsiTheme="minorEastAsia" w:cstheme="minorEastAsia"/>
                <w:snapToGrid w:val="0"/>
              </w:rPr>
            </w:pPr>
            <w:r>
              <w:rPr>
                <w:rFonts w:asciiTheme="minorEastAsia" w:eastAsiaTheme="minorEastAsia" w:hAnsiTheme="minorEastAsia" w:cstheme="minorEastAsia" w:hint="eastAsia"/>
                <w:snapToGrid w:val="0"/>
              </w:rPr>
              <w:t>24</w:t>
            </w:r>
          </w:p>
        </w:tc>
        <w:tc>
          <w:tcPr>
            <w:tcW w:w="1907" w:type="dxa"/>
            <w:vAlign w:val="center"/>
          </w:tcPr>
          <w:p w:rsidR="00FF4C10">
            <w:pPr>
              <w:snapToGrid w:val="0"/>
              <w:jc w:val="center"/>
              <w:rPr>
                <w:rFonts w:asciiTheme="minorEastAsia" w:eastAsiaTheme="minorEastAsia" w:hAnsiTheme="minorEastAsia" w:cstheme="minorEastAsia"/>
              </w:rPr>
            </w:pPr>
            <w:r>
              <w:rPr>
                <w:rFonts w:asciiTheme="minorEastAsia" w:eastAsiaTheme="minorEastAsia" w:hAnsiTheme="minorEastAsia" w:cstheme="minorEastAsia" w:hint="eastAsia"/>
              </w:rPr>
              <w:t>其他</w:t>
            </w:r>
          </w:p>
        </w:tc>
        <w:tc>
          <w:tcPr>
            <w:tcW w:w="6575" w:type="dxa"/>
            <w:vAlign w:val="center"/>
          </w:tcPr>
          <w:p w:rsidR="00FF4C10">
            <w:pPr>
              <w:ind w:firstLine="400" w:firstLineChars="200"/>
              <w:rPr>
                <w:rFonts w:asciiTheme="minorEastAsia" w:eastAsiaTheme="minorEastAsia" w:hAnsiTheme="minorEastAsia" w:cstheme="minorEastAsia"/>
              </w:rPr>
            </w:pPr>
            <w:r>
              <w:rPr>
                <w:rFonts w:asciiTheme="minorEastAsia" w:eastAsiaTheme="minorEastAsia" w:hAnsiTheme="minorEastAsia" w:cstheme="minorEastAsia" w:hint="eastAsia"/>
              </w:rPr>
              <w:t>1、本询价文件要求提供的身份证复印件皆需提供正反面，否则按不提供处理。</w:t>
            </w:r>
          </w:p>
          <w:p w:rsidR="00FF4C10">
            <w:pPr>
              <w:ind w:firstLine="400" w:firstLineChars="200"/>
              <w:rPr>
                <w:rFonts w:asciiTheme="minorEastAsia" w:eastAsiaTheme="minorEastAsia" w:hAnsiTheme="minorEastAsia" w:cstheme="minorEastAsia"/>
                <w:b/>
                <w:bCs/>
              </w:rPr>
            </w:pPr>
            <w:r>
              <w:rPr>
                <w:rFonts w:asciiTheme="minorEastAsia" w:eastAsiaTheme="minorEastAsia" w:hAnsiTheme="minorEastAsia" w:cstheme="minorEastAsia" w:hint="eastAsia"/>
              </w:rPr>
              <w:t>2、本项目货物如涉及柴油动力移动源，柴油动力移动源应当符合低排放要求。</w:t>
            </w:r>
          </w:p>
        </w:tc>
      </w:tr>
      <w:tr>
        <w:tblPrEx>
          <w:tblW w:w="9130" w:type="dxa"/>
          <w:jc w:val="center"/>
          <w:tblLayout w:type="fixed"/>
          <w:tblLook w:val="04A0"/>
        </w:tblPrEx>
        <w:trPr>
          <w:trHeight w:val="402"/>
          <w:jc w:val="center"/>
        </w:trPr>
        <w:tc>
          <w:tcPr>
            <w:tcW w:w="648" w:type="dxa"/>
            <w:vMerge w:val="restart"/>
            <w:vAlign w:val="center"/>
          </w:tcPr>
          <w:p w:rsidR="00FF4C10">
            <w:pPr>
              <w:snapToGrid w:val="0"/>
              <w:jc w:val="center"/>
              <w:rPr>
                <w:rFonts w:asciiTheme="minorEastAsia" w:eastAsiaTheme="minorEastAsia" w:hAnsiTheme="minorEastAsia" w:cstheme="minorEastAsia"/>
                <w:snapToGrid w:val="0"/>
              </w:rPr>
            </w:pPr>
            <w:r>
              <w:rPr>
                <w:rFonts w:asciiTheme="minorEastAsia" w:eastAsiaTheme="minorEastAsia" w:hAnsiTheme="minorEastAsia" w:cstheme="minorEastAsia" w:hint="eastAsia"/>
                <w:snapToGrid w:val="0"/>
              </w:rPr>
              <w:t>25</w:t>
            </w:r>
          </w:p>
        </w:tc>
        <w:tc>
          <w:tcPr>
            <w:tcW w:w="1907" w:type="dxa"/>
            <w:vMerge w:val="restart"/>
            <w:vAlign w:val="center"/>
          </w:tcPr>
          <w:p w:rsidR="00FF4C10">
            <w:pPr>
              <w:snapToGrid w:val="0"/>
              <w:jc w:val="center"/>
              <w:rPr>
                <w:rFonts w:asciiTheme="minorEastAsia" w:eastAsiaTheme="minorEastAsia" w:hAnsiTheme="minorEastAsia" w:cstheme="minorEastAsia"/>
              </w:rPr>
            </w:pPr>
            <w:r>
              <w:rPr>
                <w:rFonts w:asciiTheme="minorEastAsia" w:eastAsiaTheme="minorEastAsia" w:hAnsiTheme="minorEastAsia" w:cstheme="minorEastAsia" w:hint="eastAsia"/>
              </w:rPr>
              <w:t>预付款</w:t>
            </w:r>
          </w:p>
        </w:tc>
        <w:tc>
          <w:tcPr>
            <w:tcW w:w="6575" w:type="dxa"/>
            <w:vAlign w:val="center"/>
          </w:tcPr>
          <w:p w:rsidR="00FF4C10">
            <w:pPr>
              <w:ind w:firstLine="400" w:firstLineChars="200"/>
              <w:rPr>
                <w:rFonts w:asciiTheme="minorEastAsia" w:eastAsiaTheme="minorEastAsia" w:hAnsiTheme="minorEastAsia" w:cstheme="minorEastAsia"/>
                <w:b/>
                <w:bCs/>
              </w:rPr>
            </w:pPr>
            <w:r>
              <w:rPr>
                <w:rFonts w:ascii="宋体" w:hAnsi="宋体" w:cs="宋体" w:hint="eastAsia"/>
              </w:rPr>
              <w:t>本项目涉及预付款，预付款比例为40%；</w:t>
            </w:r>
          </w:p>
        </w:tc>
      </w:tr>
      <w:tr>
        <w:tblPrEx>
          <w:tblW w:w="9130" w:type="dxa"/>
          <w:jc w:val="center"/>
          <w:tblLayout w:type="fixed"/>
          <w:tblLook w:val="04A0"/>
        </w:tblPrEx>
        <w:trPr>
          <w:trHeight w:val="567"/>
          <w:jc w:val="center"/>
        </w:trPr>
        <w:tc>
          <w:tcPr>
            <w:tcW w:w="648" w:type="dxa"/>
            <w:vMerge/>
            <w:tcBorders>
              <w:bottom w:val="double" w:sz="4" w:space="0" w:color="auto"/>
            </w:tcBorders>
            <w:vAlign w:val="center"/>
          </w:tcPr>
          <w:p w:rsidR="00FF4C10">
            <w:pPr>
              <w:snapToGrid w:val="0"/>
              <w:jc w:val="center"/>
              <w:rPr>
                <w:rFonts w:asciiTheme="minorEastAsia" w:eastAsiaTheme="minorEastAsia" w:hAnsiTheme="minorEastAsia" w:cstheme="minorEastAsia"/>
                <w:snapToGrid w:val="0"/>
              </w:rPr>
            </w:pPr>
          </w:p>
        </w:tc>
        <w:tc>
          <w:tcPr>
            <w:tcW w:w="1907" w:type="dxa"/>
            <w:vMerge/>
            <w:tcBorders>
              <w:bottom w:val="double" w:sz="4" w:space="0" w:color="auto"/>
            </w:tcBorders>
            <w:vAlign w:val="center"/>
          </w:tcPr>
          <w:p w:rsidR="00FF4C10">
            <w:pPr>
              <w:snapToGrid w:val="0"/>
              <w:jc w:val="center"/>
              <w:rPr>
                <w:rFonts w:asciiTheme="minorEastAsia" w:eastAsiaTheme="minorEastAsia" w:hAnsiTheme="minorEastAsia" w:cstheme="minorEastAsia"/>
              </w:rPr>
            </w:pPr>
          </w:p>
        </w:tc>
        <w:tc>
          <w:tcPr>
            <w:tcW w:w="6575" w:type="dxa"/>
            <w:tcBorders>
              <w:bottom w:val="double" w:sz="4" w:space="0" w:color="auto"/>
            </w:tcBorders>
            <w:vAlign w:val="center"/>
          </w:tcPr>
          <w:p w:rsidR="00FF4C10">
            <w:pPr>
              <w:ind w:firstLine="400" w:firstLineChars="200"/>
              <w:rPr>
                <w:rFonts w:ascii="宋体" w:hAnsi="宋体" w:cs="宋体"/>
              </w:rPr>
            </w:pPr>
            <w:r>
              <w:rPr>
                <w:rFonts w:ascii="宋体" w:hAnsi="宋体" w:cs="宋体" w:hint="eastAsia"/>
              </w:rPr>
              <w:t>根据《浙江省财政厅关于进一步发挥政府采购政策功能全力推动经济稳进提质的通知》[浙财采监〔2022）3号]文件第二条第五点关于“进一步提高政府采购预付款比例”的规定：</w:t>
            </w:r>
          </w:p>
          <w:p w:rsidR="00FF4C10">
            <w:pPr>
              <w:ind w:firstLine="400" w:firstLineChars="200"/>
              <w:rPr>
                <w:rFonts w:ascii="宋体" w:hAnsi="宋体" w:cs="宋体"/>
              </w:rPr>
            </w:pPr>
            <w:r>
              <w:rPr>
                <w:rFonts w:ascii="宋体" w:hAnsi="宋体" w:cs="宋体" w:hint="eastAsia"/>
              </w:rPr>
              <w:t>1、采购单位应当在政府采购合同中约定预付款；</w:t>
            </w:r>
          </w:p>
          <w:p w:rsidR="00FF4C10">
            <w:pPr>
              <w:ind w:firstLine="400" w:firstLineChars="200"/>
              <w:rPr>
                <w:rFonts w:ascii="宋体" w:hAnsi="宋体" w:cs="宋体"/>
              </w:rPr>
            </w:pPr>
            <w:r>
              <w:rPr>
                <w:rFonts w:ascii="宋体" w:hAnsi="宋体" w:cs="宋体" w:hint="eastAsia"/>
              </w:rPr>
              <w:t>2、项目涉及中小企业合同预付款的，合同签订后，采购人可以根据项目特点、供应商诚信等因素要求中标人提交银行、保险公司等金融机构出具的预付款保函或其他担保措施，采购人在合同生效以及具备实施条件后7个工作日内向中标人支付40%-70%的合同款作为预付款（项目为分年安排预算的，预付款按年度计划支付资金额的上述比例执行）；项目如以人工投入为主，采购人在合同生效以及具备实施条件后7个工作日内向中标人支付20%-70%的合同款作为预付款。</w:t>
            </w:r>
          </w:p>
          <w:p w:rsidR="00FF4C10">
            <w:pPr>
              <w:ind w:firstLine="400" w:firstLineChars="200"/>
              <w:rPr>
                <w:rFonts w:ascii="宋体" w:hAnsi="宋体" w:cs="宋体"/>
              </w:rPr>
            </w:pPr>
            <w:r>
              <w:rPr>
                <w:rFonts w:ascii="宋体" w:hAnsi="宋体" w:cs="宋体" w:hint="eastAsia"/>
              </w:rPr>
              <w:t>3、本项目涉及投标人为大型企业，或者以人工投入为主且实行按月定期结算支付款项的，预付款可低于上述比例或者不约定预付款（相应字样应在合同中体现）。</w:t>
            </w:r>
          </w:p>
          <w:p w:rsidR="00FF4C10">
            <w:pPr>
              <w:ind w:firstLine="400" w:firstLineChars="200"/>
              <w:rPr>
                <w:rFonts w:asciiTheme="minorEastAsia" w:eastAsiaTheme="minorEastAsia" w:hAnsiTheme="minorEastAsia" w:cstheme="minorEastAsia"/>
                <w:b/>
                <w:bCs/>
              </w:rPr>
            </w:pPr>
            <w:r>
              <w:rPr>
                <w:rFonts w:ascii="宋体" w:hAnsi="宋体" w:cs="宋体" w:hint="eastAsia"/>
              </w:rPr>
              <w:t>4、在签订合同时，中标人明确表示无需预付款或者主动要求降低预付款比例的，应提交相应申请函经采购人确认后，可不适用前述规定。</w:t>
            </w:r>
          </w:p>
        </w:tc>
      </w:tr>
    </w:tbl>
    <w:p w:rsidR="00FF4C10">
      <w:pPr>
        <w:pStyle w:val="NormalIndent"/>
        <w:spacing w:line="360" w:lineRule="auto"/>
        <w:rPr>
          <w:rFonts w:asciiTheme="minorEastAsia" w:eastAsiaTheme="minorEastAsia" w:hAnsiTheme="minorEastAsia" w:cstheme="minorEastAsia"/>
        </w:rPr>
        <w:sectPr>
          <w:footerReference w:type="default" r:id="rId16"/>
          <w:type w:val="nextPage"/>
          <w:pgSz w:w="11906" w:h="16838"/>
          <w:pgMar w:top="1440" w:right="1800" w:bottom="1440" w:left="1800" w:header="851" w:footer="992" w:gutter="0"/>
          <w:pgNumType w:start="7"/>
          <w:cols w:space="425"/>
          <w:titlePg w:val="0"/>
          <w:docGrid w:type="lines" w:linePitch="312"/>
        </w:sectPr>
      </w:pPr>
      <w:r>
        <w:rPr>
          <w:rFonts w:asciiTheme="minorEastAsia" w:eastAsiaTheme="minorEastAsia" w:hAnsiTheme="minorEastAsia" w:cstheme="minorEastAsia" w:hint="eastAsia"/>
          <w:sz w:val="24"/>
          <w:szCs w:val="24"/>
        </w:rPr>
        <w:t>注：以上内容如有变化将另行通知。如通知其中某一内容发生变化，其余未提及的将不作变动。</w:t>
      </w:r>
    </w:p>
    <w:p w:rsidR="00FF4C10">
      <w:pPr>
        <w:pStyle w:val="Heading2"/>
        <w:numPr>
          <w:ilvl w:val="0"/>
          <w:numId w:val="7"/>
        </w:numPr>
        <w:jc w:val="center"/>
        <w:rPr>
          <w:rFonts w:asciiTheme="minorEastAsia" w:eastAsiaTheme="minorEastAsia" w:hAnsiTheme="minorEastAsia" w:cstheme="minorEastAsia"/>
        </w:rPr>
      </w:pPr>
      <w:bookmarkStart w:id="11" w:name="_Toc25187"/>
      <w:bookmarkStart w:id="12" w:name="_Toc29099"/>
      <w:r>
        <w:rPr>
          <w:rFonts w:asciiTheme="minorEastAsia" w:eastAsiaTheme="minorEastAsia" w:hAnsiTheme="minorEastAsia" w:cstheme="minorEastAsia" w:hint="eastAsia"/>
        </w:rPr>
        <w:t>总则</w:t>
      </w:r>
      <w:bookmarkEnd w:id="11"/>
      <w:bookmarkEnd w:id="12"/>
    </w:p>
    <w:p w:rsidR="00FF4C10">
      <w:pPr>
        <w:spacing w:line="336"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本次招标工作是按照《中华人民共和国政府采购法》、《中华人民共和国政府采购法实施条例》等相关法律、组织和实施，并由政府采购管理部门指导和监督。</w:t>
      </w:r>
    </w:p>
    <w:p w:rsidR="00FF4C10">
      <w:pPr>
        <w:spacing w:line="336" w:lineRule="auto"/>
        <w:ind w:firstLine="480" w:firstLineChars="200"/>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1、适用范围</w:t>
      </w:r>
    </w:p>
    <w:p w:rsidR="00FF4C10">
      <w:pPr>
        <w:spacing w:line="336"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1.1本次询价工作仅适用于</w:t>
      </w:r>
      <w:r>
        <w:rPr>
          <w:rFonts w:asciiTheme="minorEastAsia" w:eastAsiaTheme="minorEastAsia" w:hAnsiTheme="minorEastAsia" w:cstheme="minorEastAsia" w:hint="eastAsia"/>
          <w:sz w:val="24"/>
          <w:szCs w:val="24"/>
          <w:u w:val="single"/>
        </w:rPr>
        <w:t>上虞中学86寸一体机采购项目</w:t>
      </w:r>
      <w:r>
        <w:rPr>
          <w:rFonts w:asciiTheme="minorEastAsia" w:eastAsiaTheme="minorEastAsia" w:hAnsiTheme="minorEastAsia" w:cstheme="minorEastAsia" w:hint="eastAsia"/>
          <w:sz w:val="24"/>
          <w:szCs w:val="24"/>
        </w:rPr>
        <w:t>。</w:t>
      </w:r>
    </w:p>
    <w:p w:rsidR="00FF4C10">
      <w:pPr>
        <w:pStyle w:val="BodyTextFirstIndent"/>
        <w:spacing w:line="336"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1.2本项目采购方式采用询价方式。</w:t>
      </w:r>
    </w:p>
    <w:p w:rsidR="00FF4C10">
      <w:pPr>
        <w:spacing w:line="336" w:lineRule="auto"/>
        <w:ind w:firstLine="480" w:firstLineChars="200"/>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2、定义</w:t>
      </w:r>
    </w:p>
    <w:p w:rsidR="00FF4C10">
      <w:pPr>
        <w:spacing w:line="336" w:lineRule="auto"/>
        <w:ind w:firstLine="480" w:firstLineChars="200"/>
        <w:rPr>
          <w:rFonts w:asciiTheme="minorEastAsia" w:eastAsiaTheme="minorEastAsia" w:hAnsiTheme="minorEastAsia" w:cstheme="minorEastAsia"/>
          <w:sz w:val="24"/>
          <w:szCs w:val="24"/>
          <w:u w:val="single"/>
        </w:rPr>
      </w:pPr>
      <w:r>
        <w:rPr>
          <w:rFonts w:asciiTheme="minorEastAsia" w:eastAsiaTheme="minorEastAsia" w:hAnsiTheme="minorEastAsia" w:cstheme="minorEastAsia" w:hint="eastAsia"/>
          <w:sz w:val="24"/>
          <w:szCs w:val="24"/>
        </w:rPr>
        <w:t>2.1“</w:t>
      </w:r>
      <w:r>
        <w:rPr>
          <w:rFonts w:asciiTheme="minorEastAsia" w:eastAsiaTheme="minorEastAsia" w:hAnsiTheme="minorEastAsia" w:cstheme="minorEastAsia" w:hint="eastAsia"/>
          <w:sz w:val="24"/>
          <w:szCs w:val="24"/>
          <w:lang w:val="zh-CN"/>
        </w:rPr>
        <w:t>采购人”系指</w:t>
      </w:r>
      <w:r>
        <w:rPr>
          <w:rFonts w:asciiTheme="minorEastAsia" w:eastAsiaTheme="minorEastAsia" w:hAnsiTheme="minorEastAsia" w:cstheme="minorEastAsia" w:hint="eastAsia"/>
          <w:sz w:val="24"/>
          <w:szCs w:val="24"/>
          <w:u w:val="single"/>
        </w:rPr>
        <w:t>浙江省上虞中学</w:t>
      </w:r>
      <w:r>
        <w:rPr>
          <w:rFonts w:asciiTheme="minorEastAsia" w:eastAsiaTheme="minorEastAsia" w:hAnsiTheme="minorEastAsia" w:cstheme="minorEastAsia" w:hint="eastAsia"/>
          <w:sz w:val="24"/>
          <w:szCs w:val="24"/>
        </w:rPr>
        <w:t>。采购人委托</w:t>
      </w:r>
      <w:r>
        <w:rPr>
          <w:rFonts w:asciiTheme="minorEastAsia" w:eastAsiaTheme="minorEastAsia" w:hAnsiTheme="minorEastAsia" w:cstheme="minorEastAsia" w:hint="eastAsia"/>
          <w:sz w:val="24"/>
          <w:szCs w:val="24"/>
          <w:u w:val="single"/>
        </w:rPr>
        <w:t>绍兴市上虞区公共资源交易中心</w:t>
      </w:r>
      <w:r>
        <w:rPr>
          <w:rFonts w:asciiTheme="minorEastAsia" w:eastAsiaTheme="minorEastAsia" w:hAnsiTheme="minorEastAsia" w:cstheme="minorEastAsia" w:hint="eastAsia"/>
          <w:sz w:val="24"/>
          <w:szCs w:val="24"/>
        </w:rPr>
        <w:t>为本项目采购代理机构。</w:t>
      </w:r>
    </w:p>
    <w:p w:rsidR="00FF4C10">
      <w:pPr>
        <w:spacing w:line="336"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2.2“询价供应商”系指响应本次采购，参加本次询价的供应商。</w:t>
      </w:r>
    </w:p>
    <w:p w:rsidR="00FF4C10">
      <w:pPr>
        <w:spacing w:line="336" w:lineRule="auto"/>
        <w:ind w:firstLine="480" w:firstLineChars="200"/>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rPr>
        <w:t>2.3</w:t>
      </w:r>
      <w:r>
        <w:rPr>
          <w:rFonts w:asciiTheme="minorEastAsia" w:eastAsiaTheme="minorEastAsia" w:hAnsiTheme="minorEastAsia" w:cstheme="minorEastAsia" w:hint="eastAsia"/>
          <w:sz w:val="24"/>
          <w:szCs w:val="24"/>
          <w:lang w:val="zh-CN"/>
        </w:rPr>
        <w:t>“服务”系指</w:t>
      </w:r>
      <w:r>
        <w:rPr>
          <w:rFonts w:asciiTheme="minorEastAsia" w:eastAsiaTheme="minorEastAsia" w:hAnsiTheme="minorEastAsia" w:cstheme="minorEastAsia" w:hint="eastAsia"/>
          <w:sz w:val="24"/>
          <w:szCs w:val="24"/>
        </w:rPr>
        <w:t>询价供应商按合同规定，须承担的服务的义务</w:t>
      </w:r>
      <w:r>
        <w:rPr>
          <w:rFonts w:asciiTheme="minorEastAsia" w:eastAsiaTheme="minorEastAsia" w:hAnsiTheme="minorEastAsia" w:cstheme="minorEastAsia" w:hint="eastAsia"/>
          <w:sz w:val="24"/>
          <w:szCs w:val="24"/>
          <w:lang w:val="zh-CN"/>
        </w:rPr>
        <w:t>。</w:t>
      </w:r>
    </w:p>
    <w:p w:rsidR="00FF4C10">
      <w:pPr>
        <w:spacing w:line="336" w:lineRule="auto"/>
        <w:ind w:firstLine="480" w:firstLineChars="200"/>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3、采购项目概况</w:t>
      </w:r>
      <w:r>
        <w:rPr>
          <w:rFonts w:asciiTheme="minorEastAsia" w:eastAsiaTheme="minorEastAsia" w:hAnsiTheme="minorEastAsia" w:cstheme="minorEastAsia" w:hint="eastAsia"/>
          <w:b/>
          <w:bCs/>
          <w:sz w:val="24"/>
          <w:szCs w:val="24"/>
        </w:rPr>
        <w:tab/>
      </w:r>
      <w:r>
        <w:rPr>
          <w:rFonts w:asciiTheme="minorEastAsia" w:eastAsiaTheme="minorEastAsia" w:hAnsiTheme="minorEastAsia" w:cstheme="minorEastAsia" w:hint="eastAsia"/>
          <w:b/>
          <w:bCs/>
          <w:sz w:val="24"/>
          <w:szCs w:val="24"/>
        </w:rPr>
        <w:tab/>
      </w:r>
    </w:p>
    <w:p w:rsidR="00FF4C10">
      <w:pPr>
        <w:spacing w:line="336"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详见询价公告相关内容，主要要求参见本文件第</w:t>
      </w:r>
      <w:r>
        <w:rPr>
          <w:rFonts w:asciiTheme="minorEastAsia" w:eastAsiaTheme="minorEastAsia" w:hAnsiTheme="minorEastAsia" w:cstheme="minorEastAsia" w:hint="eastAsia"/>
          <w:sz w:val="24"/>
          <w:szCs w:val="24"/>
          <w:u w:val="single"/>
        </w:rPr>
        <w:t>三</w:t>
      </w:r>
      <w:r>
        <w:rPr>
          <w:rFonts w:asciiTheme="minorEastAsia" w:eastAsiaTheme="minorEastAsia" w:hAnsiTheme="minorEastAsia" w:cstheme="minorEastAsia" w:hint="eastAsia"/>
          <w:sz w:val="24"/>
          <w:szCs w:val="24"/>
        </w:rPr>
        <w:t>部分。</w:t>
      </w:r>
    </w:p>
    <w:p w:rsidR="00FF4C10">
      <w:pPr>
        <w:adjustRightInd w:val="0"/>
        <w:spacing w:line="336" w:lineRule="auto"/>
        <w:ind w:firstLine="480" w:firstLineChars="200"/>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4、合格的询价供应商</w:t>
      </w:r>
    </w:p>
    <w:p w:rsidR="00FF4C10">
      <w:pPr>
        <w:spacing w:line="336" w:lineRule="auto"/>
        <w:ind w:firstLine="480" w:firstLineChars="200"/>
        <w:rPr>
          <w:rFonts w:asciiTheme="minorEastAsia" w:eastAsiaTheme="minorEastAsia" w:hAnsiTheme="minorEastAsia" w:cstheme="minorEastAsia"/>
          <w:sz w:val="24"/>
          <w:szCs w:val="24"/>
        </w:rPr>
      </w:pPr>
      <w:bookmarkStart w:id="13" w:name="_Toc197156227"/>
      <w:bookmarkStart w:id="14" w:name="_Toc208287611"/>
      <w:bookmarkStart w:id="15" w:name="_Toc193538208"/>
      <w:bookmarkStart w:id="16" w:name="_Toc197163261"/>
      <w:bookmarkStart w:id="17" w:name="_Toc207946571"/>
      <w:bookmarkStart w:id="18" w:name="_Toc209520993"/>
      <w:bookmarkStart w:id="19" w:name="_Toc197657950"/>
      <w:bookmarkStart w:id="20" w:name="_Toc209435242"/>
      <w:bookmarkStart w:id="21" w:name="_Toc197053926"/>
      <w:bookmarkStart w:id="22" w:name="_Toc193523219"/>
      <w:bookmarkStart w:id="23" w:name="_Toc208913145"/>
      <w:bookmarkStart w:id="24" w:name="_Toc211412066"/>
      <w:bookmarkStart w:id="25" w:name="_Toc209504018"/>
      <w:bookmarkStart w:id="26" w:name="_Toc204683265"/>
      <w:r>
        <w:rPr>
          <w:rFonts w:asciiTheme="minorEastAsia" w:eastAsiaTheme="minorEastAsia" w:hAnsiTheme="minorEastAsia" w:cstheme="minorEastAsia" w:hint="eastAsia"/>
          <w:sz w:val="24"/>
          <w:szCs w:val="24"/>
        </w:rPr>
        <w:t>详见询价采购公告询价供应商的资格要求规定。</w:t>
      </w:r>
      <w:bookmarkEnd w:id="13"/>
      <w:bookmarkEnd w:id="14"/>
      <w:bookmarkEnd w:id="15"/>
      <w:bookmarkEnd w:id="16"/>
      <w:bookmarkEnd w:id="17"/>
      <w:bookmarkEnd w:id="18"/>
      <w:bookmarkEnd w:id="19"/>
      <w:bookmarkEnd w:id="20"/>
      <w:bookmarkEnd w:id="21"/>
      <w:bookmarkEnd w:id="22"/>
      <w:bookmarkEnd w:id="23"/>
      <w:bookmarkEnd w:id="24"/>
      <w:bookmarkEnd w:id="25"/>
      <w:bookmarkEnd w:id="26"/>
    </w:p>
    <w:p w:rsidR="00FF4C10">
      <w:pPr>
        <w:spacing w:line="336" w:lineRule="auto"/>
        <w:ind w:firstLine="480" w:firstLineChars="200"/>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5、询价费用</w:t>
      </w:r>
    </w:p>
    <w:p w:rsidR="00FF4C10">
      <w:pPr>
        <w:spacing w:line="336"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询价供应商应承担其参加询价所涉及的一切费用，不管结果如何，采购人对上述费用不负任何责任。</w:t>
      </w:r>
    </w:p>
    <w:p w:rsidR="00FF4C10">
      <w:pPr>
        <w:pStyle w:val="Heading2"/>
        <w:numPr>
          <w:ilvl w:val="0"/>
          <w:numId w:val="7"/>
        </w:numPr>
        <w:jc w:val="center"/>
        <w:rPr>
          <w:rFonts w:asciiTheme="minorEastAsia" w:eastAsiaTheme="minorEastAsia" w:hAnsiTheme="minorEastAsia" w:cstheme="minorEastAsia"/>
        </w:rPr>
      </w:pPr>
      <w:bookmarkStart w:id="27" w:name="_Toc25923"/>
      <w:bookmarkStart w:id="28" w:name="_Toc11814"/>
      <w:bookmarkStart w:id="29" w:name="_Toc416992151"/>
      <w:bookmarkStart w:id="30" w:name="_Toc32689"/>
      <w:bookmarkStart w:id="31" w:name="_Toc6863"/>
      <w:r>
        <w:rPr>
          <w:rFonts w:asciiTheme="minorEastAsia" w:eastAsiaTheme="minorEastAsia" w:hAnsiTheme="minorEastAsia" w:cstheme="minorEastAsia" w:hint="eastAsia"/>
        </w:rPr>
        <w:t>询价文件</w:t>
      </w:r>
      <w:bookmarkEnd w:id="27"/>
      <w:bookmarkEnd w:id="28"/>
      <w:bookmarkEnd w:id="29"/>
      <w:bookmarkEnd w:id="30"/>
      <w:bookmarkEnd w:id="31"/>
    </w:p>
    <w:p w:rsidR="00FF4C10">
      <w:pPr>
        <w:adjustRightInd w:val="0"/>
        <w:spacing w:line="336" w:lineRule="auto"/>
        <w:ind w:firstLine="480" w:firstLineChars="200"/>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6、询价文件的组成</w:t>
      </w:r>
    </w:p>
    <w:p w:rsidR="00FF4C10">
      <w:pPr>
        <w:adjustRightInd w:val="0"/>
        <w:spacing w:line="336"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6.1本询价文件包括目录所示内容及所有按本须知发出的补充资料（如果有）。</w:t>
      </w:r>
    </w:p>
    <w:p w:rsidR="00FF4C10">
      <w:pPr>
        <w:adjustRightInd w:val="0"/>
        <w:spacing w:line="336"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6.2除上述所列内容外，采购人及采购代理机构的任何工作人员对询价供应商所作的任何口头解释、介绍、答复，只能供询价供应商参考，对采购人和询价供应商无任何约束力。</w:t>
      </w:r>
    </w:p>
    <w:p w:rsidR="00FF4C10">
      <w:pPr>
        <w:adjustRightInd w:val="0"/>
        <w:spacing w:line="336"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6.3询价供应商应仔细阅读询价文件的所有内容，按照文件要求提交响应文件，并保证所提交的全部资料的真实性。不按询价文件的要求提供的响应文件和资料，可能导致询价被拒绝。</w:t>
      </w:r>
    </w:p>
    <w:p w:rsidR="00FF4C10">
      <w:pPr>
        <w:spacing w:line="336"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6.4询价文件是成交后签订合同的依据，对双方均具有约束力，凡不遵守询价文件规定或对询价文件的实质性内容不响应的报价，将可能被拒绝或以无效标处理。本询价文件由采购人或采购代理机构进行解释。</w:t>
      </w:r>
    </w:p>
    <w:p w:rsidR="00FF4C10">
      <w:pPr>
        <w:adjustRightInd w:val="0"/>
        <w:spacing w:line="336" w:lineRule="auto"/>
        <w:ind w:firstLine="470" w:firstLineChars="196"/>
        <w:rPr>
          <w:rFonts w:asciiTheme="minorEastAsia" w:eastAsiaTheme="minorEastAsia" w:hAnsiTheme="minorEastAsia" w:cstheme="minorEastAsia"/>
          <w:b/>
          <w:bCs/>
          <w:sz w:val="24"/>
          <w:szCs w:val="24"/>
        </w:rPr>
        <w:sectPr>
          <w:headerReference w:type="default" r:id="rId17"/>
          <w:footerReference w:type="default" r:id="rId18"/>
          <w:pgSz w:w="11906" w:h="16838"/>
          <w:pgMar w:top="1417" w:right="1134" w:bottom="1417" w:left="1134" w:header="851" w:footer="618" w:gutter="0"/>
          <w:pgNumType w:start="9"/>
          <w:cols w:space="720"/>
          <w:docGrid w:type="lines" w:linePitch="321"/>
        </w:sectPr>
      </w:pPr>
      <w:r>
        <w:rPr>
          <w:rFonts w:asciiTheme="minorEastAsia" w:eastAsiaTheme="minorEastAsia" w:hAnsiTheme="minorEastAsia" w:cstheme="minorEastAsia" w:hint="eastAsia"/>
          <w:b/>
          <w:bCs/>
          <w:sz w:val="24"/>
          <w:szCs w:val="24"/>
        </w:rPr>
        <w:t>7、询价文件的澄清与修改</w:t>
      </w:r>
    </w:p>
    <w:p w:rsidR="00FF4C10">
      <w:pPr>
        <w:pStyle w:val="BodyTextIndent"/>
        <w:spacing w:line="336" w:lineRule="auto"/>
        <w:ind w:firstLine="480" w:firstLineChars="200"/>
        <w:rPr>
          <w:rFonts w:asciiTheme="minorEastAsia" w:eastAsiaTheme="minorEastAsia" w:hAnsiTheme="minorEastAsia" w:cstheme="minorEastAsia"/>
        </w:rPr>
      </w:pPr>
      <w:r>
        <w:rPr>
          <w:rFonts w:asciiTheme="minorEastAsia" w:eastAsiaTheme="minorEastAsia" w:hAnsiTheme="minorEastAsia" w:cstheme="minorEastAsia" w:hint="eastAsia"/>
        </w:rPr>
        <w:t>7.1询价供应商在收到询价文件后，若有问题需要澄清或认为有必要与采购人进行技术交流，应于前附表规定时间前，将问题按前附表要求发至指定邮箱里。（电子邮件只作方便工作之用，与书面文件有不一致的，以书面文件为准）。截止期后的疑问将不予受理、答复。</w:t>
      </w:r>
    </w:p>
    <w:p w:rsidR="00FF4C10">
      <w:pPr>
        <w:pStyle w:val="BodyTextIndent"/>
        <w:spacing w:line="336" w:lineRule="auto"/>
        <w:ind w:right="-240" w:firstLine="480" w:rightChars="-120" w:firstLineChars="200"/>
        <w:rPr>
          <w:rFonts w:asciiTheme="minorEastAsia" w:eastAsiaTheme="minorEastAsia" w:hAnsiTheme="minorEastAsia" w:cstheme="minorEastAsia"/>
        </w:rPr>
      </w:pPr>
      <w:r>
        <w:rPr>
          <w:rFonts w:asciiTheme="minorEastAsia" w:eastAsiaTheme="minorEastAsia" w:hAnsiTheme="minorEastAsia" w:cstheme="minorEastAsia" w:hint="eastAsia"/>
        </w:rPr>
        <w:t>7.2询价供应商要求解释或澄清的问题应以书面形式，并加盖公章、写明日期。</w:t>
      </w:r>
    </w:p>
    <w:p w:rsidR="00FF4C10">
      <w:pPr>
        <w:adjustRightInd w:val="0"/>
        <w:spacing w:line="336"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7.3提交响应文件截止之日前，采购人、采购代理机构可以对已发出的询价文件进行必要的澄清或者修改，澄清或者修改的内容作为询价文件的组成部分。</w:t>
      </w:r>
    </w:p>
    <w:p w:rsidR="00FF4C10">
      <w:pPr>
        <w:adjustRightInd w:val="0"/>
        <w:spacing w:line="336"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7.4询价文件的澄清修改文件及更正补充公告，请自行登录浙江政府采购网或绍兴市上虞区公共资源交易中心网站，在采购公告页面中下载。</w:t>
      </w:r>
    </w:p>
    <w:p w:rsidR="00FF4C10">
      <w:pPr>
        <w:adjustRightInd w:val="0"/>
        <w:spacing w:line="336"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7.5澄清或者修改的内容可能影响响应文件编制的，采购人、采购代理机构将在提交响应文件截止时间至少3个工作日前，以公告形式通知所有获取询价文件的供应商；不足3个工作日的，采购人、采购代理机构可能会顺延提交首次响应文件截止时间。澄清或者修改的内容未对原询价文件作出重大修改或不会影响响应文件编制的，递交首次响应文件截止时间不变。</w:t>
      </w:r>
    </w:p>
    <w:p w:rsidR="00FF4C10">
      <w:pPr>
        <w:adjustRightInd w:val="0"/>
        <w:spacing w:line="336"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7.6询价文件澄清、答复、修改、补充的内容为询价文件的组成部分。</w:t>
      </w:r>
    </w:p>
    <w:p w:rsidR="00FF4C10">
      <w:pPr>
        <w:adjustRightInd w:val="0"/>
        <w:spacing w:line="336"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7.7询价文件发售截止日后，经采购人同意后购买询价文件的询价供应商不得对询价文件和补充文件提出答疑或质疑。</w:t>
      </w:r>
    </w:p>
    <w:p w:rsidR="00FF4C10">
      <w:pPr>
        <w:pStyle w:val="Heading2"/>
        <w:numPr>
          <w:ilvl w:val="0"/>
          <w:numId w:val="7"/>
        </w:numPr>
        <w:jc w:val="center"/>
        <w:rPr>
          <w:rFonts w:asciiTheme="minorEastAsia" w:eastAsiaTheme="minorEastAsia" w:hAnsiTheme="minorEastAsia" w:cstheme="minorEastAsia"/>
        </w:rPr>
      </w:pPr>
      <w:bookmarkStart w:id="32" w:name="_Toc6273"/>
      <w:bookmarkStart w:id="33" w:name="_Toc23975"/>
      <w:bookmarkStart w:id="34" w:name="_Toc8860"/>
      <w:bookmarkStart w:id="35" w:name="_Toc23135"/>
      <w:bookmarkStart w:id="36" w:name="_Toc31748"/>
      <w:bookmarkStart w:id="37" w:name="_Toc11515"/>
      <w:bookmarkStart w:id="38" w:name="_Toc1729"/>
      <w:bookmarkStart w:id="39" w:name="_Toc11093"/>
      <w:bookmarkStart w:id="40" w:name="_Toc11669"/>
      <w:bookmarkStart w:id="41" w:name="_Toc26603"/>
      <w:bookmarkStart w:id="42" w:name="_Toc10669"/>
      <w:bookmarkStart w:id="43" w:name="_Toc1202"/>
      <w:bookmarkStart w:id="44" w:name="_Toc24622"/>
      <w:bookmarkStart w:id="45" w:name="_Toc26027"/>
      <w:bookmarkStart w:id="46" w:name="_Toc1828"/>
      <w:bookmarkStart w:id="47" w:name="_Toc14650"/>
      <w:bookmarkStart w:id="48" w:name="_Toc10810"/>
      <w:bookmarkStart w:id="49" w:name="_Toc6457"/>
      <w:bookmarkStart w:id="50" w:name="_Toc11692"/>
      <w:bookmarkStart w:id="51" w:name="_Toc391298957"/>
      <w:bookmarkStart w:id="52" w:name="_Toc18702"/>
      <w:bookmarkStart w:id="53" w:name="_Toc6079"/>
      <w:bookmarkStart w:id="54" w:name="_Toc7126"/>
      <w:r>
        <w:rPr>
          <w:rFonts w:asciiTheme="minorEastAsia" w:eastAsiaTheme="minorEastAsia" w:hAnsiTheme="minorEastAsia" w:cstheme="minorEastAsia" w:hint="eastAsia"/>
        </w:rPr>
        <w:tab/>
      </w:r>
      <w:bookmarkStart w:id="55" w:name="_Toc8042"/>
      <w:r>
        <w:rPr>
          <w:rFonts w:asciiTheme="minorEastAsia" w:eastAsiaTheme="minorEastAsia" w:hAnsiTheme="minorEastAsia" w:cstheme="minorEastAsia" w:hint="eastAsia"/>
        </w:rPr>
        <w:t>询价响应文件的编写</w:t>
      </w:r>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p>
    <w:p w:rsidR="00FF4C10">
      <w:pPr>
        <w:spacing w:line="336"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8、要求</w:t>
      </w:r>
    </w:p>
    <w:p w:rsidR="00FF4C10">
      <w:pPr>
        <w:spacing w:line="336"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8.1供应商应仔细阅读询价文件的所有内容，按照询价文件的要求提交询价响应文件。询价响应文件应对询价文件的要求做出实质性响应，并保证所提供的全部资料的真实性，否则视其为虚假响应，其响应将被否决。</w:t>
      </w:r>
    </w:p>
    <w:p w:rsidR="00FF4C10">
      <w:pPr>
        <w:spacing w:line="336"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8.2报价</w:t>
      </w:r>
    </w:p>
    <w:p w:rsidR="00FF4C10">
      <w:pPr>
        <w:spacing w:line="336" w:lineRule="auto"/>
        <w:ind w:firstLine="480" w:firstLineChars="200"/>
        <w:rPr>
          <w:rFonts w:asciiTheme="minorEastAsia" w:eastAsiaTheme="minorEastAsia" w:hAnsiTheme="minorEastAsia" w:cstheme="minorEastAsia"/>
          <w:b/>
          <w:bCs/>
          <w:sz w:val="24"/>
          <w:szCs w:val="24"/>
          <w:shd w:val="clear" w:color="FFFFFF" w:fill="D9D9D9"/>
        </w:rPr>
      </w:pPr>
      <w:r>
        <w:rPr>
          <w:rFonts w:asciiTheme="minorEastAsia" w:eastAsiaTheme="minorEastAsia" w:hAnsiTheme="minorEastAsia" w:cstheme="minorEastAsia" w:hint="eastAsia"/>
          <w:sz w:val="24"/>
          <w:szCs w:val="24"/>
        </w:rPr>
        <w:t>8.2.1本次报价币种为人民币。</w:t>
      </w:r>
    </w:p>
    <w:p w:rsidR="00FF4C10">
      <w:pPr>
        <w:pStyle w:val="20"/>
        <w:tabs>
          <w:tab w:val="left" w:pos="0"/>
        </w:tabs>
        <w:spacing w:before="0" w:line="336" w:lineRule="auto"/>
        <w:ind w:firstLine="480"/>
        <w:rPr>
          <w:rFonts w:asciiTheme="minorEastAsia" w:eastAsiaTheme="minorEastAsia" w:hAnsiTheme="minorEastAsia" w:cstheme="minorEastAsia"/>
          <w:b/>
          <w:bCs/>
          <w:u w:val="single"/>
        </w:rPr>
      </w:pPr>
      <w:r>
        <w:rPr>
          <w:rFonts w:asciiTheme="minorEastAsia" w:eastAsiaTheme="minorEastAsia" w:hAnsiTheme="minorEastAsia" w:cstheme="minorEastAsia" w:hint="eastAsia"/>
        </w:rPr>
        <w:t>8.2.2</w:t>
      </w:r>
      <w:r>
        <w:rPr>
          <w:rFonts w:asciiTheme="minorEastAsia" w:eastAsiaTheme="minorEastAsia" w:hAnsiTheme="minorEastAsia" w:cstheme="minorEastAsia" w:hint="eastAsia"/>
          <w:b/>
          <w:bCs/>
        </w:rPr>
        <w:t>本项目</w:t>
      </w:r>
      <w:r>
        <w:rPr>
          <w:rFonts w:ascii="宋体" w:hAnsi="宋体" w:cs="宋体" w:hint="eastAsia"/>
          <w:b/>
          <w:bCs/>
          <w:szCs w:val="32"/>
        </w:rPr>
        <w:t>报价统一为人民币计价，包括但不仅限于项目</w:t>
      </w:r>
      <w:bookmarkStart w:id="56" w:name="_Hlk88041801"/>
      <w:r>
        <w:rPr>
          <w:rFonts w:ascii="宋体" w:hAnsi="宋体" w:cs="宋体" w:hint="eastAsia"/>
          <w:b/>
          <w:bCs/>
          <w:szCs w:val="32"/>
        </w:rPr>
        <w:t>实施所需的硬件采购费用、售后服务费、设备费、运输费、安装费</w:t>
      </w:r>
      <w:bookmarkEnd w:id="56"/>
      <w:r>
        <w:rPr>
          <w:rFonts w:ascii="宋体" w:hAnsi="宋体" w:cs="宋体" w:hint="eastAsia"/>
          <w:b/>
          <w:bCs/>
          <w:szCs w:val="32"/>
        </w:rPr>
        <w:t>、人工费、管理费、税费等一切费用。供应商在编写方案时应充分考虑各种风险因素，凡供应商漏项、漏报均认为已包含在报价中，结算时不再增加。</w:t>
      </w:r>
    </w:p>
    <w:p w:rsidR="00FF4C10">
      <w:pPr>
        <w:spacing w:line="336"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投标报价固定是指供应商所填写的投标报价在合同实施期间不因市场因素而变动，供应商在计算报价时可考虑一定的风险系数（由供应商自行考虑）。</w:t>
      </w:r>
    </w:p>
    <w:p w:rsidR="00FF4C10">
      <w:pPr>
        <w:spacing w:line="336" w:lineRule="auto"/>
        <w:ind w:firstLine="400" w:firstLineChars="200"/>
        <w:rPr>
          <w:rFonts w:asciiTheme="minorEastAsia" w:eastAsiaTheme="minorEastAsia" w:hAnsiTheme="minorEastAsia" w:cstheme="minorEastAsia"/>
        </w:rPr>
        <w:sectPr>
          <w:headerReference w:type="default" r:id="rId19"/>
          <w:footerReference w:type="default" r:id="rId20"/>
          <w:type w:val="nextPage"/>
          <w:pgSz w:w="11906" w:h="16838"/>
          <w:pgMar w:top="1417" w:right="1134" w:bottom="1417" w:left="1134" w:header="851" w:footer="618" w:gutter="0"/>
          <w:pgNumType w:start="10"/>
          <w:cols w:space="720"/>
          <w:titlePg w:val="0"/>
          <w:docGrid w:type="lines" w:linePitch="321"/>
        </w:sectPr>
      </w:pPr>
    </w:p>
    <w:p w:rsidR="00FF4C10">
      <w:pPr>
        <w:spacing w:line="336" w:lineRule="auto"/>
        <w:ind w:firstLine="480" w:firstLineChars="200"/>
        <w:rPr>
          <w:rFonts w:asciiTheme="minorEastAsia" w:eastAsiaTheme="minorEastAsia" w:hAnsiTheme="minorEastAsia" w:cstheme="minorEastAsia"/>
        </w:rPr>
      </w:pPr>
      <w:r>
        <w:rPr>
          <w:rFonts w:asciiTheme="minorEastAsia" w:eastAsiaTheme="minorEastAsia" w:hAnsiTheme="minorEastAsia" w:cstheme="minorEastAsia" w:hint="eastAsia"/>
          <w:sz w:val="24"/>
          <w:szCs w:val="24"/>
        </w:rPr>
        <w:t>8.2.3供应商的报价作为供应商计算单价或总价的依据，应是完成技术文件中的所有要求，不得以任何理由予以重复，供应商对报价若有说明应在报价一览表备注处注明。任何有选择的报价方案及价格将不予接受。</w:t>
      </w:r>
    </w:p>
    <w:p w:rsidR="00FF4C10">
      <w:pPr>
        <w:pStyle w:val="PlainText"/>
        <w:spacing w:line="336" w:lineRule="auto"/>
        <w:ind w:firstLine="480" w:firstLineChars="200"/>
        <w:rPr>
          <w:rFonts w:asciiTheme="minorEastAsia" w:eastAsiaTheme="minorEastAsia" w:hAnsiTheme="minorEastAsia" w:cstheme="minorEastAsia"/>
          <w:b/>
          <w:bCs/>
          <w:sz w:val="24"/>
          <w:szCs w:val="24"/>
          <w:u w:val="single"/>
        </w:rPr>
      </w:pPr>
      <w:r>
        <w:rPr>
          <w:rFonts w:asciiTheme="minorEastAsia" w:eastAsiaTheme="minorEastAsia" w:hAnsiTheme="minorEastAsia" w:cstheme="minorEastAsia" w:hint="eastAsia"/>
          <w:b/>
          <w:bCs/>
          <w:sz w:val="24"/>
          <w:szCs w:val="24"/>
        </w:rPr>
        <w:t>9、响应文件的组成</w:t>
      </w:r>
      <w:r>
        <w:rPr>
          <w:rFonts w:asciiTheme="minorEastAsia" w:eastAsiaTheme="minorEastAsia" w:hAnsiTheme="minorEastAsia" w:cstheme="minorEastAsia" w:hint="eastAsia"/>
          <w:b/>
          <w:bCs/>
          <w:sz w:val="24"/>
          <w:szCs w:val="24"/>
          <w:u w:val="single"/>
        </w:rPr>
        <w:t>（供应商应根据采购文件的要求提供相应的内容且设置关联定位，供应商可查看《供应商-政府采购项目电子交易操作指南》进行操作：https://help.zcygov.cn/web/site_2/2018/12-28/2573.html）</w:t>
      </w:r>
    </w:p>
    <w:p w:rsidR="00FF4C10">
      <w:pPr>
        <w:pStyle w:val="20"/>
        <w:tabs>
          <w:tab w:val="left" w:pos="0"/>
        </w:tabs>
        <w:spacing w:before="0" w:line="336" w:lineRule="auto"/>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响应文件应当包括以下主要内容：资格文件、商务技术文件、报价文件。</w:t>
      </w:r>
    </w:p>
    <w:p w:rsidR="00FF4C10">
      <w:pPr>
        <w:pStyle w:val="20"/>
        <w:numPr>
          <w:ilvl w:val="0"/>
          <w:numId w:val="8"/>
        </w:numPr>
        <w:spacing w:before="0" w:line="336" w:lineRule="auto"/>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资格文件包括以下内容：</w:t>
      </w:r>
    </w:p>
    <w:p w:rsidR="00FF4C10">
      <w:pPr>
        <w:pStyle w:val="20"/>
        <w:numPr>
          <w:ilvl w:val="0"/>
          <w:numId w:val="9"/>
        </w:numPr>
        <w:spacing w:before="0"/>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法定代表人授权书（格式见附件）；如法定代表人直接参加询价并对相应文件签字的（签字是指线下签字扫描后上传或者线上进行电子签章），只需提供其身份证复印件，否则则应提供授权代表身份证复印件；</w:t>
      </w:r>
    </w:p>
    <w:p w:rsidR="00FF4C10">
      <w:pPr>
        <w:pStyle w:val="20"/>
        <w:numPr>
          <w:ilvl w:val="0"/>
          <w:numId w:val="9"/>
        </w:numPr>
        <w:spacing w:before="0"/>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营业执照(或事业法人登记证或其他工商等登记证明材料)复印件、税务登记证(或其它缴纳证明材料)复印件、社保登记证（或其它缴纳证明材料）复印件；实施“五证合一、一照一码”登记制度改革的，只需提供改革后取得的营业执照复印件；事业单位的，则提供有效的《事业单位法人证书》副本复印件并加盖单位公章；</w:t>
      </w:r>
    </w:p>
    <w:p w:rsidR="00FF4C10">
      <w:pPr>
        <w:pStyle w:val="20"/>
        <w:spacing w:before="0"/>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金融、保险、通讯等特定行业的全国性企业所设立的区域性分支机构，以及个体工商户、个人独资企业、合伙企业，如果已经依法办理了工商、税务和社保登记手续，并且获得总公司（总机构）授权或能够提供房产权证或其他有效财产证明材料（在询价响应文件中提供相关材料），证明其具备实际承担责任的能力和法定的缔结合同能力，可以独立参加政府采购活动，由单位负责人签署相关文件材料；</w:t>
      </w:r>
    </w:p>
    <w:p w:rsidR="00FF4C10">
      <w:pPr>
        <w:pStyle w:val="20"/>
        <w:numPr>
          <w:ilvl w:val="0"/>
          <w:numId w:val="9"/>
        </w:numPr>
        <w:spacing w:before="0"/>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具有履行合同所必需的产品和专业技术能力的承诺函；</w:t>
      </w:r>
    </w:p>
    <w:p w:rsidR="00FF4C10">
      <w:pPr>
        <w:pStyle w:val="20"/>
        <w:numPr>
          <w:ilvl w:val="0"/>
          <w:numId w:val="9"/>
        </w:numPr>
        <w:spacing w:before="0"/>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投标人承诺函（格式见附件）</w:t>
      </w:r>
    </w:p>
    <w:p w:rsidR="00FF4C10">
      <w:pPr>
        <w:pStyle w:val="20"/>
        <w:numPr>
          <w:ilvl w:val="0"/>
          <w:numId w:val="9"/>
        </w:numPr>
        <w:spacing w:before="0"/>
        <w:ind w:firstLine="480"/>
        <w:rPr>
          <w:rFonts w:asciiTheme="minorEastAsia" w:eastAsiaTheme="minorEastAsia" w:hAnsiTheme="minorEastAsia" w:cstheme="minorEastAsia"/>
        </w:rPr>
      </w:pPr>
      <w:r>
        <w:rPr>
          <w:rFonts w:ascii="宋体" w:hAnsi="宋体" w:cs="宋体" w:hint="eastAsia"/>
        </w:rPr>
        <w:t>中小企业声明函（格式见附件）</w:t>
      </w:r>
    </w:p>
    <w:p w:rsidR="00FF4C10">
      <w:pPr>
        <w:pStyle w:val="20"/>
        <w:numPr>
          <w:ilvl w:val="0"/>
          <w:numId w:val="9"/>
        </w:numPr>
        <w:spacing w:before="0"/>
        <w:ind w:firstLine="480"/>
        <w:rPr>
          <w:rFonts w:asciiTheme="minorEastAsia" w:eastAsiaTheme="minorEastAsia" w:hAnsiTheme="minorEastAsia" w:cstheme="minorEastAsia"/>
        </w:rPr>
      </w:pPr>
      <w:r>
        <w:rPr>
          <w:rFonts w:ascii="宋体" w:hAnsi="宋体" w:cs="宋体" w:hint="eastAsia"/>
        </w:rPr>
        <w:t>残疾人福利性单位声明函(如有)（格式见附件）</w:t>
      </w:r>
    </w:p>
    <w:p w:rsidR="00FF4C10">
      <w:pPr>
        <w:pStyle w:val="20"/>
        <w:numPr>
          <w:ilvl w:val="0"/>
          <w:numId w:val="9"/>
        </w:numPr>
        <w:spacing w:before="0"/>
        <w:ind w:firstLine="480"/>
        <w:rPr>
          <w:rFonts w:asciiTheme="minorEastAsia" w:eastAsiaTheme="minorEastAsia" w:hAnsiTheme="minorEastAsia" w:cstheme="minorEastAsia"/>
        </w:rPr>
      </w:pPr>
      <w:r>
        <w:rPr>
          <w:rFonts w:ascii="宋体" w:hAnsi="宋体" w:cs="宋体" w:hint="eastAsia"/>
        </w:rPr>
        <w:t>监狱企业证明文件(如有)（格式见附件）</w:t>
      </w:r>
      <w:r>
        <w:rPr>
          <w:rFonts w:asciiTheme="minorEastAsia" w:eastAsiaTheme="minorEastAsia" w:hAnsiTheme="minorEastAsia" w:cstheme="minorEastAsia" w:hint="eastAsia"/>
        </w:rPr>
        <w:t>。</w:t>
      </w:r>
    </w:p>
    <w:p w:rsidR="00FF4C10">
      <w:pPr>
        <w:pStyle w:val="20"/>
        <w:numPr>
          <w:ilvl w:val="0"/>
          <w:numId w:val="8"/>
        </w:numPr>
        <w:spacing w:before="0" w:line="336" w:lineRule="auto"/>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商务技术文件，需要供应商提供以下项所列的技术文件：</w:t>
      </w:r>
    </w:p>
    <w:p w:rsidR="00FF4C10">
      <w:pPr>
        <w:pStyle w:val="20"/>
        <w:numPr>
          <w:ilvl w:val="0"/>
          <w:numId w:val="10"/>
        </w:numPr>
        <w:spacing w:before="0" w:line="336" w:lineRule="auto"/>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技术响应及建议表（格式见附件）；</w:t>
      </w:r>
    </w:p>
    <w:p w:rsidR="00FF4C10">
      <w:pPr>
        <w:pStyle w:val="20"/>
        <w:numPr>
          <w:ilvl w:val="0"/>
          <w:numId w:val="10"/>
        </w:numPr>
        <w:spacing w:before="0" w:line="336" w:lineRule="auto"/>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废标项证明材料</w:t>
      </w:r>
      <w:r>
        <w:rPr>
          <w:rFonts w:asciiTheme="minorEastAsia" w:eastAsiaTheme="minorEastAsia" w:hAnsiTheme="minorEastAsia" w:cstheme="minorEastAsia" w:hint="eastAsia"/>
          <w:b/>
          <w:bCs/>
        </w:rPr>
        <w:t>（“★”的关键性指标及技术参数要求，需提供相关佐证材料（如检测报告或官网截图或产品彩页或原厂技术说明等），并着重标注对应内容）</w:t>
      </w:r>
      <w:r>
        <w:rPr>
          <w:rFonts w:asciiTheme="minorEastAsia" w:eastAsiaTheme="minorEastAsia" w:hAnsiTheme="minorEastAsia" w:cstheme="minorEastAsia" w:hint="eastAsia"/>
        </w:rPr>
        <w:t>；</w:t>
      </w:r>
    </w:p>
    <w:p w:rsidR="00FF4C10">
      <w:pPr>
        <w:pStyle w:val="20"/>
        <w:numPr>
          <w:ilvl w:val="0"/>
          <w:numId w:val="10"/>
        </w:numPr>
        <w:spacing w:before="0" w:line="336" w:lineRule="auto"/>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供货安装方案；</w:t>
      </w:r>
    </w:p>
    <w:p w:rsidR="00FF4C10">
      <w:pPr>
        <w:pStyle w:val="20"/>
        <w:numPr>
          <w:ilvl w:val="0"/>
          <w:numId w:val="10"/>
        </w:numPr>
        <w:spacing w:before="0" w:line="336" w:lineRule="auto"/>
        <w:ind w:firstLine="480"/>
        <w:rPr>
          <w:rFonts w:asciiTheme="minorEastAsia" w:eastAsiaTheme="minorEastAsia" w:hAnsiTheme="minorEastAsia" w:cstheme="minorEastAsia"/>
        </w:rPr>
        <w:sectPr>
          <w:headerReference w:type="default" r:id="rId21"/>
          <w:footerReference w:type="default" r:id="rId22"/>
          <w:type w:val="nextPage"/>
          <w:pgSz w:w="11906" w:h="16838"/>
          <w:pgMar w:top="1417" w:right="1134" w:bottom="1417" w:left="1134" w:header="851" w:footer="618" w:gutter="0"/>
          <w:pgNumType w:start="11"/>
          <w:cols w:space="720"/>
          <w:titlePg w:val="0"/>
          <w:docGrid w:type="lines" w:linePitch="321"/>
        </w:sectPr>
      </w:pPr>
      <w:r>
        <w:rPr>
          <w:rFonts w:asciiTheme="minorEastAsia" w:eastAsiaTheme="minorEastAsia" w:hAnsiTheme="minorEastAsia" w:cstheme="minorEastAsia" w:hint="eastAsia"/>
        </w:rPr>
        <w:t>售后服务方案；</w:t>
      </w:r>
    </w:p>
    <w:p w:rsidR="00FF4C10">
      <w:pPr>
        <w:pStyle w:val="20"/>
        <w:numPr>
          <w:ilvl w:val="0"/>
          <w:numId w:val="10"/>
        </w:numPr>
        <w:spacing w:before="0" w:line="336" w:lineRule="auto"/>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 xml:space="preserve">供应商认为需要的其他文件资料。 </w:t>
      </w:r>
    </w:p>
    <w:p w:rsidR="00FF4C10">
      <w:pPr>
        <w:pStyle w:val="20"/>
        <w:tabs>
          <w:tab w:val="left" w:pos="0"/>
        </w:tabs>
        <w:spacing w:before="0" w:line="336" w:lineRule="auto"/>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注：以上内容应与评标办法中内容具有一致性。</w:t>
      </w:r>
    </w:p>
    <w:p w:rsidR="00FF4C10">
      <w:pPr>
        <w:pStyle w:val="20"/>
        <w:numPr>
          <w:ilvl w:val="0"/>
          <w:numId w:val="8"/>
        </w:numPr>
        <w:spacing w:before="0" w:line="336" w:lineRule="auto"/>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报价文件包括以下内容：</w:t>
      </w:r>
    </w:p>
    <w:p w:rsidR="00FF4C10">
      <w:pPr>
        <w:numPr>
          <w:ilvl w:val="0"/>
          <w:numId w:val="11"/>
        </w:numPr>
        <w:spacing w:line="360" w:lineRule="auto"/>
        <w:ind w:firstLine="480" w:firstLineChars="200"/>
        <w:rPr>
          <w:rFonts w:ascii="宋体" w:hAnsi="宋体"/>
          <w:sz w:val="24"/>
          <w:szCs w:val="24"/>
        </w:rPr>
      </w:pPr>
      <w:r>
        <w:rPr>
          <w:rFonts w:ascii="宋体" w:hAnsi="宋体" w:cs="宋体" w:hint="eastAsia"/>
          <w:sz w:val="24"/>
          <w:szCs w:val="24"/>
        </w:rPr>
        <w:t>询价函（格式见附件）；</w:t>
      </w:r>
    </w:p>
    <w:p w:rsidR="00FF4C10">
      <w:pPr>
        <w:numPr>
          <w:ilvl w:val="0"/>
          <w:numId w:val="11"/>
        </w:numPr>
        <w:spacing w:line="360" w:lineRule="auto"/>
        <w:ind w:firstLine="480" w:firstLineChars="200"/>
        <w:rPr>
          <w:rFonts w:ascii="宋体" w:hAnsi="宋体" w:cs="宋体"/>
          <w:sz w:val="24"/>
          <w:szCs w:val="24"/>
        </w:rPr>
      </w:pPr>
      <w:r>
        <w:rPr>
          <w:rFonts w:ascii="宋体" w:hAnsi="宋体" w:cs="宋体" w:hint="eastAsia"/>
          <w:sz w:val="24"/>
          <w:szCs w:val="24"/>
        </w:rPr>
        <w:t>报价一览表（格式见附件）；</w:t>
      </w:r>
    </w:p>
    <w:p w:rsidR="00FF4C10">
      <w:pPr>
        <w:numPr>
          <w:ilvl w:val="0"/>
          <w:numId w:val="11"/>
        </w:numPr>
        <w:spacing w:line="360" w:lineRule="auto"/>
        <w:ind w:firstLine="480" w:firstLineChars="200"/>
        <w:rPr>
          <w:rFonts w:ascii="宋体" w:hAnsi="宋体" w:cs="宋体"/>
          <w:sz w:val="24"/>
          <w:szCs w:val="24"/>
        </w:rPr>
      </w:pPr>
      <w:r>
        <w:rPr>
          <w:rFonts w:ascii="宋体" w:hAnsi="宋体" w:cs="宋体" w:hint="eastAsia"/>
          <w:sz w:val="24"/>
          <w:szCs w:val="24"/>
        </w:rPr>
        <w:t>报价明细表（格式见附件）。</w:t>
      </w:r>
    </w:p>
    <w:p w:rsidR="00FF4C10">
      <w:pPr>
        <w:pStyle w:val="20"/>
        <w:spacing w:before="0" w:line="336" w:lineRule="auto"/>
        <w:ind w:firstLine="482"/>
        <w:rPr>
          <w:rFonts w:asciiTheme="minorEastAsia" w:eastAsiaTheme="minorEastAsia" w:hAnsiTheme="minorEastAsia" w:cstheme="minorEastAsia"/>
          <w:b/>
          <w:bCs/>
          <w:u w:val="single"/>
        </w:rPr>
      </w:pPr>
      <w:r>
        <w:rPr>
          <w:rFonts w:asciiTheme="minorEastAsia" w:eastAsiaTheme="minorEastAsia" w:hAnsiTheme="minorEastAsia" w:cstheme="minorEastAsia" w:hint="eastAsia"/>
          <w:b/>
          <w:bCs/>
          <w:u w:val="single"/>
        </w:rPr>
        <w:t>注：“资格文件”、“商务技术文件”、“报价文件”须分3个PDF格式分别导入。</w:t>
      </w:r>
    </w:p>
    <w:p w:rsidR="00FF4C10">
      <w:pPr>
        <w:pStyle w:val="20"/>
        <w:spacing w:before="0" w:line="336" w:lineRule="auto"/>
        <w:ind w:left="400" w:firstLine="0" w:leftChars="200" w:firstLineChars="0"/>
        <w:rPr>
          <w:rFonts w:asciiTheme="minorEastAsia" w:eastAsiaTheme="minorEastAsia" w:hAnsiTheme="minorEastAsia" w:cstheme="minorEastAsia"/>
          <w:b/>
          <w:bCs/>
        </w:rPr>
      </w:pPr>
      <w:r>
        <w:rPr>
          <w:rFonts w:asciiTheme="minorEastAsia" w:eastAsiaTheme="minorEastAsia" w:hAnsiTheme="minorEastAsia" w:cstheme="minorEastAsia" w:hint="eastAsia"/>
          <w:b/>
          <w:bCs/>
        </w:rPr>
        <w:t>10．响应文件有效期</w:t>
      </w:r>
    </w:p>
    <w:p w:rsidR="00FF4C10">
      <w:pPr>
        <w:pStyle w:val="20"/>
        <w:spacing w:before="0" w:line="336" w:lineRule="auto"/>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10.1 响应文件未在询价响应截止时间前完成传输的或者未按时解密的，视为放弃；响应文件解密失败后未提供备份文件或者备份文件也出现异常情况的，亦视为放弃。</w:t>
      </w:r>
    </w:p>
    <w:p w:rsidR="00FF4C10">
      <w:pPr>
        <w:pStyle w:val="20"/>
        <w:spacing w:before="0" w:line="336" w:lineRule="auto"/>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10.2 响应文件上传后，自询价响应截止日期起，在前附表所列的询价响应文件有效期内有效。</w:t>
      </w:r>
    </w:p>
    <w:p w:rsidR="00FF4C10">
      <w:pPr>
        <w:pStyle w:val="20"/>
        <w:spacing w:before="0" w:line="336" w:lineRule="auto"/>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10.3 在原定有效期满之前，如果出现特殊情况，采购代理机构可以以书面形式向询价供应商提出延长询价有效期的要求，询价供应商对此须以书面形式予以答复。</w:t>
      </w:r>
    </w:p>
    <w:p w:rsidR="00FF4C10">
      <w:pPr>
        <w:pStyle w:val="20"/>
        <w:spacing w:before="0" w:line="336" w:lineRule="auto"/>
        <w:ind w:left="400" w:firstLine="0" w:leftChars="200" w:firstLineChars="0"/>
        <w:rPr>
          <w:rFonts w:asciiTheme="minorEastAsia" w:eastAsiaTheme="minorEastAsia" w:hAnsiTheme="minorEastAsia" w:cstheme="minorEastAsia"/>
          <w:b/>
          <w:bCs/>
        </w:rPr>
      </w:pPr>
      <w:r>
        <w:rPr>
          <w:rFonts w:asciiTheme="minorEastAsia" w:eastAsiaTheme="minorEastAsia" w:hAnsiTheme="minorEastAsia" w:cstheme="minorEastAsia" w:hint="eastAsia"/>
          <w:b/>
          <w:bCs/>
        </w:rPr>
        <w:t>11．供应商如有下列情况之一者列入不良行为记录：</w:t>
      </w:r>
    </w:p>
    <w:p w:rsidR="00FF4C10">
      <w:pPr>
        <w:adjustRightInd w:val="0"/>
        <w:spacing w:line="360" w:lineRule="auto"/>
        <w:ind w:left="400" w:leftChars="200"/>
        <w:rPr>
          <w:rFonts w:asciiTheme="minorEastAsia" w:eastAsiaTheme="minorEastAsia" w:hAnsiTheme="minorEastAsia" w:cstheme="minorEastAsia"/>
          <w:kern w:val="2"/>
          <w:sz w:val="24"/>
          <w:szCs w:val="24"/>
        </w:rPr>
      </w:pPr>
      <w:r>
        <w:rPr>
          <w:rFonts w:asciiTheme="minorEastAsia" w:eastAsiaTheme="minorEastAsia" w:hAnsiTheme="minorEastAsia" w:cstheme="minorEastAsia" w:hint="eastAsia"/>
          <w:kern w:val="2"/>
          <w:sz w:val="24"/>
          <w:szCs w:val="24"/>
        </w:rPr>
        <w:t>11.1 供应商在询价响应文件有效期内撤回投标的；</w:t>
      </w:r>
    </w:p>
    <w:p w:rsidR="00FF4C10">
      <w:pPr>
        <w:adjustRightInd w:val="0"/>
        <w:spacing w:line="360" w:lineRule="auto"/>
        <w:ind w:left="400" w:leftChars="200"/>
        <w:rPr>
          <w:rFonts w:asciiTheme="minorEastAsia" w:eastAsiaTheme="minorEastAsia" w:hAnsiTheme="minorEastAsia" w:cstheme="minorEastAsia"/>
          <w:kern w:val="2"/>
          <w:sz w:val="24"/>
          <w:szCs w:val="24"/>
        </w:rPr>
      </w:pPr>
      <w:r>
        <w:rPr>
          <w:rFonts w:asciiTheme="minorEastAsia" w:eastAsiaTheme="minorEastAsia" w:hAnsiTheme="minorEastAsia" w:cstheme="minorEastAsia" w:hint="eastAsia"/>
          <w:kern w:val="2"/>
          <w:sz w:val="24"/>
          <w:szCs w:val="24"/>
        </w:rPr>
        <w:t>11.2 供应商或中标候选人放弃中标或中标候选人资格的；</w:t>
      </w:r>
    </w:p>
    <w:p w:rsidR="00FF4C10">
      <w:pPr>
        <w:adjustRightInd w:val="0"/>
        <w:spacing w:line="360" w:lineRule="auto"/>
        <w:ind w:left="400" w:leftChars="200"/>
        <w:rPr>
          <w:rFonts w:asciiTheme="minorEastAsia" w:eastAsiaTheme="minorEastAsia" w:hAnsiTheme="minorEastAsia" w:cstheme="minorEastAsia"/>
          <w:kern w:val="2"/>
          <w:sz w:val="24"/>
          <w:szCs w:val="24"/>
        </w:rPr>
      </w:pPr>
      <w:r>
        <w:rPr>
          <w:rFonts w:asciiTheme="minorEastAsia" w:eastAsiaTheme="minorEastAsia" w:hAnsiTheme="minorEastAsia" w:cstheme="minorEastAsia" w:hint="eastAsia"/>
          <w:kern w:val="2"/>
          <w:sz w:val="24"/>
          <w:szCs w:val="24"/>
        </w:rPr>
        <w:t>11.3 擅自修改或拒绝接受已经确认的条款；</w:t>
      </w:r>
    </w:p>
    <w:p w:rsidR="00FF4C10">
      <w:pPr>
        <w:adjustRightInd w:val="0"/>
        <w:spacing w:line="360" w:lineRule="auto"/>
        <w:ind w:left="400" w:leftChars="200"/>
        <w:rPr>
          <w:rFonts w:asciiTheme="minorEastAsia" w:eastAsiaTheme="minorEastAsia" w:hAnsiTheme="minorEastAsia" w:cstheme="minorEastAsia"/>
          <w:kern w:val="2"/>
          <w:sz w:val="24"/>
          <w:szCs w:val="24"/>
        </w:rPr>
      </w:pPr>
      <w:r>
        <w:rPr>
          <w:rFonts w:asciiTheme="minorEastAsia" w:eastAsiaTheme="minorEastAsia" w:hAnsiTheme="minorEastAsia" w:cstheme="minorEastAsia" w:hint="eastAsia"/>
          <w:kern w:val="2"/>
          <w:sz w:val="24"/>
          <w:szCs w:val="24"/>
        </w:rPr>
        <w:t>11.4 成交供应商未按规定与采购人签订合同；</w:t>
      </w:r>
    </w:p>
    <w:p w:rsidR="00FF4C10">
      <w:pPr>
        <w:adjustRightInd w:val="0"/>
        <w:spacing w:line="360" w:lineRule="auto"/>
        <w:ind w:left="400" w:leftChars="200"/>
        <w:rPr>
          <w:rFonts w:asciiTheme="minorEastAsia" w:eastAsiaTheme="minorEastAsia" w:hAnsiTheme="minorEastAsia" w:cstheme="minorEastAsia"/>
          <w:kern w:val="2"/>
          <w:sz w:val="24"/>
          <w:szCs w:val="24"/>
        </w:rPr>
      </w:pPr>
      <w:r>
        <w:rPr>
          <w:rFonts w:asciiTheme="minorEastAsia" w:eastAsiaTheme="minorEastAsia" w:hAnsiTheme="minorEastAsia" w:cstheme="minorEastAsia" w:hint="eastAsia"/>
          <w:kern w:val="2"/>
          <w:sz w:val="24"/>
          <w:szCs w:val="24"/>
        </w:rPr>
        <w:t>11.5 未按规定提供履约保证金；</w:t>
      </w:r>
    </w:p>
    <w:p w:rsidR="00FF4C10">
      <w:pPr>
        <w:adjustRightInd w:val="0"/>
        <w:spacing w:line="360" w:lineRule="auto"/>
        <w:ind w:left="400" w:leftChars="200"/>
        <w:rPr>
          <w:rFonts w:asciiTheme="minorEastAsia" w:eastAsiaTheme="minorEastAsia" w:hAnsiTheme="minorEastAsia" w:cstheme="minorEastAsia"/>
          <w:kern w:val="2"/>
          <w:sz w:val="24"/>
          <w:szCs w:val="24"/>
        </w:rPr>
      </w:pPr>
      <w:r>
        <w:rPr>
          <w:rFonts w:asciiTheme="minorEastAsia" w:eastAsiaTheme="minorEastAsia" w:hAnsiTheme="minorEastAsia" w:cstheme="minorEastAsia" w:hint="eastAsia"/>
          <w:kern w:val="2"/>
          <w:sz w:val="24"/>
          <w:szCs w:val="24"/>
        </w:rPr>
        <w:t>11.6 供应商采取提供虚假资料等不正当手段的；</w:t>
      </w:r>
    </w:p>
    <w:p w:rsidR="00FF4C10">
      <w:pPr>
        <w:adjustRightInd w:val="0"/>
        <w:spacing w:line="360" w:lineRule="auto"/>
        <w:ind w:left="400" w:leftChars="200"/>
        <w:rPr>
          <w:rFonts w:asciiTheme="minorEastAsia" w:eastAsiaTheme="minorEastAsia" w:hAnsiTheme="minorEastAsia" w:cstheme="minorEastAsia"/>
          <w:kern w:val="2"/>
          <w:sz w:val="24"/>
          <w:szCs w:val="24"/>
        </w:rPr>
      </w:pPr>
      <w:r>
        <w:rPr>
          <w:rFonts w:asciiTheme="minorEastAsia" w:eastAsiaTheme="minorEastAsia" w:hAnsiTheme="minorEastAsia" w:cstheme="minorEastAsia" w:hint="eastAsia"/>
          <w:kern w:val="2"/>
          <w:sz w:val="24"/>
          <w:szCs w:val="24"/>
        </w:rPr>
        <w:t>11.7 供应商在投标过程中串通投标的。</w:t>
      </w:r>
    </w:p>
    <w:p w:rsidR="00FF4C10">
      <w:pPr>
        <w:pStyle w:val="20"/>
        <w:spacing w:before="0" w:line="336" w:lineRule="auto"/>
        <w:ind w:firstLine="482"/>
        <w:rPr>
          <w:rFonts w:asciiTheme="minorEastAsia" w:eastAsiaTheme="minorEastAsia" w:hAnsiTheme="minorEastAsia" w:cstheme="minorEastAsia"/>
          <w:b/>
          <w:bCs/>
        </w:rPr>
      </w:pPr>
      <w:r>
        <w:rPr>
          <w:rFonts w:asciiTheme="minorEastAsia" w:eastAsiaTheme="minorEastAsia" w:hAnsiTheme="minorEastAsia" w:cstheme="minorEastAsia" w:hint="eastAsia"/>
          <w:b/>
          <w:bCs/>
        </w:rPr>
        <w:t>12．响应文件的编制和签署</w:t>
      </w:r>
    </w:p>
    <w:p w:rsidR="00FF4C10">
      <w:pPr>
        <w:pStyle w:val="20"/>
        <w:spacing w:before="0" w:line="336" w:lineRule="auto"/>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12.1 按询价文件9.1条、9.2条、9.3条要求提供的各种文件，响应文件分为资格文件、商务技术文件和报价文件三部分。</w:t>
      </w:r>
    </w:p>
    <w:p w:rsidR="00FF4C10">
      <w:pPr>
        <w:pStyle w:val="20"/>
        <w:spacing w:before="0" w:line="336" w:lineRule="auto"/>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12.2 响应文件须按附件格式要求进行电子签章，供应商应写全称。（电子询价响应文件中所须加盖公章部分均应采用电子签章）</w:t>
      </w:r>
    </w:p>
    <w:p w:rsidR="00FF4C10">
      <w:pPr>
        <w:pStyle w:val="20"/>
        <w:spacing w:before="0" w:line="336" w:lineRule="auto"/>
        <w:ind w:firstLine="480"/>
        <w:rPr>
          <w:rFonts w:asciiTheme="minorEastAsia" w:eastAsiaTheme="minorEastAsia" w:hAnsiTheme="minorEastAsia" w:cstheme="minorEastAsia"/>
        </w:rPr>
        <w:sectPr>
          <w:headerReference w:type="default" r:id="rId23"/>
          <w:footerReference w:type="default" r:id="rId24"/>
          <w:type w:val="nextPage"/>
          <w:pgSz w:w="11906" w:h="16838"/>
          <w:pgMar w:top="1417" w:right="1134" w:bottom="1417" w:left="1134" w:header="851" w:footer="618" w:gutter="0"/>
          <w:pgNumType w:start="12"/>
          <w:cols w:space="720"/>
          <w:titlePg w:val="0"/>
          <w:docGrid w:type="lines" w:linePitch="321"/>
        </w:sectPr>
      </w:pPr>
      <w:r>
        <w:rPr>
          <w:rFonts w:asciiTheme="minorEastAsia" w:eastAsiaTheme="minorEastAsia" w:hAnsiTheme="minorEastAsia" w:cstheme="minorEastAsia" w:hint="eastAsia"/>
        </w:rPr>
        <w:t>12.3 全套响应文件应无涂改和行间插字，除非这些删改是根据采购代理机构要求进行，或者是供应商造成的必须修改的错误。所修改处应由法定代表人或其授权代表签字盖章予以确认。</w:t>
      </w:r>
    </w:p>
    <w:p w:rsidR="00FF4C10">
      <w:pPr>
        <w:pStyle w:val="20"/>
        <w:spacing w:before="0" w:line="336" w:lineRule="auto"/>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12.4 由于字迹模糊或表达不清引起的后果由供应商负责。</w:t>
      </w:r>
    </w:p>
    <w:p w:rsidR="00FF4C10">
      <w:pPr>
        <w:pStyle w:val="20"/>
        <w:spacing w:before="0" w:line="336" w:lineRule="auto"/>
        <w:ind w:firstLine="482"/>
        <w:rPr>
          <w:rFonts w:asciiTheme="minorEastAsia" w:eastAsiaTheme="minorEastAsia" w:hAnsiTheme="minorEastAsia" w:cstheme="minorEastAsia"/>
          <w:b/>
          <w:bCs/>
        </w:rPr>
      </w:pPr>
      <w:r>
        <w:rPr>
          <w:rFonts w:asciiTheme="minorEastAsia" w:eastAsiaTheme="minorEastAsia" w:hAnsiTheme="minorEastAsia" w:cstheme="minorEastAsia" w:hint="eastAsia"/>
          <w:b/>
          <w:bCs/>
        </w:rPr>
        <w:t>13．响应文件的形式</w:t>
      </w:r>
    </w:p>
    <w:p w:rsidR="00FF4C10">
      <w:pPr>
        <w:pStyle w:val="20"/>
        <w:spacing w:before="0" w:line="336" w:lineRule="auto"/>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响应文件为电子询价响应文件，电子询价响应文件按“政采云供应商项目采购-电子招投标操作指南”及本询价文件要求制作、加密传输。</w:t>
      </w:r>
    </w:p>
    <w:p w:rsidR="00FF4C10">
      <w:pPr>
        <w:pStyle w:val="Heading2"/>
        <w:numPr>
          <w:ilvl w:val="0"/>
          <w:numId w:val="7"/>
        </w:numPr>
        <w:jc w:val="center"/>
        <w:rPr>
          <w:rFonts w:asciiTheme="minorEastAsia" w:eastAsiaTheme="minorEastAsia" w:hAnsiTheme="minorEastAsia" w:cstheme="minorEastAsia"/>
        </w:rPr>
      </w:pPr>
      <w:bookmarkStart w:id="57" w:name="_Toc21266"/>
      <w:bookmarkStart w:id="58" w:name="_Toc1420"/>
      <w:bookmarkStart w:id="59" w:name="_Toc31407"/>
      <w:r>
        <w:rPr>
          <w:rFonts w:asciiTheme="minorEastAsia" w:eastAsiaTheme="minorEastAsia" w:hAnsiTheme="minorEastAsia" w:cstheme="minorEastAsia" w:hint="eastAsia"/>
        </w:rPr>
        <w:t>响应文件的递交</w:t>
      </w:r>
      <w:bookmarkEnd w:id="57"/>
      <w:bookmarkEnd w:id="58"/>
      <w:bookmarkEnd w:id="59"/>
    </w:p>
    <w:p w:rsidR="00FF4C10">
      <w:pPr>
        <w:pStyle w:val="PlainText"/>
        <w:spacing w:line="336" w:lineRule="auto"/>
        <w:ind w:left="400" w:leftChars="200"/>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14、询价响应截止期</w:t>
      </w:r>
    </w:p>
    <w:p w:rsidR="00FF4C10">
      <w:pPr>
        <w:pStyle w:val="20"/>
        <w:numPr>
          <w:ilvl w:val="0"/>
          <w:numId w:val="12"/>
        </w:numPr>
        <w:spacing w:before="0" w:line="336" w:lineRule="auto"/>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响应文件必须在规定的询价响应截止时间前在政采云系统内完成传输，以纸质、电报、电话、传真形式的投标概不接受。为应对响应文件解密失败等异常情况，供应商可指派授权代表在询价响应截止时间之前到达开标地点提交备份文件。</w:t>
      </w:r>
    </w:p>
    <w:p w:rsidR="00FF4C10">
      <w:pPr>
        <w:pStyle w:val="20"/>
        <w:numPr>
          <w:ilvl w:val="0"/>
          <w:numId w:val="12"/>
        </w:numPr>
        <w:spacing w:before="0" w:line="336" w:lineRule="auto"/>
        <w:ind w:firstLine="480"/>
        <w:rPr>
          <w:rFonts w:asciiTheme="minorEastAsia" w:eastAsiaTheme="minorEastAsia" w:hAnsiTheme="minorEastAsia" w:cstheme="minorEastAsia"/>
        </w:rPr>
      </w:pPr>
      <w:r>
        <w:rPr>
          <w:rFonts w:asciiTheme="minorEastAsia" w:eastAsiaTheme="minorEastAsia" w:hAnsiTheme="minorEastAsia" w:cstheme="minorEastAsia" w:hint="eastAsia"/>
        </w:rPr>
        <w:t>采购人因故推迟询价响应截止时间，将以公告形式通知。在这种情况下，采购人和供应商的权利和义务将受到新的截止时间的约束。</w:t>
      </w:r>
    </w:p>
    <w:p w:rsidR="00FF4C10">
      <w:pPr>
        <w:pStyle w:val="PlainText"/>
        <w:spacing w:line="336" w:lineRule="auto"/>
        <w:ind w:left="400" w:leftChars="200"/>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15、响应文件的修改、撤销</w:t>
      </w:r>
    </w:p>
    <w:p w:rsidR="00FF4C10">
      <w:pPr>
        <w:pStyle w:val="PlainText"/>
        <w:spacing w:line="336"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供应商应当在询价响应截止时间前完成电子交易文件的传输递交，询价响应截止时间前可以补充、修改或者撤回电子交易文件。补充或者修改电子交易文件的，应当先行撤回原文件，补充、修改后重新传输递交。询价响应截止时间前未完成传输的，视为响应文件撤回。</w:t>
      </w:r>
    </w:p>
    <w:p w:rsidR="00FF4C10">
      <w:pPr>
        <w:pStyle w:val="Heading2"/>
        <w:numPr>
          <w:ilvl w:val="0"/>
          <w:numId w:val="7"/>
        </w:numPr>
        <w:jc w:val="center"/>
        <w:rPr>
          <w:rFonts w:asciiTheme="minorEastAsia" w:eastAsiaTheme="minorEastAsia" w:hAnsiTheme="minorEastAsia" w:cstheme="minorEastAsia"/>
        </w:rPr>
      </w:pPr>
      <w:bookmarkStart w:id="60" w:name="_Toc12814"/>
      <w:bookmarkStart w:id="61" w:name="_Toc24120"/>
      <w:r>
        <w:rPr>
          <w:rFonts w:asciiTheme="minorEastAsia" w:eastAsiaTheme="minorEastAsia" w:hAnsiTheme="minorEastAsia" w:cstheme="minorEastAsia" w:hint="eastAsia"/>
        </w:rPr>
        <w:t>询价无效的情形</w:t>
      </w:r>
      <w:bookmarkEnd w:id="60"/>
      <w:bookmarkEnd w:id="61"/>
    </w:p>
    <w:p w:rsidR="00FF4C10">
      <w:pPr>
        <w:pStyle w:val="PlainText"/>
        <w:snapToGrid w:val="0"/>
        <w:spacing w:line="336" w:lineRule="auto"/>
        <w:ind w:firstLine="480" w:firstLineChars="200"/>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16.无效响应</w:t>
      </w:r>
    </w:p>
    <w:p w:rsidR="00FF4C10">
      <w:pPr>
        <w:pStyle w:val="PlainText"/>
        <w:snapToGrid w:val="0"/>
        <w:spacing w:line="336"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经过审查，凡不符合有关规定，不响应询价文件的实质性条款，存在以下重大偏离之一的，经询价小组认定，并由采购人报采购办、监督办备案，将因未通过资格性或符合性审查而被作为无效响应处理：</w:t>
      </w:r>
    </w:p>
    <w:p w:rsidR="00FF4C10">
      <w:pPr>
        <w:spacing w:line="336" w:lineRule="auto"/>
        <w:ind w:firstLine="480" w:firstLineChars="200"/>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16.1未按照询价文件规定要求签署、盖章的；</w:t>
      </w:r>
    </w:p>
    <w:p w:rsidR="00FF4C10">
      <w:pPr>
        <w:spacing w:line="336" w:lineRule="auto"/>
        <w:ind w:firstLine="480" w:firstLineChars="200"/>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16.2《法定代表人授权书》填写不全、错误、未加盖供应商公章（公章和签字或盖章缺一不可）；</w:t>
      </w:r>
    </w:p>
    <w:p w:rsidR="00FF4C10">
      <w:pPr>
        <w:spacing w:line="336" w:lineRule="auto"/>
        <w:ind w:firstLine="480" w:firstLineChars="200"/>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16.3个体工商户的身份证明与营业执照不一致的；</w:t>
      </w:r>
    </w:p>
    <w:p w:rsidR="00FF4C10">
      <w:pPr>
        <w:spacing w:line="336" w:lineRule="auto"/>
        <w:ind w:firstLine="480" w:firstLineChars="200"/>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16.4响应文件中的报价函未加盖供应商的企业公章或填写不全的；</w:t>
      </w:r>
    </w:p>
    <w:p w:rsidR="00FF4C10">
      <w:pPr>
        <w:spacing w:line="336" w:lineRule="auto"/>
        <w:ind w:firstLine="480" w:firstLineChars="200"/>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16.5报价一经涂改，未在涂改处加盖投标单位公章或者未经法定代表人或其授权代表签字或盖章的；</w:t>
      </w:r>
    </w:p>
    <w:p w:rsidR="00FF4C10">
      <w:pPr>
        <w:spacing w:line="336" w:lineRule="auto"/>
        <w:ind w:firstLine="480" w:firstLineChars="200"/>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16.6因未按规定的格式填写，内容不全或主要实质性内容字迹模糊辨认不清</w:t>
      </w:r>
      <w:r>
        <w:rPr>
          <w:rFonts w:asciiTheme="minorEastAsia" w:eastAsiaTheme="minorEastAsia" w:hAnsiTheme="minorEastAsia" w:cstheme="minorEastAsia" w:hint="eastAsia"/>
          <w:b/>
          <w:bCs/>
          <w:sz w:val="24"/>
          <w:szCs w:val="21"/>
        </w:rPr>
        <w:t>,经评标委员会认定为无法评审</w:t>
      </w:r>
      <w:r>
        <w:rPr>
          <w:rFonts w:asciiTheme="minorEastAsia" w:eastAsiaTheme="minorEastAsia" w:hAnsiTheme="minorEastAsia" w:cstheme="minorEastAsia" w:hint="eastAsia"/>
          <w:b/>
          <w:bCs/>
          <w:sz w:val="24"/>
          <w:szCs w:val="24"/>
        </w:rPr>
        <w:t>的；</w:t>
      </w:r>
    </w:p>
    <w:p w:rsidR="00FF4C10">
      <w:pPr>
        <w:spacing w:line="336" w:lineRule="auto"/>
        <w:ind w:firstLine="480" w:firstLineChars="200"/>
        <w:rPr>
          <w:rFonts w:asciiTheme="minorEastAsia" w:eastAsiaTheme="minorEastAsia" w:hAnsiTheme="minorEastAsia" w:cstheme="minorEastAsia"/>
          <w:b/>
          <w:bCs/>
          <w:sz w:val="24"/>
          <w:szCs w:val="24"/>
        </w:rPr>
        <w:sectPr>
          <w:headerReference w:type="default" r:id="rId25"/>
          <w:footerReference w:type="default" r:id="rId26"/>
          <w:type w:val="nextPage"/>
          <w:pgSz w:w="11906" w:h="16838"/>
          <w:pgMar w:top="1417" w:right="1134" w:bottom="1417" w:left="1134" w:header="851" w:footer="618" w:gutter="0"/>
          <w:pgNumType w:start="13"/>
          <w:cols w:space="720"/>
          <w:titlePg w:val="0"/>
          <w:docGrid w:type="lines" w:linePitch="321"/>
        </w:sectPr>
      </w:pPr>
    </w:p>
    <w:p w:rsidR="00FF4C10">
      <w:pPr>
        <w:spacing w:line="336" w:lineRule="auto"/>
        <w:ind w:firstLine="480" w:firstLineChars="200"/>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16.7出现同一标的物或本次采购产品(服务)内的主要产品(重要组成部分)出现技术、商务描述不一致或前后描述不一致</w:t>
      </w:r>
      <w:r>
        <w:rPr>
          <w:rFonts w:asciiTheme="minorEastAsia" w:eastAsiaTheme="minorEastAsia" w:hAnsiTheme="minorEastAsia" w:cstheme="minorEastAsia" w:hint="eastAsia"/>
          <w:b/>
          <w:bCs/>
          <w:sz w:val="24"/>
          <w:szCs w:val="21"/>
        </w:rPr>
        <w:t>，经评标委员会认定后为无法评审</w:t>
      </w:r>
      <w:r>
        <w:rPr>
          <w:rFonts w:asciiTheme="minorEastAsia" w:eastAsiaTheme="minorEastAsia" w:hAnsiTheme="minorEastAsia" w:cstheme="minorEastAsia" w:hint="eastAsia"/>
          <w:b/>
          <w:bCs/>
          <w:sz w:val="24"/>
          <w:szCs w:val="24"/>
        </w:rPr>
        <w:t>的；</w:t>
      </w:r>
    </w:p>
    <w:p w:rsidR="00FF4C10">
      <w:pPr>
        <w:spacing w:line="336" w:lineRule="auto"/>
        <w:ind w:firstLine="480" w:firstLineChars="200"/>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16.8响应详细配置清单响应表不真实填写或弄虚作假的；改变询价文件提供的清单中的计量单位、工程数量；</w:t>
      </w:r>
    </w:p>
    <w:p w:rsidR="00FF4C10">
      <w:pPr>
        <w:spacing w:line="336" w:lineRule="auto"/>
        <w:ind w:firstLine="480" w:firstLineChars="200"/>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16.9对采购产品技术规格未详细应答</w:t>
      </w:r>
      <w:r>
        <w:rPr>
          <w:rFonts w:asciiTheme="minorEastAsia" w:eastAsiaTheme="minorEastAsia" w:hAnsiTheme="minorEastAsia" w:cstheme="minorEastAsia" w:hint="eastAsia"/>
          <w:b/>
          <w:bCs/>
          <w:sz w:val="24"/>
          <w:szCs w:val="21"/>
        </w:rPr>
        <w:t>，致使其技术文件无法评审</w:t>
      </w:r>
      <w:r>
        <w:rPr>
          <w:rFonts w:asciiTheme="minorEastAsia" w:eastAsiaTheme="minorEastAsia" w:hAnsiTheme="minorEastAsia" w:cstheme="minorEastAsia" w:hint="eastAsia"/>
          <w:b/>
          <w:bCs/>
          <w:sz w:val="24"/>
          <w:szCs w:val="24"/>
        </w:rPr>
        <w:t>的；</w:t>
      </w:r>
    </w:p>
    <w:p w:rsidR="00FF4C10">
      <w:pPr>
        <w:spacing w:line="336" w:lineRule="auto"/>
        <w:ind w:firstLine="480" w:firstLineChars="200"/>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16.10响应文件有采购方不能接受的条件；</w:t>
      </w:r>
    </w:p>
    <w:p w:rsidR="00FF4C10">
      <w:pPr>
        <w:spacing w:line="336" w:lineRule="auto"/>
        <w:ind w:firstLine="480" w:firstLineChars="200"/>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16.11评标委员会认为供应商的报价明显低于其他通过符合性审查供应商的报价，有可能影响产品质量或者不能诚信履约的，应当要求其在评标现场合理的时间内通过政采云平台提供线上说明，必要时提交相关证明材料。</w:t>
      </w:r>
    </w:p>
    <w:p w:rsidR="00FF4C10">
      <w:pPr>
        <w:spacing w:line="336" w:lineRule="auto"/>
        <w:ind w:firstLine="480" w:firstLineChars="200"/>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16.12询价报价超过预算金额或最高限价的；</w:t>
      </w:r>
    </w:p>
    <w:p w:rsidR="00FF4C10">
      <w:pPr>
        <w:spacing w:line="336" w:lineRule="auto"/>
        <w:ind w:firstLine="480" w:firstLineChars="200"/>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16.13响应文件“商务技术文件资料”部分中出现《报价一览表》或《报价明细表》相关内容的；</w:t>
      </w:r>
    </w:p>
    <w:p w:rsidR="00FF4C10">
      <w:pPr>
        <w:spacing w:line="336" w:lineRule="auto"/>
        <w:ind w:firstLine="480" w:firstLineChars="200"/>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16.14有重大偏差或实质性不响应询价文件要求的，即“★”的关键性指标及技术参数要求负偏离或缺漏；</w:t>
      </w:r>
    </w:p>
    <w:p w:rsidR="00FF4C10">
      <w:pPr>
        <w:spacing w:line="336" w:lineRule="auto"/>
        <w:ind w:firstLine="480" w:firstLineChars="200"/>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16.15供应商拒绝按询价文件规定的修正原则对响应文件进行修改的；</w:t>
      </w:r>
    </w:p>
    <w:p w:rsidR="00FF4C10">
      <w:pPr>
        <w:spacing w:line="336" w:lineRule="auto"/>
        <w:ind w:firstLine="480" w:firstLineChars="200"/>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16.16有下列情形之一的，视为供应商串通投标，其投标无效：</w:t>
      </w:r>
    </w:p>
    <w:p w:rsidR="00FF4C10">
      <w:pPr>
        <w:spacing w:line="336" w:lineRule="auto"/>
        <w:ind w:firstLine="480" w:firstLineChars="200"/>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16.16.1不同供应商的响应文件由同一单位或者个人编制；</w:t>
      </w:r>
    </w:p>
    <w:p w:rsidR="00FF4C10">
      <w:pPr>
        <w:spacing w:line="336" w:lineRule="auto"/>
        <w:ind w:firstLine="480" w:firstLineChars="200"/>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16.16.2不同供应商委托同一单位或者个人办理投标事宜；</w:t>
      </w:r>
    </w:p>
    <w:p w:rsidR="00FF4C10">
      <w:pPr>
        <w:spacing w:line="336" w:lineRule="auto"/>
        <w:ind w:firstLine="480" w:firstLineChars="200"/>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16.16.3不同供应商的响应文件载明的项目管理成员或者联系人员为同一人；</w:t>
      </w:r>
    </w:p>
    <w:p w:rsidR="00FF4C10">
      <w:pPr>
        <w:spacing w:line="336" w:lineRule="auto"/>
        <w:ind w:firstLine="480" w:firstLineChars="200"/>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16.16.4不同供应商的响应文件异常一致或者投标报价呈规律性差异；</w:t>
      </w:r>
    </w:p>
    <w:p w:rsidR="00FF4C10">
      <w:pPr>
        <w:spacing w:line="336" w:lineRule="auto"/>
        <w:ind w:firstLine="480" w:firstLineChars="200"/>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16.16.5不同供应商提供的响应文件出自同一终端设备的，或在相同Internet主机分配地址（相同IP地址）报名或网上投标的，且经询标澄清供应商无令人信服的理由和可靠证据证明其合理性的</w:t>
      </w:r>
      <w:r>
        <w:rPr>
          <w:rFonts w:asciiTheme="minorEastAsia" w:eastAsiaTheme="minorEastAsia" w:hAnsiTheme="minorEastAsia" w:cstheme="minorEastAsia" w:hint="eastAsia"/>
          <w:b/>
          <w:bCs/>
          <w:sz w:val="24"/>
          <w:szCs w:val="21"/>
        </w:rPr>
        <w:t>，经评标委员会半数以上成员确认有串通投标嫌疑的</w:t>
      </w:r>
      <w:r>
        <w:rPr>
          <w:rFonts w:asciiTheme="minorEastAsia" w:eastAsiaTheme="minorEastAsia" w:hAnsiTheme="minorEastAsia" w:cstheme="minorEastAsia" w:hint="eastAsia"/>
          <w:b/>
          <w:bCs/>
          <w:sz w:val="24"/>
          <w:szCs w:val="24"/>
        </w:rPr>
        <w:t>。</w:t>
      </w:r>
    </w:p>
    <w:p w:rsidR="00FF4C10">
      <w:pPr>
        <w:tabs>
          <w:tab w:val="left" w:pos="3870"/>
          <w:tab w:val="left" w:pos="4085"/>
        </w:tabs>
        <w:snapToGrid w:val="0"/>
        <w:spacing w:line="336" w:lineRule="auto"/>
        <w:ind w:firstLine="480" w:firstLineChars="200"/>
        <w:jc w:val="left"/>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16.17 其他违反法律、法规的情形。</w:t>
      </w:r>
    </w:p>
    <w:p w:rsidR="00FF4C10">
      <w:pPr>
        <w:pStyle w:val="Heading2"/>
        <w:numPr>
          <w:ilvl w:val="0"/>
          <w:numId w:val="7"/>
        </w:numPr>
        <w:jc w:val="center"/>
        <w:rPr>
          <w:rFonts w:asciiTheme="minorEastAsia" w:eastAsiaTheme="minorEastAsia" w:hAnsiTheme="minorEastAsia" w:cstheme="minorEastAsia"/>
        </w:rPr>
      </w:pPr>
      <w:bookmarkStart w:id="62" w:name="_Toc21752"/>
      <w:bookmarkStart w:id="63" w:name="_Toc25371"/>
      <w:r>
        <w:rPr>
          <w:rFonts w:asciiTheme="minorEastAsia" w:eastAsiaTheme="minorEastAsia" w:hAnsiTheme="minorEastAsia" w:cstheme="minorEastAsia" w:hint="eastAsia"/>
        </w:rPr>
        <w:t>采购中止的情形</w:t>
      </w:r>
      <w:bookmarkEnd w:id="62"/>
      <w:bookmarkEnd w:id="63"/>
    </w:p>
    <w:p w:rsidR="00FF4C10">
      <w:pPr>
        <w:pStyle w:val="PlainText"/>
        <w:spacing w:line="336" w:lineRule="auto"/>
        <w:ind w:left="400" w:leftChars="200"/>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17、</w:t>
      </w:r>
      <w:r>
        <w:rPr>
          <w:rFonts w:asciiTheme="minorEastAsia" w:eastAsiaTheme="minorEastAsia" w:hAnsiTheme="minorEastAsia" w:cstheme="minorEastAsia" w:hint="eastAsia"/>
          <w:b/>
          <w:bCs/>
          <w:sz w:val="24"/>
          <w:szCs w:val="24"/>
          <w:lang w:val="zh-CN"/>
        </w:rPr>
        <w:t>中止电子交易活动和</w:t>
      </w:r>
      <w:r>
        <w:rPr>
          <w:rFonts w:asciiTheme="minorEastAsia" w:eastAsiaTheme="minorEastAsia" w:hAnsiTheme="minorEastAsia" w:cstheme="minorEastAsia" w:hint="eastAsia"/>
          <w:b/>
          <w:bCs/>
          <w:sz w:val="24"/>
          <w:szCs w:val="24"/>
        </w:rPr>
        <w:t>重新组织采购</w:t>
      </w:r>
    </w:p>
    <w:p w:rsidR="00FF4C10">
      <w:pPr>
        <w:pStyle w:val="20"/>
        <w:tabs>
          <w:tab w:val="left" w:pos="0"/>
        </w:tabs>
        <w:spacing w:before="0" w:line="336" w:lineRule="auto"/>
        <w:ind w:firstLine="480"/>
        <w:rPr>
          <w:rFonts w:asciiTheme="minorEastAsia" w:eastAsiaTheme="minorEastAsia" w:hAnsiTheme="minorEastAsia" w:cstheme="minorEastAsia"/>
          <w:lang w:val="zh-CN"/>
        </w:rPr>
      </w:pPr>
      <w:r>
        <w:rPr>
          <w:rFonts w:asciiTheme="minorEastAsia" w:eastAsiaTheme="minorEastAsia" w:hAnsiTheme="minorEastAsia" w:cstheme="minorEastAsia" w:hint="eastAsia"/>
        </w:rPr>
        <w:t>17.1</w:t>
      </w:r>
      <w:r>
        <w:rPr>
          <w:rFonts w:asciiTheme="minorEastAsia" w:eastAsiaTheme="minorEastAsia" w:hAnsiTheme="minorEastAsia" w:cstheme="minorEastAsia" w:hint="eastAsia"/>
          <w:lang w:val="zh-CN"/>
        </w:rPr>
        <w:t>采购过程中出现以下情形，导致电子交易平台无法正常运行，或者无法保证电子交易的公平、公正和安全时，采购组织机构可中止电子交易活动：</w:t>
      </w:r>
    </w:p>
    <w:p w:rsidR="00FF4C10">
      <w:pPr>
        <w:numPr>
          <w:ilvl w:val="0"/>
          <w:numId w:val="13"/>
        </w:numPr>
        <w:tabs>
          <w:tab w:val="left" w:pos="0"/>
        </w:tabs>
        <w:spacing w:line="336"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电子交易平台发生故障而无法登录访问的；</w:t>
      </w:r>
    </w:p>
    <w:p w:rsidR="00FF4C10">
      <w:pPr>
        <w:numPr>
          <w:ilvl w:val="0"/>
          <w:numId w:val="13"/>
        </w:numPr>
        <w:tabs>
          <w:tab w:val="left" w:pos="0"/>
        </w:tabs>
        <w:spacing w:line="336"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电子交易平台应用或数据库出现错误，不能进行正常操作的；</w:t>
      </w:r>
    </w:p>
    <w:p w:rsidR="00FF4C10">
      <w:pPr>
        <w:numPr>
          <w:ilvl w:val="0"/>
          <w:numId w:val="13"/>
        </w:numPr>
        <w:tabs>
          <w:tab w:val="left" w:pos="0"/>
        </w:tabs>
        <w:spacing w:line="336" w:lineRule="auto"/>
        <w:ind w:firstLine="480" w:firstLineChars="200"/>
        <w:rPr>
          <w:rFonts w:asciiTheme="minorEastAsia" w:eastAsiaTheme="minorEastAsia" w:hAnsiTheme="minorEastAsia" w:cstheme="minorEastAsia"/>
          <w:sz w:val="24"/>
          <w:szCs w:val="24"/>
        </w:rPr>
        <w:sectPr>
          <w:headerReference w:type="default" r:id="rId27"/>
          <w:footerReference w:type="default" r:id="rId28"/>
          <w:type w:val="nextPage"/>
          <w:pgSz w:w="11906" w:h="16838"/>
          <w:pgMar w:top="1417" w:right="1134" w:bottom="1417" w:left="1134" w:header="851" w:footer="618" w:gutter="0"/>
          <w:pgNumType w:start="14"/>
          <w:cols w:space="720"/>
          <w:titlePg w:val="0"/>
          <w:docGrid w:type="lines" w:linePitch="321"/>
        </w:sectPr>
      </w:pPr>
      <w:r>
        <w:rPr>
          <w:rFonts w:asciiTheme="minorEastAsia" w:eastAsiaTheme="minorEastAsia" w:hAnsiTheme="minorEastAsia" w:cstheme="minorEastAsia" w:hint="eastAsia"/>
          <w:sz w:val="24"/>
          <w:szCs w:val="24"/>
        </w:rPr>
        <w:t>电子交易平台发现严重安全漏洞，有潜在泄密危险的；</w:t>
      </w:r>
    </w:p>
    <w:p w:rsidR="00FF4C10">
      <w:pPr>
        <w:numPr>
          <w:ilvl w:val="0"/>
          <w:numId w:val="13"/>
        </w:numPr>
        <w:tabs>
          <w:tab w:val="left" w:pos="0"/>
        </w:tabs>
        <w:spacing w:line="336"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病毒发作导致不能进行正常操作的；</w:t>
      </w:r>
    </w:p>
    <w:p w:rsidR="00FF4C10">
      <w:pPr>
        <w:numPr>
          <w:ilvl w:val="0"/>
          <w:numId w:val="13"/>
        </w:numPr>
        <w:tabs>
          <w:tab w:val="left" w:pos="0"/>
        </w:tabs>
        <w:spacing w:line="336" w:lineRule="auto"/>
        <w:ind w:firstLine="480" w:firstLineChars="20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其他无法保证电子交易的公平、公正和安全的情况。</w:t>
      </w:r>
    </w:p>
    <w:p w:rsidR="00FF4C10">
      <w:pPr>
        <w:pStyle w:val="Heading2"/>
        <w:numPr>
          <w:ilvl w:val="0"/>
          <w:numId w:val="7"/>
        </w:numPr>
        <w:jc w:val="center"/>
        <w:rPr>
          <w:rFonts w:asciiTheme="minorEastAsia" w:eastAsiaTheme="minorEastAsia" w:hAnsiTheme="minorEastAsia" w:cstheme="minorEastAsia"/>
        </w:rPr>
      </w:pPr>
      <w:bookmarkStart w:id="64" w:name="_Toc29289"/>
      <w:r>
        <w:rPr>
          <w:rFonts w:asciiTheme="minorEastAsia" w:eastAsiaTheme="minorEastAsia" w:hAnsiTheme="minorEastAsia" w:cstheme="minorEastAsia" w:hint="eastAsia"/>
        </w:rPr>
        <w:t>授予合同</w:t>
      </w:r>
      <w:bookmarkEnd w:id="64"/>
    </w:p>
    <w:p w:rsidR="00FF4C10">
      <w:pPr>
        <w:spacing w:line="360" w:lineRule="auto"/>
        <w:ind w:firstLine="480" w:firstLineChars="200"/>
        <w:rPr>
          <w:rFonts w:asciiTheme="minorEastAsia" w:eastAsiaTheme="minorEastAsia" w:hAnsiTheme="minorEastAsia" w:cstheme="minorEastAsia"/>
          <w:b/>
          <w:bCs/>
          <w:sz w:val="24"/>
          <w:szCs w:val="32"/>
        </w:rPr>
      </w:pPr>
      <w:bookmarkStart w:id="65" w:name="_Toc81372776"/>
      <w:bookmarkStart w:id="66" w:name="_Toc81372953"/>
      <w:bookmarkStart w:id="67" w:name="_Toc84325929"/>
      <w:r>
        <w:rPr>
          <w:rFonts w:asciiTheme="minorEastAsia" w:eastAsiaTheme="minorEastAsia" w:hAnsiTheme="minorEastAsia" w:cstheme="minorEastAsia" w:hint="eastAsia"/>
          <w:b/>
          <w:bCs/>
          <w:sz w:val="24"/>
          <w:szCs w:val="32"/>
        </w:rPr>
        <w:t>18.1询价结果：</w:t>
      </w:r>
    </w:p>
    <w:p w:rsidR="00FF4C10">
      <w:pPr>
        <w:spacing w:line="360" w:lineRule="auto"/>
        <w:ind w:firstLine="480" w:firstLineChars="200"/>
        <w:rPr>
          <w:rFonts w:asciiTheme="minorEastAsia" w:eastAsiaTheme="minorEastAsia" w:hAnsiTheme="minorEastAsia" w:cstheme="minorEastAsia"/>
          <w:sz w:val="24"/>
          <w:szCs w:val="32"/>
        </w:rPr>
      </w:pPr>
      <w:r>
        <w:rPr>
          <w:rFonts w:asciiTheme="minorEastAsia" w:eastAsiaTheme="minorEastAsia" w:hAnsiTheme="minorEastAsia" w:cstheme="minorEastAsia" w:hint="eastAsia"/>
          <w:sz w:val="24"/>
          <w:szCs w:val="32"/>
        </w:rPr>
        <w:t>询价小组完成评定后，向采购人提交经各询价小组成员签字的评审结果报告，并按询价办法确定成交供应商，在浙江政府采购网和绍兴市上虞区公共资源交易中心公告1个工作日，供应商对询价结果如有异议，可在规定时间内以书面形式署名向采购人提出质疑，但需对投诉或质疑内容的真实性承担法律责任。供应商质疑、投诉应当有明确的请求和必要的证明材料，供应商投诉的事项不得超出已质疑事项的范围。</w:t>
      </w:r>
    </w:p>
    <w:p w:rsidR="00FF4C10">
      <w:pPr>
        <w:spacing w:line="360" w:lineRule="auto"/>
        <w:ind w:firstLine="480" w:firstLineChars="200"/>
        <w:rPr>
          <w:rFonts w:asciiTheme="minorEastAsia" w:eastAsiaTheme="minorEastAsia" w:hAnsiTheme="minorEastAsia" w:cstheme="minorEastAsia"/>
          <w:b/>
          <w:bCs/>
          <w:sz w:val="24"/>
          <w:szCs w:val="32"/>
        </w:rPr>
      </w:pPr>
      <w:r>
        <w:rPr>
          <w:rFonts w:asciiTheme="minorEastAsia" w:eastAsiaTheme="minorEastAsia" w:hAnsiTheme="minorEastAsia" w:cstheme="minorEastAsia" w:hint="eastAsia"/>
          <w:b/>
          <w:bCs/>
          <w:sz w:val="24"/>
          <w:szCs w:val="32"/>
        </w:rPr>
        <w:t>18.2成交通知和合同授予</w:t>
      </w:r>
    </w:p>
    <w:p w:rsidR="00FF4C10">
      <w:pPr>
        <w:spacing w:line="360" w:lineRule="auto"/>
        <w:ind w:firstLine="480" w:firstLineChars="200"/>
        <w:rPr>
          <w:rFonts w:asciiTheme="minorEastAsia" w:eastAsiaTheme="minorEastAsia" w:hAnsiTheme="minorEastAsia" w:cstheme="minorEastAsia"/>
          <w:sz w:val="24"/>
          <w:szCs w:val="32"/>
        </w:rPr>
      </w:pPr>
      <w:r>
        <w:rPr>
          <w:rFonts w:asciiTheme="minorEastAsia" w:eastAsiaTheme="minorEastAsia" w:hAnsiTheme="minorEastAsia" w:cstheme="minorEastAsia" w:hint="eastAsia"/>
          <w:sz w:val="24"/>
          <w:szCs w:val="32"/>
        </w:rPr>
        <w:t>（1）采购人应当自中标通知书发出之日起3日内，按照询价文件和成交供应商响应文件的规定，与成交供应商签订书面合同。所签订的合同不得对询价文件确定的事项和成交供应商响应文件作实质性修改。</w:t>
      </w:r>
    </w:p>
    <w:p w:rsidR="00FF4C10">
      <w:pPr>
        <w:spacing w:line="360" w:lineRule="auto"/>
        <w:ind w:firstLine="480" w:firstLineChars="200"/>
        <w:rPr>
          <w:rFonts w:asciiTheme="minorEastAsia" w:eastAsiaTheme="minorEastAsia" w:hAnsiTheme="minorEastAsia" w:cstheme="minorEastAsia"/>
          <w:szCs w:val="32"/>
        </w:rPr>
      </w:pPr>
      <w:r>
        <w:rPr>
          <w:rFonts w:asciiTheme="minorEastAsia" w:eastAsiaTheme="minorEastAsia" w:hAnsiTheme="minorEastAsia" w:cstheme="minorEastAsia" w:hint="eastAsia"/>
          <w:sz w:val="24"/>
          <w:szCs w:val="32"/>
        </w:rPr>
        <w:t>（2）中标或者成交供应商拒绝与采购人签订合同的，采购人可以按照评审报告推荐的中标或者成交候选人名单排序，确定下一候选人为中标或者成交供应商，也可以重新开展政府采购活动。</w:t>
      </w:r>
    </w:p>
    <w:p w:rsidR="00FF4C10">
      <w:pPr>
        <w:spacing w:line="360" w:lineRule="auto"/>
        <w:ind w:firstLine="480" w:firstLineChars="200"/>
        <w:jc w:val="left"/>
        <w:rPr>
          <w:rFonts w:asciiTheme="minorEastAsia" w:eastAsiaTheme="minorEastAsia" w:hAnsiTheme="minorEastAsia" w:cstheme="minorEastAsia"/>
          <w:b/>
          <w:sz w:val="24"/>
        </w:rPr>
      </w:pPr>
      <w:r>
        <w:rPr>
          <w:rFonts w:asciiTheme="minorEastAsia" w:eastAsiaTheme="minorEastAsia" w:hAnsiTheme="minorEastAsia" w:cstheme="minorEastAsia" w:hint="eastAsia"/>
          <w:b/>
          <w:sz w:val="24"/>
        </w:rPr>
        <w:t>18.3中标通知</w:t>
      </w:r>
    </w:p>
    <w:bookmarkEnd w:id="65"/>
    <w:bookmarkEnd w:id="66"/>
    <w:bookmarkEnd w:id="67"/>
    <w:p w:rsidR="00FF4C10">
      <w:pPr>
        <w:pStyle w:val="PlainText"/>
        <w:spacing w:line="360" w:lineRule="auto"/>
        <w:ind w:firstLine="480" w:firstLineChars="20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szCs w:val="32"/>
        </w:rPr>
        <w:t>（1）</w:t>
      </w:r>
      <w:r>
        <w:rPr>
          <w:rFonts w:asciiTheme="minorEastAsia" w:eastAsiaTheme="minorEastAsia" w:hAnsiTheme="minorEastAsia" w:cstheme="minorEastAsia" w:hint="eastAsia"/>
          <w:sz w:val="24"/>
        </w:rPr>
        <w:t>采购代理机构在询价结束后3日内向成交供应商签发中标通知书。</w:t>
      </w:r>
    </w:p>
    <w:p w:rsidR="00FF4C10">
      <w:pPr>
        <w:pStyle w:val="PlainText"/>
        <w:spacing w:line="360" w:lineRule="auto"/>
        <w:ind w:firstLine="480" w:firstLineChars="20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szCs w:val="32"/>
        </w:rPr>
        <w:t>（2）</w:t>
      </w:r>
      <w:r>
        <w:rPr>
          <w:rFonts w:asciiTheme="minorEastAsia" w:eastAsiaTheme="minorEastAsia" w:hAnsiTheme="minorEastAsia" w:cstheme="minorEastAsia" w:hint="eastAsia"/>
          <w:sz w:val="24"/>
        </w:rPr>
        <w:t>在采购机构发出成交通知书前，预成交供应商有违反有关法律法规和本项目要求行为的，则取消该供应商的预中标资格，</w:t>
      </w:r>
      <w:r>
        <w:rPr>
          <w:rFonts w:asciiTheme="minorEastAsia" w:eastAsiaTheme="minorEastAsia" w:hAnsiTheme="minorEastAsia" w:cstheme="minorEastAsia" w:hint="eastAsia"/>
          <w:sz w:val="24"/>
          <w:szCs w:val="32"/>
        </w:rPr>
        <w:t>列入政府采购活动不良诚信行为</w:t>
      </w:r>
      <w:r>
        <w:rPr>
          <w:rFonts w:asciiTheme="minorEastAsia" w:eastAsiaTheme="minorEastAsia" w:hAnsiTheme="minorEastAsia" w:cstheme="minorEastAsia" w:hint="eastAsia"/>
          <w:sz w:val="24"/>
        </w:rPr>
        <w:t>。</w:t>
      </w:r>
    </w:p>
    <w:p w:rsidR="00FF4C10">
      <w:pPr>
        <w:pStyle w:val="20"/>
        <w:snapToGrid w:val="0"/>
        <w:spacing w:before="0"/>
        <w:ind w:firstLine="480"/>
        <w:rPr>
          <w:rFonts w:asciiTheme="minorEastAsia" w:eastAsiaTheme="minorEastAsia" w:hAnsiTheme="minorEastAsia" w:cstheme="minorEastAsia"/>
        </w:rPr>
      </w:pPr>
      <w:r>
        <w:rPr>
          <w:rFonts w:asciiTheme="minorEastAsia" w:eastAsiaTheme="minorEastAsia" w:hAnsiTheme="minorEastAsia" w:cstheme="minorEastAsia" w:hint="eastAsia"/>
          <w:szCs w:val="32"/>
        </w:rPr>
        <w:t>（3）</w:t>
      </w:r>
      <w:r>
        <w:rPr>
          <w:rFonts w:asciiTheme="minorEastAsia" w:eastAsiaTheme="minorEastAsia" w:hAnsiTheme="minorEastAsia" w:cstheme="minorEastAsia" w:hint="eastAsia"/>
        </w:rPr>
        <w:t>采购人、采购机构对中标结果不作任何说明和解释，也不回答任何提问。</w:t>
      </w:r>
    </w:p>
    <w:p w:rsidR="00FF4C10">
      <w:pPr>
        <w:adjustRightInd w:val="0"/>
        <w:snapToGrid w:val="0"/>
        <w:spacing w:line="360" w:lineRule="auto"/>
        <w:ind w:firstLine="480" w:firstLineChars="200"/>
        <w:rPr>
          <w:rFonts w:asciiTheme="minorEastAsia" w:eastAsiaTheme="minorEastAsia" w:hAnsiTheme="minorEastAsia" w:cstheme="minorEastAsia"/>
          <w:b/>
          <w:sz w:val="24"/>
        </w:rPr>
      </w:pPr>
      <w:r>
        <w:rPr>
          <w:rFonts w:asciiTheme="minorEastAsia" w:eastAsiaTheme="minorEastAsia" w:hAnsiTheme="minorEastAsia" w:cstheme="minorEastAsia" w:hint="eastAsia"/>
          <w:b/>
          <w:sz w:val="24"/>
        </w:rPr>
        <w:t>18.4解释权</w:t>
      </w:r>
    </w:p>
    <w:p w:rsidR="00FF4C10">
      <w:pPr>
        <w:adjustRightInd w:val="0"/>
        <w:spacing w:line="336" w:lineRule="auto"/>
        <w:ind w:firstLine="480" w:firstLineChars="200"/>
        <w:rPr>
          <w:rFonts w:asciiTheme="minorEastAsia" w:eastAsiaTheme="minorEastAsia" w:hAnsiTheme="minorEastAsia" w:cstheme="minorEastAsia"/>
          <w:sz w:val="24"/>
          <w:szCs w:val="24"/>
        </w:rPr>
        <w:sectPr>
          <w:headerReference w:type="default" r:id="rId29"/>
          <w:footerReference w:type="default" r:id="rId30"/>
          <w:type w:val="nextPage"/>
          <w:pgSz w:w="11906" w:h="16838"/>
          <w:pgMar w:top="1417" w:right="1134" w:bottom="1417" w:left="1134" w:header="851" w:footer="618" w:gutter="0"/>
          <w:pgNumType w:start="15"/>
          <w:cols w:space="720"/>
          <w:titlePg w:val="0"/>
          <w:docGrid w:type="lines" w:linePitch="321"/>
        </w:sectPr>
      </w:pPr>
      <w:r>
        <w:rPr>
          <w:rFonts w:asciiTheme="minorEastAsia" w:eastAsiaTheme="minorEastAsia" w:hAnsiTheme="minorEastAsia" w:cstheme="minorEastAsia" w:hint="eastAsia"/>
          <w:sz w:val="24"/>
        </w:rPr>
        <w:t>询价文件的解释权均属于</w:t>
      </w:r>
      <w:r>
        <w:rPr>
          <w:rFonts w:asciiTheme="minorEastAsia" w:eastAsiaTheme="minorEastAsia" w:hAnsiTheme="minorEastAsia" w:cstheme="minorEastAsia" w:hint="eastAsia"/>
          <w:sz w:val="24"/>
          <w:u w:val="single"/>
        </w:rPr>
        <w:t xml:space="preserve"> 浙江省上虞中学 </w:t>
      </w:r>
      <w:r>
        <w:rPr>
          <w:rFonts w:asciiTheme="minorEastAsia" w:eastAsiaTheme="minorEastAsia" w:hAnsiTheme="minorEastAsia" w:cstheme="minorEastAsia" w:hint="eastAsia"/>
          <w:sz w:val="24"/>
        </w:rPr>
        <w:t>和</w:t>
      </w:r>
      <w:r>
        <w:rPr>
          <w:rFonts w:asciiTheme="minorEastAsia" w:eastAsiaTheme="minorEastAsia" w:hAnsiTheme="minorEastAsia" w:cstheme="minorEastAsia" w:hint="eastAsia"/>
          <w:sz w:val="24"/>
          <w:u w:val="single"/>
        </w:rPr>
        <w:t xml:space="preserve"> 绍兴市上虞区公共资源交易中心 </w:t>
      </w:r>
      <w:r>
        <w:rPr>
          <w:rFonts w:asciiTheme="minorEastAsia" w:eastAsiaTheme="minorEastAsia" w:hAnsiTheme="minorEastAsia" w:cstheme="minorEastAsia" w:hint="eastAsia"/>
          <w:sz w:val="24"/>
        </w:rPr>
        <w:t>。</w:t>
      </w:r>
    </w:p>
    <w:p w:rsidR="00FF4C10">
      <w:pPr>
        <w:pStyle w:val="Heading1"/>
        <w:jc w:val="center"/>
        <w:rPr>
          <w:rFonts w:asciiTheme="minorEastAsia" w:eastAsiaTheme="minorEastAsia" w:hAnsiTheme="minorEastAsia" w:cstheme="minorEastAsia"/>
          <w:sz w:val="36"/>
          <w:szCs w:val="36"/>
        </w:rPr>
      </w:pPr>
      <w:bookmarkStart w:id="68" w:name="_Toc21248"/>
      <w:bookmarkStart w:id="69" w:name="_Toc9553"/>
      <w:r>
        <w:rPr>
          <w:rFonts w:asciiTheme="minorEastAsia" w:eastAsiaTheme="minorEastAsia" w:hAnsiTheme="minorEastAsia" w:cstheme="minorEastAsia" w:hint="eastAsia"/>
          <w:sz w:val="36"/>
          <w:szCs w:val="36"/>
        </w:rPr>
        <w:t>第三部分 采购内容及要求</w:t>
      </w:r>
      <w:bookmarkEnd w:id="68"/>
      <w:bookmarkEnd w:id="69"/>
    </w:p>
    <w:p w:rsidR="00FF4C10">
      <w:pPr>
        <w:pStyle w:val="Heading2"/>
        <w:numPr>
          <w:ilvl w:val="0"/>
          <w:numId w:val="14"/>
        </w:numPr>
        <w:spacing w:line="360" w:lineRule="auto"/>
        <w:ind w:firstLine="0"/>
        <w:jc w:val="center"/>
      </w:pPr>
      <w:bookmarkStart w:id="70" w:name="_Toc13601"/>
      <w:bookmarkStart w:id="71" w:name="_Toc26036"/>
      <w:bookmarkStart w:id="72" w:name="_Toc17199"/>
      <w:bookmarkStart w:id="73" w:name="_Toc20881"/>
      <w:bookmarkStart w:id="74" w:name="_Toc506107086"/>
      <w:r>
        <w:rPr>
          <w:rFonts w:hint="eastAsia"/>
        </w:rPr>
        <w:t>技术规范及要求</w:t>
      </w:r>
      <w:bookmarkEnd w:id="70"/>
      <w:bookmarkEnd w:id="71"/>
      <w:bookmarkEnd w:id="72"/>
      <w:bookmarkEnd w:id="73"/>
      <w:bookmarkEnd w:id="74"/>
    </w:p>
    <w:p w:rsidR="00FF4C10">
      <w:pPr>
        <w:tabs>
          <w:tab w:val="left" w:pos="0"/>
        </w:tabs>
        <w:spacing w:before="160" w:beforeLines="50" w:after="160" w:afterLines="50" w:line="360" w:lineRule="auto"/>
        <w:ind w:firstLine="480" w:firstLineChars="200"/>
        <w:rPr>
          <w:rFonts w:ascii="宋体" w:hAnsi="宋体" w:cs="宋体"/>
          <w:b/>
          <w:sz w:val="24"/>
        </w:rPr>
      </w:pPr>
      <w:r>
        <w:rPr>
          <w:rFonts w:ascii="宋体" w:hAnsi="宋体" w:cs="宋体" w:hint="eastAsia"/>
          <w:b/>
          <w:sz w:val="24"/>
        </w:rPr>
        <w:t>一、总则</w:t>
      </w:r>
    </w:p>
    <w:p w:rsidR="00FF4C10">
      <w:pPr>
        <w:autoSpaceDE w:val="0"/>
        <w:autoSpaceDN w:val="0"/>
        <w:adjustRightInd w:val="0"/>
        <w:spacing w:line="360" w:lineRule="auto"/>
        <w:ind w:firstLine="480" w:firstLineChars="200"/>
        <w:jc w:val="left"/>
        <w:rPr>
          <w:rFonts w:ascii="宋体" w:hAnsi="宋体" w:cs="宋体"/>
          <w:sz w:val="24"/>
        </w:rPr>
      </w:pPr>
      <w:r>
        <w:rPr>
          <w:rFonts w:ascii="宋体" w:hAnsi="宋体" w:cs="宋体" w:hint="eastAsia"/>
          <w:sz w:val="24"/>
        </w:rPr>
        <w:t>1、本部分只是采购内容的一些原则性规定，并不是完整的详尽的要求,供应商有责任根据实际情况提供更科学合理的优化产品，并对所提供工艺、安全性、先进性负责，符合技术规格的要求。</w:t>
      </w:r>
    </w:p>
    <w:p w:rsidR="00FF4C10">
      <w:pPr>
        <w:autoSpaceDE w:val="0"/>
        <w:autoSpaceDN w:val="0"/>
        <w:adjustRightInd w:val="0"/>
        <w:spacing w:line="360" w:lineRule="auto"/>
        <w:ind w:firstLine="480" w:firstLineChars="200"/>
        <w:jc w:val="left"/>
        <w:rPr>
          <w:rFonts w:ascii="宋体" w:hAnsi="宋体" w:cs="宋体"/>
          <w:sz w:val="24"/>
        </w:rPr>
      </w:pPr>
      <w:r>
        <w:rPr>
          <w:rFonts w:ascii="宋体" w:hAnsi="宋体" w:cs="宋体" w:hint="eastAsia"/>
          <w:sz w:val="24"/>
        </w:rPr>
        <w:t>2、供应商必须对全部招标内容进行响应，不允许只对其中部分内容进行响应，谢绝联合响应。</w:t>
      </w:r>
    </w:p>
    <w:p w:rsidR="00FF4C10">
      <w:pPr>
        <w:autoSpaceDE w:val="0"/>
        <w:autoSpaceDN w:val="0"/>
        <w:adjustRightInd w:val="0"/>
        <w:spacing w:line="360" w:lineRule="auto"/>
        <w:ind w:firstLine="480" w:firstLineChars="200"/>
        <w:jc w:val="left"/>
        <w:rPr>
          <w:rFonts w:ascii="宋体" w:hAnsi="宋体" w:cs="宋体"/>
          <w:sz w:val="24"/>
        </w:rPr>
      </w:pPr>
      <w:r>
        <w:rPr>
          <w:rFonts w:ascii="宋体" w:hAnsi="宋体" w:cs="宋体" w:hint="eastAsia"/>
          <w:sz w:val="24"/>
        </w:rPr>
        <w:t>3、产品如与采购要求有细微偏差，采购人将有权要求成交供应商调整偏差，并不改变价格。</w:t>
      </w:r>
    </w:p>
    <w:p w:rsidR="00FF4C10">
      <w:pPr>
        <w:autoSpaceDE w:val="0"/>
        <w:autoSpaceDN w:val="0"/>
        <w:adjustRightInd w:val="0"/>
        <w:spacing w:line="360" w:lineRule="auto"/>
        <w:ind w:firstLine="480" w:firstLineChars="200"/>
        <w:jc w:val="left"/>
        <w:rPr>
          <w:rFonts w:ascii="宋体" w:hAnsi="宋体" w:cs="宋体"/>
          <w:sz w:val="24"/>
        </w:rPr>
      </w:pPr>
      <w:r>
        <w:rPr>
          <w:rFonts w:ascii="宋体" w:hAnsi="宋体" w:cs="宋体" w:hint="eastAsia"/>
          <w:sz w:val="24"/>
        </w:rPr>
        <w:t>4、供应商须对谈判文件中的各个条款一一给予实质性答复，不能空头或仅拷贝黏贴响应。</w:t>
      </w:r>
    </w:p>
    <w:p w:rsidR="00FF4C10">
      <w:pPr>
        <w:autoSpaceDE w:val="0"/>
        <w:autoSpaceDN w:val="0"/>
        <w:adjustRightInd w:val="0"/>
        <w:spacing w:line="360" w:lineRule="auto"/>
        <w:ind w:firstLine="480" w:firstLineChars="200"/>
        <w:jc w:val="left"/>
        <w:rPr>
          <w:rFonts w:ascii="宋体" w:hAnsi="宋体" w:cs="宋体"/>
          <w:sz w:val="24"/>
        </w:rPr>
      </w:pPr>
      <w:r>
        <w:rPr>
          <w:rFonts w:ascii="宋体" w:hAnsi="宋体" w:cs="宋体" w:hint="eastAsia"/>
          <w:sz w:val="24"/>
        </w:rPr>
        <w:t>5、供应商须对谈判文件中涉及到的专利负责，并保证不伤害采购人的利益。在法律范围内，所有文字、商标和技术侵权造成的相关费用，采购人概不负责。</w:t>
      </w:r>
    </w:p>
    <w:p w:rsidR="00FF4C10">
      <w:pPr>
        <w:autoSpaceDE w:val="0"/>
        <w:autoSpaceDN w:val="0"/>
        <w:adjustRightInd w:val="0"/>
        <w:spacing w:line="360" w:lineRule="auto"/>
        <w:ind w:firstLine="480" w:firstLineChars="200"/>
        <w:jc w:val="left"/>
        <w:rPr>
          <w:rFonts w:ascii="宋体" w:hAnsi="宋体" w:cs="宋体"/>
          <w:sz w:val="24"/>
        </w:rPr>
      </w:pPr>
      <w:r>
        <w:rPr>
          <w:rFonts w:ascii="宋体" w:hAnsi="宋体" w:cs="宋体" w:hint="eastAsia"/>
          <w:sz w:val="24"/>
        </w:rPr>
        <w:t>6、供应商的报价不仅应包括谈判文件提供的设备清单、技术条款的要求，还应包括任何未明确标出的，但货物安装后保证正常安全使用所不可缺少的配件及附件的全部费用。其中，全部货物材料应说明名称、型号、数量、单价、总价、产地等。</w:t>
      </w:r>
    </w:p>
    <w:p w:rsidR="00FF4C10">
      <w:pPr>
        <w:autoSpaceDE w:val="0"/>
        <w:autoSpaceDN w:val="0"/>
        <w:adjustRightInd w:val="0"/>
        <w:spacing w:line="360" w:lineRule="auto"/>
        <w:ind w:firstLine="480" w:firstLineChars="200"/>
        <w:jc w:val="left"/>
        <w:rPr>
          <w:rFonts w:ascii="宋体" w:hAnsi="宋体" w:cs="宋体"/>
          <w:sz w:val="24"/>
        </w:rPr>
      </w:pPr>
      <w:r>
        <w:rPr>
          <w:rFonts w:ascii="宋体" w:hAnsi="宋体" w:cs="宋体" w:hint="eastAsia"/>
          <w:sz w:val="24"/>
        </w:rPr>
        <w:t>7、成交供应商须按采购人的要求和认可负责安装、布置直至验收合格。</w:t>
      </w:r>
    </w:p>
    <w:p w:rsidR="00FF4C10">
      <w:pPr>
        <w:pStyle w:val="NormalIndent"/>
        <w:rPr>
          <w:rFonts w:ascii="宋体" w:hAnsi="宋体" w:cs="宋体"/>
          <w:sz w:val="24"/>
        </w:rPr>
      </w:pPr>
    </w:p>
    <w:p w:rsidR="00FF4C10">
      <w:pPr>
        <w:pStyle w:val="TOC4"/>
        <w:ind w:left="1200"/>
        <w:rPr>
          <w:rFonts w:ascii="宋体" w:hAnsi="宋体" w:cs="宋体"/>
          <w:sz w:val="24"/>
        </w:rPr>
      </w:pPr>
    </w:p>
    <w:p w:rsidR="00FF4C10"/>
    <w:p w:rsidR="00FF4C10">
      <w:pPr>
        <w:pStyle w:val="Heading2"/>
        <w:numPr>
          <w:ilvl w:val="0"/>
          <w:numId w:val="14"/>
        </w:numPr>
        <w:spacing w:line="360" w:lineRule="auto"/>
        <w:ind w:firstLine="0"/>
        <w:jc w:val="center"/>
      </w:pPr>
      <w:r>
        <w:rPr>
          <w:rFonts w:hint="eastAsia"/>
        </w:rPr>
        <w:t>采购内容及要求</w:t>
      </w:r>
    </w:p>
    <w:p w:rsidR="00FF4C10">
      <w:pPr>
        <w:pStyle w:val="BodyText1I2"/>
        <w:rPr>
          <w:rFonts w:cs="宋体"/>
          <w:b/>
          <w:sz w:val="24"/>
        </w:rPr>
      </w:pPr>
      <w:r>
        <w:rPr>
          <w:rFonts w:cs="宋体" w:hint="eastAsia"/>
          <w:b/>
          <w:sz w:val="24"/>
        </w:rPr>
        <w:t>一、采购清单</w:t>
      </w:r>
    </w:p>
    <w:tbl>
      <w:tblPr>
        <w:tblStyle w:val="TableNormal"/>
        <w:tblW w:w="9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00"/>
        <w:gridCol w:w="3278"/>
        <w:gridCol w:w="3450"/>
        <w:gridCol w:w="1092"/>
        <w:gridCol w:w="997"/>
      </w:tblGrid>
      <w:tr>
        <w:tblPrEx>
          <w:tblW w:w="9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768"/>
          <w:jc w:val="center"/>
        </w:trPr>
        <w:tc>
          <w:tcPr>
            <w:tcW w:w="800" w:type="dxa"/>
            <w:tcBorders>
              <w:tl2br w:val="nil"/>
              <w:tr2bl w:val="nil"/>
            </w:tcBorders>
            <w:shd w:val="clear" w:color="auto" w:fill="FFFFFF"/>
            <w:noWrap/>
            <w:vAlign w:val="center"/>
          </w:tcPr>
          <w:p w:rsidR="00FF4C10">
            <w:pPr>
              <w:jc w:val="center"/>
              <w:rPr>
                <w:rFonts w:ascii="宋体" w:hAnsi="宋体" w:cs="宋体"/>
              </w:rPr>
            </w:pPr>
            <w:r>
              <w:rPr>
                <w:rFonts w:ascii="宋体" w:hAnsi="宋体" w:cs="宋体" w:hint="eastAsia"/>
              </w:rPr>
              <w:t>序号</w:t>
            </w:r>
          </w:p>
        </w:tc>
        <w:tc>
          <w:tcPr>
            <w:tcW w:w="3278" w:type="dxa"/>
            <w:tcBorders>
              <w:tl2br w:val="nil"/>
              <w:tr2bl w:val="nil"/>
            </w:tcBorders>
            <w:shd w:val="clear" w:color="auto" w:fill="FFFFFF"/>
            <w:noWrap/>
            <w:vAlign w:val="center"/>
          </w:tcPr>
          <w:p w:rsidR="00FF4C10">
            <w:pPr>
              <w:jc w:val="center"/>
              <w:rPr>
                <w:rFonts w:ascii="宋体" w:hAnsi="宋体" w:cs="宋体"/>
              </w:rPr>
            </w:pPr>
            <w:r>
              <w:rPr>
                <w:rFonts w:ascii="宋体" w:hAnsi="宋体" w:cs="宋体" w:hint="eastAsia"/>
              </w:rPr>
              <w:t>设备名称</w:t>
            </w:r>
          </w:p>
        </w:tc>
        <w:tc>
          <w:tcPr>
            <w:tcW w:w="3450" w:type="dxa"/>
            <w:tcBorders>
              <w:tl2br w:val="nil"/>
              <w:tr2bl w:val="nil"/>
            </w:tcBorders>
            <w:shd w:val="clear" w:color="auto" w:fill="FFFFFF"/>
            <w:noWrap/>
            <w:vAlign w:val="center"/>
          </w:tcPr>
          <w:p w:rsidR="00FF4C10">
            <w:pPr>
              <w:jc w:val="center"/>
              <w:rPr>
                <w:rFonts w:ascii="宋体" w:hAnsi="宋体" w:cs="宋体"/>
              </w:rPr>
            </w:pPr>
            <w:r>
              <w:rPr>
                <w:rFonts w:ascii="宋体" w:hAnsi="宋体" w:cs="宋体" w:hint="eastAsia"/>
              </w:rPr>
              <w:t>规格要求</w:t>
            </w:r>
          </w:p>
        </w:tc>
        <w:tc>
          <w:tcPr>
            <w:tcW w:w="1092" w:type="dxa"/>
            <w:tcBorders>
              <w:tl2br w:val="nil"/>
              <w:tr2bl w:val="nil"/>
            </w:tcBorders>
            <w:shd w:val="clear" w:color="auto" w:fill="FFFFFF"/>
            <w:noWrap/>
            <w:vAlign w:val="center"/>
          </w:tcPr>
          <w:p w:rsidR="00FF4C10">
            <w:pPr>
              <w:jc w:val="center"/>
              <w:rPr>
                <w:rFonts w:ascii="宋体" w:hAnsi="宋体" w:cs="宋体"/>
              </w:rPr>
            </w:pPr>
            <w:r>
              <w:rPr>
                <w:rFonts w:ascii="宋体" w:hAnsi="宋体" w:cs="宋体" w:hint="eastAsia"/>
              </w:rPr>
              <w:t>数量</w:t>
            </w:r>
          </w:p>
        </w:tc>
        <w:tc>
          <w:tcPr>
            <w:tcW w:w="997" w:type="dxa"/>
            <w:tcBorders>
              <w:tl2br w:val="nil"/>
              <w:tr2bl w:val="nil"/>
            </w:tcBorders>
            <w:shd w:val="clear" w:color="auto" w:fill="FFFFFF"/>
            <w:noWrap/>
            <w:vAlign w:val="center"/>
          </w:tcPr>
          <w:p w:rsidR="00FF4C10">
            <w:pPr>
              <w:jc w:val="center"/>
              <w:rPr>
                <w:rFonts w:ascii="宋体" w:hAnsi="宋体" w:cs="宋体"/>
              </w:rPr>
            </w:pPr>
            <w:r>
              <w:rPr>
                <w:rFonts w:ascii="宋体" w:hAnsi="宋体" w:cs="宋体" w:hint="eastAsia"/>
              </w:rPr>
              <w:t>单位</w:t>
            </w:r>
          </w:p>
        </w:tc>
      </w:tr>
      <w:tr>
        <w:tblPrEx>
          <w:tblW w:w="9617" w:type="dxa"/>
          <w:jc w:val="center"/>
          <w:tblLayout w:type="fixed"/>
          <w:tblLook w:val="04A0"/>
        </w:tblPrEx>
        <w:trPr>
          <w:trHeight w:val="1061"/>
          <w:jc w:val="center"/>
        </w:trPr>
        <w:tc>
          <w:tcPr>
            <w:tcW w:w="800" w:type="dxa"/>
            <w:tcBorders>
              <w:tl2br w:val="nil"/>
              <w:tr2bl w:val="nil"/>
            </w:tcBorders>
            <w:shd w:val="clear" w:color="auto" w:fill="FFFFFF"/>
            <w:noWrap/>
            <w:vAlign w:val="center"/>
          </w:tcPr>
          <w:p w:rsidR="00FF4C10">
            <w:pPr>
              <w:jc w:val="center"/>
              <w:rPr>
                <w:rFonts w:ascii="宋体" w:hAnsi="宋体" w:cs="宋体"/>
              </w:rPr>
            </w:pPr>
            <w:r>
              <w:rPr>
                <w:rFonts w:ascii="宋体" w:hAnsi="宋体" w:cs="宋体" w:hint="eastAsia"/>
              </w:rPr>
              <w:t>1</w:t>
            </w:r>
          </w:p>
        </w:tc>
        <w:tc>
          <w:tcPr>
            <w:tcW w:w="3278" w:type="dxa"/>
            <w:tcBorders>
              <w:tl2br w:val="nil"/>
              <w:tr2bl w:val="nil"/>
            </w:tcBorders>
            <w:shd w:val="clear" w:color="auto" w:fill="FFFFFF"/>
            <w:noWrap/>
            <w:vAlign w:val="center"/>
          </w:tcPr>
          <w:p w:rsidR="00FF4C10">
            <w:pPr>
              <w:spacing w:line="360" w:lineRule="auto"/>
              <w:jc w:val="center"/>
              <w:rPr>
                <w:rFonts w:ascii="宋体" w:hAnsi="宋体" w:cs="宋体"/>
              </w:rPr>
            </w:pPr>
            <w:r>
              <w:rPr>
                <w:rFonts w:ascii="宋体" w:hAnsi="宋体" w:cs="宋体" w:hint="eastAsia"/>
              </w:rPr>
              <w:t>86</w:t>
            </w:r>
            <w:bookmarkStart w:id="75" w:name="_Hlk150444110"/>
            <w:r>
              <w:rPr>
                <w:rFonts w:ascii="宋体" w:hAnsi="宋体" w:cs="宋体" w:hint="eastAsia"/>
              </w:rPr>
              <w:t>英</w:t>
            </w:r>
            <w:bookmarkEnd w:id="75"/>
            <w:r>
              <w:rPr>
                <w:rFonts w:ascii="宋体" w:hAnsi="宋体" w:cs="宋体" w:hint="eastAsia"/>
              </w:rPr>
              <w:t>寸触控一体机</w:t>
            </w:r>
          </w:p>
        </w:tc>
        <w:tc>
          <w:tcPr>
            <w:tcW w:w="3450" w:type="dxa"/>
            <w:tcBorders>
              <w:tl2br w:val="nil"/>
              <w:tr2bl w:val="nil"/>
            </w:tcBorders>
            <w:shd w:val="clear" w:color="auto" w:fill="FFFFFF"/>
            <w:noWrap/>
            <w:vAlign w:val="center"/>
          </w:tcPr>
          <w:p w:rsidR="00FF4C10">
            <w:pPr>
              <w:jc w:val="center"/>
              <w:rPr>
                <w:rFonts w:ascii="宋体" w:hAnsi="宋体" w:cs="宋体"/>
              </w:rPr>
            </w:pPr>
            <w:r>
              <w:rPr>
                <w:rFonts w:ascii="宋体" w:hAnsi="宋体" w:cs="宋体" w:hint="eastAsia"/>
              </w:rPr>
              <w:t>详细见招标参数</w:t>
            </w:r>
          </w:p>
        </w:tc>
        <w:tc>
          <w:tcPr>
            <w:tcW w:w="1092" w:type="dxa"/>
            <w:tcBorders>
              <w:tl2br w:val="nil"/>
              <w:tr2bl w:val="nil"/>
            </w:tcBorders>
            <w:shd w:val="clear" w:color="auto" w:fill="FFFFFF"/>
            <w:noWrap/>
            <w:vAlign w:val="center"/>
          </w:tcPr>
          <w:p w:rsidR="00FF4C10">
            <w:pPr>
              <w:jc w:val="center"/>
              <w:rPr>
                <w:rFonts w:ascii="宋体" w:hAnsi="宋体" w:cs="宋体"/>
              </w:rPr>
            </w:pPr>
            <w:r>
              <w:rPr>
                <w:rFonts w:ascii="宋体" w:hAnsi="宋体" w:cs="宋体" w:hint="eastAsia"/>
              </w:rPr>
              <w:t>18</w:t>
            </w:r>
          </w:p>
        </w:tc>
        <w:tc>
          <w:tcPr>
            <w:tcW w:w="997" w:type="dxa"/>
            <w:tcBorders>
              <w:tl2br w:val="nil"/>
              <w:tr2bl w:val="nil"/>
            </w:tcBorders>
            <w:shd w:val="clear" w:color="auto" w:fill="FFFFFF"/>
            <w:noWrap/>
            <w:vAlign w:val="center"/>
          </w:tcPr>
          <w:p w:rsidR="00FF4C10">
            <w:pPr>
              <w:jc w:val="center"/>
              <w:rPr>
                <w:rFonts w:ascii="宋体" w:hAnsi="宋体" w:cs="宋体"/>
              </w:rPr>
            </w:pPr>
            <w:r>
              <w:rPr>
                <w:rFonts w:ascii="宋体" w:hAnsi="宋体" w:cs="宋体" w:hint="eastAsia"/>
              </w:rPr>
              <w:t>台</w:t>
            </w:r>
          </w:p>
        </w:tc>
      </w:tr>
    </w:tbl>
    <w:p>
      <w:pPr>
        <w:sectPr>
          <w:headerReference w:type="default" r:id="rId31"/>
          <w:footerReference w:type="default" r:id="rId32"/>
          <w:type w:val="nextPage"/>
          <w:pgSz w:w="11906" w:h="16838"/>
          <w:pgMar w:top="1417" w:right="1134" w:bottom="1417" w:left="1134" w:header="851" w:footer="618" w:gutter="0"/>
          <w:pgNumType w:start="16"/>
          <w:cols w:space="720"/>
          <w:titlePg w:val="0"/>
          <w:docGrid w:type="lines" w:linePitch="321"/>
        </w:sectPr>
      </w:pPr>
    </w:p>
    <w:tbl>
      <w:tblPr>
        <w:tblStyle w:val="TableNormal"/>
        <w:tblW w:w="9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00"/>
        <w:gridCol w:w="3278"/>
        <w:gridCol w:w="3450"/>
        <w:gridCol w:w="1092"/>
        <w:gridCol w:w="997"/>
      </w:tblGrid>
      <w:tr>
        <w:tblPrEx>
          <w:tblW w:w="9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1061"/>
          <w:jc w:val="center"/>
        </w:trPr>
        <w:tc>
          <w:tcPr>
            <w:tcW w:w="800" w:type="dxa"/>
            <w:tcBorders>
              <w:tl2br w:val="nil"/>
              <w:tr2bl w:val="nil"/>
            </w:tcBorders>
            <w:shd w:val="clear" w:color="auto" w:fill="FFFFFF"/>
            <w:noWrap/>
            <w:vAlign w:val="center"/>
          </w:tcPr>
          <w:p w:rsidR="00FF4C10">
            <w:pPr>
              <w:jc w:val="center"/>
              <w:rPr>
                <w:rFonts w:ascii="宋体" w:hAnsi="宋体" w:cs="宋体"/>
              </w:rPr>
            </w:pPr>
            <w:r>
              <w:rPr>
                <w:rFonts w:ascii="宋体" w:hAnsi="宋体" w:cs="宋体" w:hint="eastAsia"/>
              </w:rPr>
              <w:t>2</w:t>
            </w:r>
          </w:p>
        </w:tc>
        <w:tc>
          <w:tcPr>
            <w:tcW w:w="3278" w:type="dxa"/>
            <w:tcBorders>
              <w:tl2br w:val="nil"/>
              <w:tr2bl w:val="nil"/>
            </w:tcBorders>
            <w:shd w:val="clear" w:color="auto" w:fill="FFFFFF"/>
            <w:noWrap/>
            <w:vAlign w:val="center"/>
          </w:tcPr>
          <w:p w:rsidR="00FF4C10">
            <w:pPr>
              <w:spacing w:line="360" w:lineRule="auto"/>
              <w:jc w:val="center"/>
              <w:rPr>
                <w:rFonts w:ascii="宋体" w:hAnsi="宋体" w:cs="宋体"/>
              </w:rPr>
            </w:pPr>
            <w:r>
              <w:rPr>
                <w:rFonts w:ascii="宋体" w:hAnsi="宋体" w:cs="宋体" w:hint="eastAsia"/>
              </w:rPr>
              <w:t>高清壁挂展台</w:t>
            </w:r>
          </w:p>
        </w:tc>
        <w:tc>
          <w:tcPr>
            <w:tcW w:w="3450" w:type="dxa"/>
            <w:tcBorders>
              <w:tl2br w:val="nil"/>
              <w:tr2bl w:val="nil"/>
            </w:tcBorders>
            <w:shd w:val="clear" w:color="auto" w:fill="FFFFFF"/>
            <w:noWrap/>
            <w:vAlign w:val="center"/>
          </w:tcPr>
          <w:p w:rsidR="00FF4C10">
            <w:pPr>
              <w:jc w:val="center"/>
              <w:rPr>
                <w:rFonts w:ascii="宋体" w:hAnsi="宋体" w:cs="宋体"/>
              </w:rPr>
            </w:pPr>
            <w:r>
              <w:rPr>
                <w:rFonts w:ascii="宋体" w:hAnsi="宋体" w:cs="宋体" w:hint="eastAsia"/>
              </w:rPr>
              <w:t>详细见招标参数</w:t>
            </w:r>
          </w:p>
        </w:tc>
        <w:tc>
          <w:tcPr>
            <w:tcW w:w="1092" w:type="dxa"/>
            <w:tcBorders>
              <w:tl2br w:val="nil"/>
              <w:tr2bl w:val="nil"/>
            </w:tcBorders>
            <w:shd w:val="clear" w:color="auto" w:fill="FFFFFF"/>
            <w:noWrap/>
            <w:vAlign w:val="center"/>
          </w:tcPr>
          <w:p w:rsidR="00FF4C10">
            <w:pPr>
              <w:jc w:val="center"/>
              <w:rPr>
                <w:rFonts w:ascii="宋体" w:hAnsi="宋体" w:cs="宋体"/>
              </w:rPr>
            </w:pPr>
            <w:r>
              <w:rPr>
                <w:rFonts w:ascii="宋体" w:hAnsi="宋体" w:cs="宋体" w:hint="eastAsia"/>
              </w:rPr>
              <w:t>18</w:t>
            </w:r>
          </w:p>
        </w:tc>
        <w:tc>
          <w:tcPr>
            <w:tcW w:w="997" w:type="dxa"/>
            <w:tcBorders>
              <w:tl2br w:val="nil"/>
              <w:tr2bl w:val="nil"/>
            </w:tcBorders>
            <w:shd w:val="clear" w:color="auto" w:fill="FFFFFF"/>
            <w:noWrap/>
            <w:vAlign w:val="center"/>
          </w:tcPr>
          <w:p w:rsidR="00FF4C10">
            <w:pPr>
              <w:jc w:val="center"/>
              <w:rPr>
                <w:rFonts w:ascii="宋体" w:hAnsi="宋体" w:cs="宋体"/>
              </w:rPr>
            </w:pPr>
            <w:r>
              <w:rPr>
                <w:rFonts w:ascii="宋体" w:hAnsi="宋体" w:cs="宋体" w:hint="eastAsia"/>
              </w:rPr>
              <w:t>台</w:t>
            </w:r>
          </w:p>
        </w:tc>
      </w:tr>
    </w:tbl>
    <w:p w:rsidR="00FF4C10">
      <w:pPr>
        <w:pStyle w:val="BodyText1I2"/>
        <w:rPr>
          <w:rFonts w:cs="宋体"/>
          <w:b/>
          <w:sz w:val="24"/>
        </w:rPr>
      </w:pPr>
    </w:p>
    <w:p w:rsidR="00FF4C10">
      <w:pPr>
        <w:pStyle w:val="BodyText1I2"/>
        <w:rPr>
          <w:rFonts w:cs="宋体"/>
          <w:b/>
          <w:sz w:val="24"/>
        </w:rPr>
      </w:pPr>
      <w:r>
        <w:rPr>
          <w:rFonts w:cs="宋体" w:hint="eastAsia"/>
          <w:b/>
          <w:sz w:val="24"/>
        </w:rPr>
        <w:t>二、详细招标参数</w:t>
      </w:r>
    </w:p>
    <w:tbl>
      <w:tblPr>
        <w:tblStyle w:val="TableNormal"/>
        <w:tblW w:w="96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1248"/>
        <w:gridCol w:w="7739"/>
      </w:tblGrid>
      <w:tr>
        <w:tblPrEx>
          <w:tblW w:w="96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jc w:val="center"/>
        </w:trPr>
        <w:tc>
          <w:tcPr>
            <w:tcW w:w="709" w:type="dxa"/>
            <w:tcBorders>
              <w:top w:val="single" w:sz="4" w:space="0" w:color="auto"/>
              <w:left w:val="single" w:sz="4" w:space="0" w:color="auto"/>
              <w:bottom w:val="single" w:sz="4" w:space="0" w:color="auto"/>
              <w:right w:val="single" w:sz="4" w:space="0" w:color="auto"/>
            </w:tcBorders>
            <w:vAlign w:val="center"/>
          </w:tcPr>
          <w:p w:rsidR="00FF4C10">
            <w:pPr>
              <w:spacing w:line="360" w:lineRule="auto"/>
              <w:jc w:val="center"/>
              <w:rPr>
                <w:rFonts w:ascii="宋体" w:hAnsi="宋体" w:cs="宋体"/>
                <w:b/>
              </w:rPr>
            </w:pPr>
            <w:r>
              <w:rPr>
                <w:rFonts w:ascii="宋体" w:hAnsi="宋体" w:cs="宋体" w:hint="eastAsia"/>
                <w:b/>
              </w:rPr>
              <w:t>序号</w:t>
            </w:r>
          </w:p>
        </w:tc>
        <w:tc>
          <w:tcPr>
            <w:tcW w:w="1248" w:type="dxa"/>
            <w:tcBorders>
              <w:top w:val="single" w:sz="4" w:space="0" w:color="auto"/>
              <w:left w:val="single" w:sz="4" w:space="0" w:color="auto"/>
              <w:bottom w:val="single" w:sz="4" w:space="0" w:color="auto"/>
              <w:right w:val="single" w:sz="4" w:space="0" w:color="auto"/>
            </w:tcBorders>
            <w:vAlign w:val="center"/>
          </w:tcPr>
          <w:p w:rsidR="00FF4C10">
            <w:pPr>
              <w:spacing w:line="360" w:lineRule="auto"/>
              <w:jc w:val="center"/>
              <w:rPr>
                <w:rFonts w:ascii="宋体" w:hAnsi="宋体" w:cs="宋体"/>
                <w:b/>
              </w:rPr>
            </w:pPr>
            <w:r>
              <w:rPr>
                <w:rFonts w:ascii="宋体" w:hAnsi="宋体" w:cs="宋体" w:hint="eastAsia"/>
                <w:b/>
              </w:rPr>
              <w:t>货物名称</w:t>
            </w:r>
          </w:p>
        </w:tc>
        <w:tc>
          <w:tcPr>
            <w:tcW w:w="7739" w:type="dxa"/>
            <w:tcBorders>
              <w:top w:val="single" w:sz="4" w:space="0" w:color="auto"/>
              <w:left w:val="single" w:sz="4" w:space="0" w:color="auto"/>
              <w:bottom w:val="single" w:sz="4" w:space="0" w:color="auto"/>
              <w:right w:val="single" w:sz="4" w:space="0" w:color="auto"/>
            </w:tcBorders>
            <w:vAlign w:val="center"/>
          </w:tcPr>
          <w:p w:rsidR="00FF4C10">
            <w:pPr>
              <w:pStyle w:val="NewNewNewNew"/>
              <w:jc w:val="center"/>
              <w:rPr>
                <w:rFonts w:ascii="宋体" w:hAnsi="宋体" w:cs="宋体"/>
                <w:kern w:val="2"/>
                <w:sz w:val="18"/>
                <w:szCs w:val="18"/>
              </w:rPr>
            </w:pPr>
            <w:r>
              <w:rPr>
                <w:rFonts w:ascii="宋体" w:hAnsi="宋体" w:cs="宋体" w:hint="eastAsia"/>
                <w:b/>
                <w:sz w:val="20"/>
                <w:szCs w:val="20"/>
              </w:rPr>
              <w:t>技术要求</w:t>
            </w:r>
          </w:p>
        </w:tc>
      </w:tr>
      <w:tr>
        <w:tblPrEx>
          <w:tblW w:w="9696" w:type="dxa"/>
          <w:jc w:val="center"/>
          <w:tblLayout w:type="fixed"/>
          <w:tblLook w:val="04A0"/>
        </w:tblPrEx>
        <w:trPr>
          <w:trHeight w:val="558"/>
          <w:jc w:val="center"/>
        </w:trPr>
        <w:tc>
          <w:tcPr>
            <w:tcW w:w="709" w:type="dxa"/>
            <w:tcBorders>
              <w:top w:val="single" w:sz="4" w:space="0" w:color="auto"/>
              <w:left w:val="single" w:sz="4" w:space="0" w:color="auto"/>
              <w:bottom w:val="single" w:sz="4" w:space="0" w:color="auto"/>
              <w:right w:val="single" w:sz="4" w:space="0" w:color="auto"/>
            </w:tcBorders>
            <w:vAlign w:val="center"/>
          </w:tcPr>
          <w:p w:rsidR="00FF4C10">
            <w:pPr>
              <w:spacing w:line="360" w:lineRule="auto"/>
              <w:jc w:val="center"/>
              <w:rPr>
                <w:rFonts w:ascii="宋体" w:hAnsi="宋体" w:cs="宋体"/>
                <w:b/>
              </w:rPr>
            </w:pPr>
            <w:r>
              <w:rPr>
                <w:rFonts w:ascii="宋体" w:hAnsi="宋体" w:cs="宋体" w:hint="eastAsia"/>
                <w:b/>
              </w:rPr>
              <w:t>1</w:t>
            </w:r>
          </w:p>
        </w:tc>
        <w:tc>
          <w:tcPr>
            <w:tcW w:w="1248" w:type="dxa"/>
            <w:tcBorders>
              <w:top w:val="single" w:sz="4" w:space="0" w:color="auto"/>
              <w:left w:val="single" w:sz="4" w:space="0" w:color="auto"/>
              <w:bottom w:val="single" w:sz="4" w:space="0" w:color="auto"/>
              <w:right w:val="single" w:sz="4" w:space="0" w:color="auto"/>
            </w:tcBorders>
            <w:vAlign w:val="center"/>
          </w:tcPr>
          <w:p w:rsidR="00FF4C10">
            <w:pPr>
              <w:spacing w:line="360" w:lineRule="auto"/>
              <w:jc w:val="center"/>
              <w:rPr>
                <w:rFonts w:ascii="宋体" w:hAnsi="宋体" w:cs="宋体"/>
                <w:b/>
              </w:rPr>
            </w:pPr>
            <w:r>
              <w:rPr>
                <w:rFonts w:ascii="宋体" w:hAnsi="宋体" w:cs="宋体" w:hint="eastAsia"/>
                <w:b/>
              </w:rPr>
              <w:t>86英寸交互智能平板</w:t>
            </w:r>
          </w:p>
          <w:p w:rsidR="00FF4C10">
            <w:pPr>
              <w:spacing w:line="360" w:lineRule="auto"/>
              <w:jc w:val="center"/>
              <w:rPr>
                <w:rFonts w:ascii="宋体" w:hAnsi="宋体" w:cs="宋体"/>
                <w:b/>
              </w:rPr>
            </w:pPr>
          </w:p>
        </w:tc>
        <w:tc>
          <w:tcPr>
            <w:tcW w:w="7739" w:type="dxa"/>
            <w:tcBorders>
              <w:top w:val="single" w:sz="4" w:space="0" w:color="auto"/>
              <w:left w:val="single" w:sz="4" w:space="0" w:color="auto"/>
              <w:bottom w:val="single" w:sz="4" w:space="0" w:color="auto"/>
              <w:right w:val="single" w:sz="4" w:space="0" w:color="auto"/>
            </w:tcBorders>
            <w:vAlign w:val="center"/>
          </w:tcPr>
          <w:p w:rsidR="00FF4C10">
            <w:pPr>
              <w:pStyle w:val="NewNewNewNew"/>
              <w:rPr>
                <w:rFonts w:ascii="宋体" w:hAnsi="宋体" w:cs="宋体"/>
                <w:b/>
                <w:bCs/>
                <w:kern w:val="2"/>
                <w:sz w:val="24"/>
              </w:rPr>
            </w:pPr>
            <w:r>
              <w:rPr>
                <w:rFonts w:ascii="宋体" w:hAnsi="宋体" w:cs="宋体" w:hint="eastAsia"/>
                <w:b/>
                <w:bCs/>
                <w:kern w:val="2"/>
                <w:sz w:val="24"/>
              </w:rPr>
              <w:t>一、整体设计</w:t>
            </w:r>
          </w:p>
          <w:p w:rsidR="00FF4C10">
            <w:pPr>
              <w:pStyle w:val="NewNewNewNew"/>
              <w:rPr>
                <w:rFonts w:ascii="宋体" w:hAnsi="宋体" w:cs="宋体"/>
                <w:kern w:val="2"/>
                <w:sz w:val="18"/>
                <w:szCs w:val="18"/>
              </w:rPr>
            </w:pPr>
            <w:r>
              <w:rPr>
                <w:rFonts w:ascii="宋体" w:hAnsi="宋体" w:cs="宋体" w:hint="eastAsia"/>
                <w:kern w:val="2"/>
                <w:sz w:val="18"/>
                <w:szCs w:val="18"/>
              </w:rPr>
              <w:t>1、整机采用一体化设计，外部无任何可见内部功能模块连接线。整机采用全金属外壳设计，边角采用弧形设计，表面无尖锐边缘或凸起。</w:t>
            </w:r>
          </w:p>
          <w:p w:rsidR="00FF4C10">
            <w:pPr>
              <w:pStyle w:val="NewNewNewNew"/>
              <w:rPr>
                <w:rFonts w:ascii="宋体" w:hAnsi="宋体" w:cs="宋体"/>
                <w:kern w:val="2"/>
                <w:sz w:val="18"/>
                <w:szCs w:val="18"/>
              </w:rPr>
            </w:pPr>
            <w:r>
              <w:rPr>
                <w:rFonts w:ascii="宋体" w:hAnsi="宋体" w:cs="宋体" w:hint="eastAsia"/>
                <w:kern w:val="2"/>
                <w:sz w:val="18"/>
                <w:szCs w:val="18"/>
              </w:rPr>
              <w:t>2、整机屏幕边缘采用金属圆角包边防护，整机背板采用金属材质，有效屏蔽内部电路器件辐射；防潮耐盐雾蚀锈，适应多种教学环境。</w:t>
            </w:r>
          </w:p>
          <w:p w:rsidR="00FF4C10">
            <w:pPr>
              <w:pStyle w:val="NewNewNewNew"/>
              <w:rPr>
                <w:rFonts w:ascii="宋体" w:hAnsi="宋体" w:cs="宋体"/>
                <w:kern w:val="2"/>
                <w:sz w:val="18"/>
                <w:szCs w:val="18"/>
              </w:rPr>
            </w:pPr>
            <w:r>
              <w:rPr>
                <w:rFonts w:ascii="宋体" w:hAnsi="宋体" w:cs="宋体" w:hint="eastAsia"/>
                <w:kern w:val="2"/>
                <w:sz w:val="18"/>
                <w:szCs w:val="18"/>
              </w:rPr>
              <w:t>★3、整机屏幕采用86英寸液晶显示器（需提供检测报告或厂家产品说明或其他官方证明文件加盖单位公章）。</w:t>
            </w:r>
          </w:p>
          <w:p w:rsidR="00FF4C10">
            <w:pPr>
              <w:pStyle w:val="NewNewNewNew"/>
              <w:rPr>
                <w:rFonts w:ascii="宋体" w:hAnsi="宋体" w:cs="宋体"/>
                <w:kern w:val="2"/>
                <w:sz w:val="18"/>
                <w:szCs w:val="18"/>
              </w:rPr>
            </w:pPr>
            <w:r>
              <w:rPr>
                <w:rFonts w:ascii="宋体" w:hAnsi="宋体" w:cs="宋体" w:hint="eastAsia"/>
                <w:kern w:val="2"/>
                <w:sz w:val="18"/>
                <w:szCs w:val="18"/>
              </w:rPr>
              <w:t>4、整机采用UHD超高清LED液晶屏，显示比例16:9，分辨率3840*2160。</w:t>
            </w:r>
          </w:p>
          <w:p w:rsidR="00FF4C10">
            <w:pPr>
              <w:pStyle w:val="NewNewNewNew"/>
              <w:rPr>
                <w:rFonts w:ascii="宋体" w:hAnsi="宋体" w:cs="宋体"/>
                <w:kern w:val="2"/>
                <w:sz w:val="18"/>
                <w:szCs w:val="18"/>
              </w:rPr>
            </w:pPr>
            <w:r>
              <w:rPr>
                <w:rFonts w:ascii="宋体" w:hAnsi="宋体" w:cs="宋体" w:hint="eastAsia"/>
                <w:kern w:val="2"/>
                <w:sz w:val="18"/>
                <w:szCs w:val="18"/>
              </w:rPr>
              <w:t>5、灰度等级≥256级。</w:t>
            </w:r>
          </w:p>
          <w:p w:rsidR="00FF4C10">
            <w:pPr>
              <w:pStyle w:val="NewNewNewNew"/>
              <w:rPr>
                <w:rFonts w:ascii="宋体" w:hAnsi="宋体" w:cs="宋体"/>
                <w:kern w:val="2"/>
                <w:sz w:val="18"/>
                <w:szCs w:val="18"/>
              </w:rPr>
            </w:pPr>
            <w:r>
              <w:rPr>
                <w:rFonts w:ascii="宋体" w:hAnsi="宋体" w:cs="宋体" w:hint="eastAsia"/>
                <w:kern w:val="2"/>
                <w:sz w:val="18"/>
                <w:szCs w:val="18"/>
              </w:rPr>
              <w:t>6、触控一体机表面使用钢化玻璃，表面硬度达到9H，接近钻石硬度，有效保护教师及学生授课安全。</w:t>
            </w:r>
          </w:p>
          <w:p w:rsidR="00FF4C10">
            <w:pPr>
              <w:pStyle w:val="NewNewNewNew"/>
              <w:rPr>
                <w:rFonts w:ascii="宋体" w:hAnsi="宋体" w:cs="宋体"/>
                <w:kern w:val="2"/>
                <w:sz w:val="18"/>
                <w:szCs w:val="18"/>
              </w:rPr>
            </w:pPr>
            <w:r>
              <w:rPr>
                <w:rFonts w:ascii="宋体" w:hAnsi="宋体" w:cs="宋体" w:hint="eastAsia"/>
                <w:kern w:val="2"/>
                <w:sz w:val="18"/>
                <w:szCs w:val="18"/>
              </w:rPr>
              <w:t>7、玻璃表面采用纳米材料镀膜环保工艺，书写更加顺滑，防眩光效果更加优异。</w:t>
            </w:r>
          </w:p>
          <w:p w:rsidR="00FF4C10">
            <w:pPr>
              <w:pStyle w:val="NewNewNewNew"/>
              <w:rPr>
                <w:rFonts w:ascii="宋体" w:hAnsi="宋体" w:cs="宋体"/>
                <w:kern w:val="2"/>
                <w:sz w:val="18"/>
                <w:szCs w:val="18"/>
              </w:rPr>
            </w:pPr>
            <w:r>
              <w:rPr>
                <w:rFonts w:ascii="宋体" w:hAnsi="宋体" w:cs="宋体" w:hint="eastAsia"/>
                <w:kern w:val="2"/>
                <w:sz w:val="18"/>
                <w:szCs w:val="18"/>
              </w:rPr>
              <w:t>8、整机采用硬件低蓝光背光技术，还原真实教学色彩的同时有效降低蓝光同时保护教师。</w:t>
            </w:r>
          </w:p>
          <w:p w:rsidR="00FF4C10">
            <w:pPr>
              <w:pStyle w:val="NewNewNewNew"/>
              <w:rPr>
                <w:rFonts w:ascii="宋体" w:hAnsi="宋体" w:cs="宋体"/>
                <w:b/>
                <w:bCs/>
                <w:kern w:val="2"/>
                <w:sz w:val="24"/>
              </w:rPr>
            </w:pPr>
            <w:r>
              <w:rPr>
                <w:rFonts w:ascii="宋体" w:hAnsi="宋体" w:cs="宋体" w:hint="eastAsia"/>
                <w:b/>
                <w:bCs/>
                <w:kern w:val="2"/>
                <w:sz w:val="24"/>
              </w:rPr>
              <w:t>二、硬件设计</w:t>
            </w:r>
          </w:p>
          <w:p w:rsidR="00FF4C10">
            <w:pPr>
              <w:pStyle w:val="NewNewNewNew"/>
              <w:rPr>
                <w:rFonts w:ascii="宋体" w:hAnsi="宋体" w:cs="宋体"/>
                <w:kern w:val="2"/>
                <w:sz w:val="18"/>
                <w:szCs w:val="18"/>
              </w:rPr>
            </w:pPr>
            <w:r>
              <w:rPr>
                <w:rFonts w:ascii="宋体" w:hAnsi="宋体" w:cs="宋体" w:hint="eastAsia"/>
                <w:kern w:val="2"/>
                <w:sz w:val="18"/>
                <w:szCs w:val="18"/>
              </w:rPr>
              <w:t>1、整机内置音箱顶置朝前发声，2.2声道扬声器，额定总功率60W。</w:t>
            </w:r>
          </w:p>
          <w:p w:rsidR="00FF4C10">
            <w:pPr>
              <w:pStyle w:val="NewNewNewNew"/>
              <w:rPr>
                <w:rFonts w:ascii="宋体" w:hAnsi="宋体" w:cs="宋体"/>
                <w:kern w:val="2"/>
                <w:sz w:val="18"/>
                <w:szCs w:val="18"/>
              </w:rPr>
            </w:pPr>
            <w:r>
              <w:rPr>
                <w:rFonts w:ascii="宋体" w:hAnsi="宋体" w:cs="宋体" w:hint="eastAsia"/>
                <w:kern w:val="2"/>
                <w:sz w:val="18"/>
                <w:szCs w:val="18"/>
              </w:rPr>
              <w:t>2、整机支持高级音效设置、左右声道平衡、可根据实际需要设置不同频段调节功能，以满足不同课程授课声音还原需求。</w:t>
            </w:r>
          </w:p>
          <w:p w:rsidR="00FF4C10">
            <w:pPr>
              <w:pStyle w:val="NewNewNewNew"/>
              <w:rPr>
                <w:rFonts w:ascii="宋体" w:hAnsi="宋体" w:cs="宋体"/>
                <w:kern w:val="2"/>
                <w:sz w:val="18"/>
                <w:szCs w:val="18"/>
              </w:rPr>
            </w:pPr>
            <w:r>
              <w:rPr>
                <w:rFonts w:ascii="宋体" w:hAnsi="宋体" w:cs="宋体" w:hint="eastAsia"/>
                <w:kern w:val="2"/>
                <w:sz w:val="18"/>
                <w:szCs w:val="18"/>
              </w:rPr>
              <w:t>3、整机内置非独立外扩展的4阵列麦克风，可用于对教室环境音频进行采集，拾音距离≥12m。</w:t>
            </w:r>
          </w:p>
          <w:p w:rsidR="00FF4C10">
            <w:pPr>
              <w:pStyle w:val="NewNewNewNew"/>
              <w:rPr>
                <w:rFonts w:ascii="宋体" w:hAnsi="宋体" w:cs="宋体"/>
                <w:kern w:val="2"/>
                <w:sz w:val="18"/>
                <w:szCs w:val="18"/>
              </w:rPr>
            </w:pPr>
            <w:r>
              <w:rPr>
                <w:rFonts w:ascii="宋体" w:hAnsi="宋体" w:cs="宋体" w:hint="eastAsia"/>
                <w:kern w:val="2"/>
                <w:sz w:val="18"/>
                <w:szCs w:val="18"/>
              </w:rPr>
              <w:t>5、整机无需外接无线网卡，在Windows系统下可实现Wi-Fi无线上网连接、AP无线热点发射和BT蓝牙连接功能。</w:t>
            </w:r>
          </w:p>
          <w:p w:rsidR="00FF4C10">
            <w:pPr>
              <w:pStyle w:val="NewNewNewNew"/>
              <w:rPr>
                <w:rFonts w:ascii="宋体" w:hAnsi="宋体" w:cs="宋体"/>
                <w:kern w:val="2"/>
                <w:sz w:val="18"/>
                <w:szCs w:val="18"/>
              </w:rPr>
            </w:pPr>
            <w:r>
              <w:rPr>
                <w:rFonts w:ascii="宋体" w:hAnsi="宋体" w:cs="宋体" w:hint="eastAsia"/>
                <w:kern w:val="2"/>
                <w:sz w:val="18"/>
                <w:szCs w:val="18"/>
              </w:rPr>
              <w:t>6、Wi-Fi和AP热点工作距离≥12m。</w:t>
            </w:r>
          </w:p>
          <w:p w:rsidR="00FF4C10">
            <w:pPr>
              <w:pStyle w:val="NewNewNewNew"/>
              <w:rPr>
                <w:rFonts w:ascii="宋体" w:hAnsi="宋体" w:cs="宋体"/>
                <w:kern w:val="2"/>
                <w:sz w:val="18"/>
                <w:szCs w:val="18"/>
              </w:rPr>
            </w:pPr>
            <w:r>
              <w:rPr>
                <w:rFonts w:ascii="宋体" w:hAnsi="宋体" w:cs="宋体" w:hint="eastAsia"/>
                <w:kern w:val="2"/>
                <w:sz w:val="18"/>
                <w:szCs w:val="18"/>
              </w:rPr>
              <w:t>7、触控一体机支持NFC投屏功能：可搭配具有NFC功能的手机、平板，无需通过软件手机或平板可投屏至一体机，支持至少4台同步显示和连接。</w:t>
            </w:r>
          </w:p>
          <w:p w:rsidR="00FF4C10">
            <w:pPr>
              <w:pStyle w:val="NewNewNewNew"/>
              <w:rPr>
                <w:rFonts w:ascii="宋体" w:hAnsi="宋体" w:cs="宋体"/>
                <w:kern w:val="2"/>
                <w:sz w:val="18"/>
                <w:szCs w:val="18"/>
              </w:rPr>
            </w:pPr>
            <w:r>
              <w:rPr>
                <w:rFonts w:ascii="宋体" w:hAnsi="宋体" w:cs="宋体" w:hint="eastAsia"/>
                <w:kern w:val="2"/>
                <w:sz w:val="18"/>
                <w:szCs w:val="18"/>
              </w:rPr>
              <w:t>8、整机支持蓝牙Bluetooth 5.2标准。</w:t>
            </w:r>
          </w:p>
          <w:p w:rsidR="00FF4C10">
            <w:pPr>
              <w:pStyle w:val="NewNewNewNew"/>
              <w:rPr>
                <w:rFonts w:ascii="宋体" w:hAnsi="宋体" w:cs="宋体"/>
                <w:kern w:val="2"/>
                <w:sz w:val="18"/>
                <w:szCs w:val="18"/>
              </w:rPr>
            </w:pPr>
            <w:r>
              <w:rPr>
                <w:rFonts w:ascii="宋体" w:hAnsi="宋体" w:cs="宋体" w:hint="eastAsia"/>
                <w:kern w:val="2"/>
                <w:sz w:val="18"/>
                <w:szCs w:val="18"/>
              </w:rPr>
              <w:t>9、整机无需外接无线网卡，在Windows系统下接入无线网络，切换到嵌入式Android系统下可直接实现无线上网功能，不需手动重复设置。</w:t>
            </w:r>
          </w:p>
          <w:p w:rsidR="00FF4C10">
            <w:pPr>
              <w:pStyle w:val="NewNewNewNew"/>
              <w:rPr>
                <w:rFonts w:ascii="宋体" w:hAnsi="宋体" w:cs="宋体"/>
                <w:kern w:val="2"/>
                <w:sz w:val="18"/>
                <w:szCs w:val="18"/>
              </w:rPr>
            </w:pPr>
            <w:r>
              <w:rPr>
                <w:rFonts w:ascii="宋体" w:hAnsi="宋体" w:cs="宋体" w:hint="eastAsia"/>
                <w:kern w:val="2"/>
                <w:sz w:val="18"/>
                <w:szCs w:val="18"/>
              </w:rPr>
              <w:t>10、为提升传输速率和降低能耗，整机支持Wi-Fi6；Wi-Fi及AP热点支持频段2.4GHz/5GHz</w:t>
            </w:r>
          </w:p>
          <w:p w:rsidR="00FF4C10">
            <w:pPr>
              <w:pStyle w:val="NewNewNewNew"/>
              <w:rPr>
                <w:rFonts w:ascii="宋体" w:hAnsi="宋体" w:cs="宋体"/>
                <w:kern w:val="2"/>
                <w:sz w:val="18"/>
                <w:szCs w:val="18"/>
              </w:rPr>
            </w:pPr>
            <w:r>
              <w:rPr>
                <w:rFonts w:ascii="宋体" w:hAnsi="宋体" w:cs="宋体" w:hint="eastAsia"/>
                <w:kern w:val="2"/>
                <w:sz w:val="18"/>
                <w:szCs w:val="18"/>
              </w:rPr>
              <w:t>11、同一电源物理按键完成开机、节能熄屏、关机操作。</w:t>
            </w:r>
          </w:p>
          <w:p w:rsidR="00FF4C10">
            <w:pPr>
              <w:pStyle w:val="NewNewNewNew"/>
              <w:rPr>
                <w:rFonts w:ascii="宋体" w:hAnsi="宋体" w:cs="宋体"/>
                <w:kern w:val="2"/>
                <w:sz w:val="18"/>
                <w:szCs w:val="18"/>
              </w:rPr>
            </w:pPr>
            <w:r>
              <w:rPr>
                <w:rFonts w:ascii="宋体" w:hAnsi="宋体" w:cs="宋体" w:hint="eastAsia"/>
                <w:kern w:val="2"/>
                <w:sz w:val="18"/>
                <w:szCs w:val="18"/>
              </w:rPr>
              <w:t>12、整机具备前置按键，可实现老师开关机、调出中控菜单、音量+/-、护眼、录屏的操作。</w:t>
            </w:r>
          </w:p>
          <w:p w:rsidR="00FF4C10">
            <w:pPr>
              <w:pStyle w:val="NewNewNewNew"/>
              <w:rPr>
                <w:rFonts w:ascii="宋体" w:hAnsi="宋体" w:cs="宋体"/>
                <w:kern w:val="2"/>
                <w:sz w:val="18"/>
                <w:szCs w:val="18"/>
              </w:rPr>
            </w:pPr>
            <w:r>
              <w:rPr>
                <w:rFonts w:ascii="宋体" w:hAnsi="宋体" w:cs="宋体" w:hint="eastAsia"/>
                <w:kern w:val="2"/>
                <w:sz w:val="18"/>
                <w:szCs w:val="18"/>
              </w:rPr>
              <w:t>13、支持护眼模式，可通过前置面板物理功能按键一键启用护眼模式。</w:t>
            </w:r>
          </w:p>
          <w:p w:rsidR="00FF4C10">
            <w:pPr>
              <w:pStyle w:val="NewNewNewNew"/>
              <w:rPr>
                <w:rFonts w:ascii="宋体" w:hAnsi="宋体" w:cs="宋体"/>
                <w:kern w:val="2"/>
                <w:sz w:val="18"/>
                <w:szCs w:val="18"/>
              </w:rPr>
            </w:pPr>
            <w:r>
              <w:rPr>
                <w:rFonts w:ascii="宋体" w:hAnsi="宋体" w:cs="宋体" w:hint="eastAsia"/>
                <w:kern w:val="2"/>
                <w:sz w:val="18"/>
                <w:szCs w:val="18"/>
              </w:rPr>
              <w:t>14、支持录课模式，可通过前置面板物理功能按键一键启用录课模式（屏幕及人声需同步采集）。</w:t>
            </w:r>
          </w:p>
          <w:p w:rsidR="00FF4C10">
            <w:pPr>
              <w:pStyle w:val="NewNewNewNew"/>
              <w:rPr>
                <w:rFonts w:ascii="宋体" w:hAnsi="宋体" w:cs="宋体"/>
                <w:kern w:val="2"/>
                <w:sz w:val="18"/>
                <w:szCs w:val="18"/>
              </w:rPr>
            </w:pPr>
            <w:r>
              <w:rPr>
                <w:rFonts w:ascii="宋体" w:hAnsi="宋体" w:cs="宋体" w:hint="eastAsia"/>
                <w:kern w:val="2"/>
                <w:sz w:val="18"/>
                <w:szCs w:val="18"/>
              </w:rPr>
              <w:t>15、侧置输入接口具备2路HDMI、1路RS232；侧置输出接口具备1路音频、1路触控USB；前置输入接口3路USB接口（包含1路Type-C、2路USB）。</w:t>
            </w:r>
          </w:p>
          <w:p w:rsidR="00FF4C10">
            <w:pPr>
              <w:pStyle w:val="NewNewNewNew"/>
              <w:rPr>
                <w:rFonts w:ascii="宋体" w:hAnsi="宋体" w:cs="宋体"/>
                <w:kern w:val="2"/>
                <w:sz w:val="18"/>
                <w:szCs w:val="18"/>
              </w:rPr>
            </w:pPr>
            <w:r>
              <w:rPr>
                <w:rFonts w:ascii="宋体" w:hAnsi="宋体" w:cs="宋体" w:hint="eastAsia"/>
                <w:kern w:val="2"/>
                <w:sz w:val="18"/>
                <w:szCs w:val="18"/>
              </w:rPr>
              <w:t>16、整机具备前置Type-C接口，通过Type-C接口可实现与外部电脑的触摸信号及音视频输入。</w:t>
            </w:r>
          </w:p>
        </w:tc>
      </w:tr>
    </w:tbl>
    <w:p>
      <w:pPr>
        <w:sectPr>
          <w:headerReference w:type="default" r:id="rId33"/>
          <w:footerReference w:type="default" r:id="rId34"/>
          <w:type w:val="nextPage"/>
          <w:pgSz w:w="11906" w:h="16838"/>
          <w:pgMar w:top="1417" w:right="1134" w:bottom="1417" w:left="1134" w:header="851" w:footer="618" w:gutter="0"/>
          <w:pgNumType w:start="17"/>
          <w:cols w:space="720"/>
          <w:titlePg w:val="0"/>
          <w:docGrid w:type="lines" w:linePitch="321"/>
        </w:sectPr>
      </w:pPr>
    </w:p>
    <w:tbl>
      <w:tblPr>
        <w:tblStyle w:val="TableNormal"/>
        <w:tblW w:w="96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1248"/>
        <w:gridCol w:w="7739"/>
      </w:tblGrid>
      <w:tr>
        <w:tblPrEx>
          <w:tblW w:w="96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58"/>
          <w:jc w:val="center"/>
        </w:trPr>
        <w:tc>
          <w:tcPr>
            <w:tcW w:w="709" w:type="dxa"/>
            <w:tcBorders>
              <w:top w:val="single" w:sz="4" w:space="0" w:color="auto"/>
              <w:left w:val="single" w:sz="4" w:space="0" w:color="auto"/>
              <w:bottom w:val="single" w:sz="4" w:space="0" w:color="auto"/>
              <w:right w:val="single" w:sz="4" w:space="0" w:color="auto"/>
            </w:tcBorders>
            <w:vAlign w:val="center"/>
          </w:tcPr>
          <w:p/>
        </w:tc>
        <w:tc>
          <w:tcPr>
            <w:tcW w:w="1248" w:type="dxa"/>
            <w:tcBorders>
              <w:top w:val="single" w:sz="4" w:space="0" w:color="auto"/>
              <w:left w:val="single" w:sz="4" w:space="0" w:color="auto"/>
              <w:bottom w:val="single" w:sz="4" w:space="0" w:color="auto"/>
              <w:right w:val="single" w:sz="4" w:space="0" w:color="auto"/>
            </w:tcBorders>
            <w:vAlign w:val="center"/>
          </w:tcPr>
          <w:p/>
        </w:tc>
        <w:tc>
          <w:tcPr>
            <w:tcW w:w="7739" w:type="dxa"/>
            <w:tcBorders>
              <w:top w:val="single" w:sz="4" w:space="0" w:color="auto"/>
              <w:left w:val="single" w:sz="4" w:space="0" w:color="auto"/>
              <w:bottom w:val="single" w:sz="4" w:space="0" w:color="auto"/>
              <w:right w:val="single" w:sz="4" w:space="0" w:color="auto"/>
            </w:tcBorders>
            <w:vAlign w:val="center"/>
          </w:tcPr>
          <w:p w:rsidR="00FF4C10">
            <w:pPr>
              <w:pStyle w:val="NewNewNewNew"/>
              <w:rPr>
                <w:rFonts w:ascii="宋体" w:hAnsi="宋体" w:cs="宋体"/>
                <w:kern w:val="2"/>
                <w:sz w:val="18"/>
                <w:szCs w:val="18"/>
              </w:rPr>
            </w:pPr>
            <w:r>
              <w:rPr>
                <w:rFonts w:ascii="宋体" w:hAnsi="宋体" w:cs="宋体" w:hint="eastAsia"/>
                <w:kern w:val="2"/>
                <w:sz w:val="18"/>
                <w:szCs w:val="18"/>
              </w:rPr>
              <w:t>22、整机具备抗振动、防跌落特性，保证整机运输或使用过程中不易受损。</w:t>
            </w:r>
          </w:p>
          <w:p w:rsidR="00FF4C10">
            <w:pPr>
              <w:pStyle w:val="NewNewNewNew"/>
              <w:rPr>
                <w:rFonts w:ascii="宋体" w:hAnsi="宋体" w:cs="宋体"/>
                <w:kern w:val="2"/>
                <w:sz w:val="18"/>
                <w:szCs w:val="18"/>
              </w:rPr>
            </w:pPr>
            <w:r>
              <w:rPr>
                <w:rFonts w:ascii="宋体" w:hAnsi="宋体" w:cs="宋体" w:hint="eastAsia"/>
                <w:kern w:val="2"/>
                <w:sz w:val="18"/>
                <w:szCs w:val="18"/>
              </w:rPr>
              <w:t>24、整机书写面板采用防眩光全钢化防爆玻璃面板，面板的碎片状态、抗冲击性、霰弹袋冲击性能、耐热冲击性能均通过国家强制玻璃标准，表面应力≥100Mpa,适应学校复杂环境，保障教学安全。</w:t>
            </w:r>
          </w:p>
          <w:p w:rsidR="00FF4C10">
            <w:pPr>
              <w:pStyle w:val="NewNewNewNew"/>
              <w:rPr>
                <w:rFonts w:ascii="宋体" w:hAnsi="宋体" w:cs="宋体"/>
                <w:kern w:val="2"/>
                <w:sz w:val="18"/>
                <w:szCs w:val="18"/>
              </w:rPr>
            </w:pPr>
            <w:r>
              <w:rPr>
                <w:rFonts w:ascii="宋体" w:hAnsi="宋体" w:cs="宋体" w:hint="eastAsia"/>
                <w:kern w:val="2"/>
                <w:sz w:val="18"/>
                <w:szCs w:val="18"/>
              </w:rPr>
              <w:t>25、整机可做到高色准△E≤1.5，还原真实教学色彩。</w:t>
            </w:r>
          </w:p>
          <w:p w:rsidR="00FF4C10">
            <w:pPr>
              <w:pStyle w:val="NewNewNewNew"/>
              <w:rPr>
                <w:rFonts w:ascii="宋体" w:hAnsi="宋体" w:cs="宋体"/>
                <w:kern w:val="2"/>
                <w:sz w:val="18"/>
                <w:szCs w:val="18"/>
              </w:rPr>
            </w:pPr>
            <w:r>
              <w:rPr>
                <w:rFonts w:ascii="宋体" w:hAnsi="宋体" w:cs="宋体" w:hint="eastAsia"/>
                <w:kern w:val="2"/>
                <w:sz w:val="18"/>
                <w:szCs w:val="18"/>
              </w:rPr>
              <w:t>27、整机支持透明度、色温调节及阅读模式的调节，为保证观看文字类教学资源有更好的视觉体验，提高观看舒适度，可通过切换纸质模型或其他方式实现显示内容的纹理实时调整，包括但不限于水纹纸、牛皮纸、宣纸、素描纸等多种纸类</w:t>
            </w:r>
          </w:p>
          <w:p w:rsidR="00FF4C10">
            <w:pPr>
              <w:pStyle w:val="NewNewNewNew"/>
              <w:rPr>
                <w:rFonts w:ascii="宋体" w:hAnsi="宋体" w:cs="宋体"/>
                <w:kern w:val="2"/>
                <w:sz w:val="18"/>
                <w:szCs w:val="18"/>
              </w:rPr>
            </w:pPr>
            <w:r>
              <w:rPr>
                <w:rFonts w:ascii="宋体" w:hAnsi="宋体" w:cs="宋体" w:hint="eastAsia"/>
                <w:kern w:val="2"/>
                <w:sz w:val="18"/>
                <w:szCs w:val="18"/>
              </w:rPr>
              <w:t>29、前置 USB 接口具备防撞挡板设计。</w:t>
            </w:r>
          </w:p>
          <w:p w:rsidR="00FF4C10">
            <w:pPr>
              <w:pStyle w:val="NewNewNewNew"/>
              <w:rPr>
                <w:rFonts w:ascii="宋体" w:hAnsi="宋体" w:cs="宋体"/>
                <w:kern w:val="2"/>
                <w:sz w:val="18"/>
                <w:szCs w:val="18"/>
              </w:rPr>
            </w:pPr>
            <w:r>
              <w:rPr>
                <w:rFonts w:ascii="宋体" w:hAnsi="宋体" w:cs="宋体" w:hint="eastAsia"/>
                <w:kern w:val="2"/>
                <w:sz w:val="18"/>
                <w:szCs w:val="18"/>
              </w:rPr>
              <w:t>30、设备需提供自定义功能按键，可通过自定义按键实现通过前置面板按键一键启用多功能，包括但不限于护眼、录屏、批注、截屏、计时、降半屏、放大镜、倒数日、日历等功能，快速帮助教师实现功能切换。</w:t>
            </w:r>
          </w:p>
          <w:p w:rsidR="00FF4C10">
            <w:pPr>
              <w:pStyle w:val="NewNewNewNew"/>
              <w:rPr>
                <w:rFonts w:ascii="宋体" w:hAnsi="宋体" w:cs="宋体"/>
                <w:kern w:val="2"/>
                <w:sz w:val="18"/>
                <w:szCs w:val="18"/>
              </w:rPr>
            </w:pPr>
            <w:r>
              <w:rPr>
                <w:rFonts w:ascii="宋体" w:hAnsi="宋体" w:cs="宋体" w:hint="eastAsia"/>
                <w:kern w:val="2"/>
                <w:sz w:val="18"/>
                <w:szCs w:val="18"/>
              </w:rPr>
              <w:t>31、整机内置摄像头（非外扩），PC通道下支持通过视频展台软件调用摄像头进行二维码扫码识别。</w:t>
            </w:r>
          </w:p>
          <w:p w:rsidR="00FF4C10">
            <w:pPr>
              <w:pStyle w:val="NewNewNewNew"/>
              <w:rPr>
                <w:rFonts w:ascii="宋体" w:hAnsi="宋体" w:cs="宋体"/>
                <w:kern w:val="2"/>
                <w:sz w:val="18"/>
                <w:szCs w:val="18"/>
              </w:rPr>
            </w:pPr>
            <w:r>
              <w:rPr>
                <w:rFonts w:ascii="宋体" w:hAnsi="宋体" w:cs="宋体" w:hint="eastAsia"/>
                <w:kern w:val="2"/>
                <w:sz w:val="18"/>
                <w:szCs w:val="18"/>
              </w:rPr>
              <w:t>32、整机内置非独立摄像头，拍摄像素数≥1300万，摄像头视场角≥135度。</w:t>
            </w:r>
          </w:p>
          <w:p w:rsidR="00FF4C10">
            <w:pPr>
              <w:pStyle w:val="NewNewNewNew"/>
              <w:rPr>
                <w:rFonts w:ascii="宋体" w:hAnsi="宋体" w:cs="宋体"/>
                <w:kern w:val="2"/>
                <w:sz w:val="18"/>
                <w:szCs w:val="18"/>
              </w:rPr>
            </w:pPr>
            <w:r>
              <w:rPr>
                <w:rFonts w:ascii="宋体" w:hAnsi="宋体" w:cs="宋体" w:hint="eastAsia"/>
                <w:kern w:val="2"/>
                <w:sz w:val="18"/>
                <w:szCs w:val="18"/>
              </w:rPr>
              <w:t>33、整机内置非独立的高清摄像头，可用于远程巡课，并且可通过摄像头进行人数统计、随机抽选、环境色温判断等功能。</w:t>
            </w:r>
          </w:p>
          <w:p w:rsidR="00FF4C10">
            <w:pPr>
              <w:pStyle w:val="NewNewNewNew"/>
              <w:rPr>
                <w:rFonts w:ascii="宋体" w:hAnsi="宋体" w:cs="宋体"/>
                <w:b/>
                <w:bCs/>
                <w:kern w:val="2"/>
                <w:sz w:val="24"/>
              </w:rPr>
            </w:pPr>
            <w:r>
              <w:rPr>
                <w:rFonts w:ascii="宋体" w:hAnsi="宋体" w:cs="宋体" w:hint="eastAsia"/>
                <w:b/>
                <w:bCs/>
                <w:kern w:val="2"/>
                <w:sz w:val="24"/>
              </w:rPr>
              <w:t>三、主要功能</w:t>
            </w:r>
          </w:p>
          <w:p w:rsidR="00FF4C10">
            <w:pPr>
              <w:pStyle w:val="NewNewNewNew"/>
              <w:rPr>
                <w:rFonts w:ascii="宋体" w:hAnsi="宋体" w:cs="宋体"/>
                <w:kern w:val="2"/>
                <w:sz w:val="18"/>
                <w:szCs w:val="18"/>
              </w:rPr>
            </w:pPr>
            <w:r>
              <w:rPr>
                <w:rFonts w:ascii="宋体" w:hAnsi="宋体" w:cs="宋体" w:hint="eastAsia"/>
                <w:kern w:val="2"/>
                <w:sz w:val="18"/>
                <w:szCs w:val="18"/>
              </w:rPr>
              <w:t>1、部署单根网线可实现Android、Windows双系统有线网络连通。</w:t>
            </w:r>
          </w:p>
          <w:p w:rsidR="00FF4C10">
            <w:pPr>
              <w:pStyle w:val="NewNewNewNew"/>
              <w:rPr>
                <w:rFonts w:ascii="宋体" w:hAnsi="宋体" w:cs="宋体"/>
                <w:kern w:val="2"/>
                <w:sz w:val="18"/>
                <w:szCs w:val="18"/>
              </w:rPr>
            </w:pPr>
            <w:r>
              <w:rPr>
                <w:rFonts w:ascii="宋体" w:hAnsi="宋体" w:cs="宋体" w:hint="eastAsia"/>
                <w:kern w:val="2"/>
                <w:sz w:val="18"/>
                <w:szCs w:val="18"/>
              </w:rPr>
              <w:t>2、整机可通过前置物理按键快捷进行系统还原，无需额外工具辅助。</w:t>
            </w:r>
          </w:p>
          <w:p w:rsidR="00FF4C10">
            <w:pPr>
              <w:pStyle w:val="NewNewNewNew"/>
              <w:rPr>
                <w:rFonts w:ascii="宋体" w:hAnsi="宋体" w:cs="宋体"/>
                <w:kern w:val="2"/>
                <w:sz w:val="18"/>
                <w:szCs w:val="18"/>
              </w:rPr>
            </w:pPr>
            <w:r>
              <w:rPr>
                <w:rFonts w:ascii="宋体" w:hAnsi="宋体" w:cs="宋体" w:hint="eastAsia"/>
                <w:kern w:val="2"/>
                <w:sz w:val="18"/>
                <w:szCs w:val="18"/>
              </w:rPr>
              <w:t>3、支持降半屏功能，降半屏后依然可以正常触控操作Windows系统；可一键退出该模式。</w:t>
            </w:r>
          </w:p>
          <w:p w:rsidR="00FF4C10">
            <w:pPr>
              <w:pStyle w:val="NewNewNewNew"/>
              <w:rPr>
                <w:rFonts w:ascii="宋体" w:hAnsi="宋体" w:cs="宋体"/>
                <w:kern w:val="2"/>
                <w:sz w:val="18"/>
                <w:szCs w:val="18"/>
              </w:rPr>
            </w:pPr>
            <w:r>
              <w:rPr>
                <w:rFonts w:ascii="宋体" w:hAnsi="宋体" w:cs="宋体" w:hint="eastAsia"/>
                <w:kern w:val="2"/>
                <w:sz w:val="18"/>
                <w:szCs w:val="18"/>
              </w:rPr>
              <w:t>4、支持外接信号输入时自动唤醒功能，整机处于关机通电状态，外接电脑显示信号通过HDMI传输线连接至整机时，整机可智能识别外接电脑设备信号输入并自动开机。</w:t>
            </w:r>
          </w:p>
          <w:p w:rsidR="00FF4C10">
            <w:pPr>
              <w:pStyle w:val="NewNewNewNew"/>
              <w:rPr>
                <w:rFonts w:ascii="宋体" w:hAnsi="宋体" w:cs="宋体"/>
                <w:kern w:val="2"/>
                <w:sz w:val="18"/>
                <w:szCs w:val="18"/>
              </w:rPr>
            </w:pPr>
            <w:r>
              <w:rPr>
                <w:rFonts w:ascii="宋体" w:hAnsi="宋体" w:cs="宋体" w:hint="eastAsia"/>
                <w:kern w:val="2"/>
                <w:sz w:val="18"/>
                <w:szCs w:val="18"/>
              </w:rPr>
              <w:t>5、整机内置专业硬件自检维护工具（非第三方工具），支持对触摸框和PC模块进行检测，并针对不同模块给出问题代码提示。</w:t>
            </w:r>
          </w:p>
          <w:p w:rsidR="00FF4C10">
            <w:pPr>
              <w:pStyle w:val="NewNewNewNew"/>
              <w:rPr>
                <w:rFonts w:ascii="宋体" w:hAnsi="宋体" w:cs="宋体"/>
                <w:kern w:val="2"/>
                <w:sz w:val="18"/>
                <w:szCs w:val="18"/>
              </w:rPr>
            </w:pPr>
            <w:r>
              <w:rPr>
                <w:rFonts w:ascii="宋体" w:hAnsi="宋体" w:cs="宋体" w:hint="eastAsia"/>
                <w:kern w:val="2"/>
                <w:sz w:val="18"/>
                <w:szCs w:val="18"/>
              </w:rPr>
              <w:t>6、当整机处于黑暗环境中并无人操作，一分钟后整机将可以自动进入熄屏模式。</w:t>
            </w:r>
          </w:p>
          <w:p w:rsidR="00FF4C10">
            <w:pPr>
              <w:pStyle w:val="NewNewNewNew"/>
              <w:rPr>
                <w:rFonts w:ascii="宋体" w:hAnsi="宋体" w:cs="宋体"/>
                <w:kern w:val="2"/>
                <w:sz w:val="18"/>
                <w:szCs w:val="18"/>
              </w:rPr>
            </w:pPr>
            <w:r>
              <w:rPr>
                <w:rFonts w:ascii="宋体" w:hAnsi="宋体" w:cs="宋体" w:hint="eastAsia"/>
                <w:kern w:val="2"/>
                <w:sz w:val="18"/>
                <w:szCs w:val="18"/>
              </w:rPr>
              <w:t>7、支持将自定义图片设置为开机画面。</w:t>
            </w:r>
          </w:p>
          <w:p w:rsidR="00FF4C10">
            <w:pPr>
              <w:pStyle w:val="NewNewNewNew"/>
              <w:rPr>
                <w:rFonts w:ascii="宋体" w:hAnsi="宋体" w:cs="宋体"/>
                <w:kern w:val="2"/>
                <w:sz w:val="18"/>
                <w:szCs w:val="18"/>
              </w:rPr>
            </w:pPr>
            <w:r>
              <w:rPr>
                <w:rFonts w:ascii="宋体" w:hAnsi="宋体" w:cs="宋体" w:hint="eastAsia"/>
                <w:kern w:val="2"/>
                <w:sz w:val="18"/>
                <w:szCs w:val="18"/>
              </w:rPr>
              <w:t>8、整机具备供电保护模块，能够检测内置电脑是否插好在位，在内置电脑未在位的情况下，内置电脑无法上电工作。</w:t>
            </w:r>
          </w:p>
          <w:p w:rsidR="00FF4C10">
            <w:pPr>
              <w:pStyle w:val="NewNewNewNew"/>
              <w:rPr>
                <w:rFonts w:ascii="宋体" w:hAnsi="宋体" w:cs="宋体"/>
                <w:kern w:val="2"/>
                <w:sz w:val="18"/>
                <w:szCs w:val="18"/>
              </w:rPr>
            </w:pPr>
            <w:r>
              <w:rPr>
                <w:rFonts w:ascii="宋体" w:hAnsi="宋体" w:cs="宋体" w:hint="eastAsia"/>
                <w:kern w:val="2"/>
                <w:sz w:val="18"/>
                <w:szCs w:val="18"/>
              </w:rPr>
              <w:t>9、支持云端在线系统固件升级。</w:t>
            </w:r>
          </w:p>
          <w:p w:rsidR="00FF4C10">
            <w:pPr>
              <w:pStyle w:val="NewNewNewNew"/>
              <w:rPr>
                <w:rFonts w:ascii="宋体" w:hAnsi="宋体" w:cs="宋体"/>
                <w:b/>
                <w:bCs/>
                <w:kern w:val="2"/>
                <w:sz w:val="24"/>
              </w:rPr>
            </w:pPr>
            <w:r>
              <w:rPr>
                <w:rFonts w:ascii="宋体" w:hAnsi="宋体" w:cs="宋体" w:hint="eastAsia"/>
                <w:b/>
                <w:bCs/>
                <w:kern w:val="2"/>
                <w:sz w:val="24"/>
              </w:rPr>
              <w:t>四、触摸系统</w:t>
            </w:r>
          </w:p>
          <w:p w:rsidR="00FF4C10">
            <w:pPr>
              <w:pStyle w:val="NewNewNewNew"/>
              <w:rPr>
                <w:rFonts w:ascii="宋体" w:hAnsi="宋体" w:cs="宋体"/>
                <w:kern w:val="2"/>
                <w:sz w:val="18"/>
                <w:szCs w:val="18"/>
              </w:rPr>
            </w:pPr>
            <w:r>
              <w:rPr>
                <w:rFonts w:ascii="宋体" w:hAnsi="宋体" w:cs="宋体" w:hint="eastAsia"/>
                <w:kern w:val="2"/>
                <w:sz w:val="18"/>
                <w:szCs w:val="18"/>
              </w:rPr>
              <w:t>1、采用红外触控技术，支持Windows系统中进行20点或以上触控，支持在Android系统中进行10点或以上触控。</w:t>
            </w:r>
          </w:p>
          <w:p w:rsidR="00FF4C10">
            <w:pPr>
              <w:pStyle w:val="NewNewNewNew"/>
              <w:rPr>
                <w:rFonts w:ascii="宋体" w:hAnsi="宋体" w:cs="宋体"/>
                <w:kern w:val="2"/>
                <w:sz w:val="18"/>
                <w:szCs w:val="18"/>
              </w:rPr>
            </w:pPr>
            <w:r>
              <w:rPr>
                <w:rFonts w:ascii="宋体" w:hAnsi="宋体" w:cs="宋体" w:hint="eastAsia"/>
                <w:kern w:val="2"/>
                <w:sz w:val="18"/>
                <w:szCs w:val="18"/>
              </w:rPr>
              <w:t>2、从内部Android通道切换到内部PC通道后，触摸框在1s内达到可触控状态。从内部PC通道切换到外部通道后，触摸框在3s内达到可触控状态。</w:t>
            </w:r>
          </w:p>
          <w:p w:rsidR="00FF4C10">
            <w:pPr>
              <w:pStyle w:val="NewNewNewNew"/>
              <w:rPr>
                <w:rFonts w:ascii="宋体" w:hAnsi="宋体" w:cs="宋体"/>
                <w:kern w:val="2"/>
                <w:sz w:val="18"/>
                <w:szCs w:val="18"/>
              </w:rPr>
            </w:pPr>
            <w:r>
              <w:rPr>
                <w:rFonts w:ascii="宋体" w:hAnsi="宋体" w:cs="宋体" w:hint="eastAsia"/>
                <w:kern w:val="2"/>
                <w:sz w:val="18"/>
                <w:szCs w:val="18"/>
              </w:rPr>
              <w:t>3、触摸屏在照度100K LUX（勒克斯）环境下仍能正常工作。</w:t>
            </w:r>
          </w:p>
          <w:p w:rsidR="00FF4C10">
            <w:pPr>
              <w:pStyle w:val="NewNewNewNew"/>
              <w:rPr>
                <w:rFonts w:ascii="宋体" w:hAnsi="宋体" w:cs="宋体"/>
                <w:kern w:val="2"/>
                <w:sz w:val="18"/>
                <w:szCs w:val="18"/>
              </w:rPr>
            </w:pPr>
            <w:r>
              <w:rPr>
                <w:rFonts w:ascii="宋体" w:hAnsi="宋体" w:cs="宋体" w:hint="eastAsia"/>
                <w:kern w:val="2"/>
                <w:sz w:val="18"/>
                <w:szCs w:val="18"/>
              </w:rPr>
              <w:t>4、触摸分辨率32768×32768。</w:t>
            </w:r>
          </w:p>
          <w:p w:rsidR="00FF4C10">
            <w:pPr>
              <w:pStyle w:val="NewNewNewNew"/>
              <w:rPr>
                <w:rFonts w:ascii="宋体" w:hAnsi="宋体" w:cs="宋体"/>
                <w:kern w:val="2"/>
                <w:sz w:val="18"/>
                <w:szCs w:val="18"/>
              </w:rPr>
            </w:pPr>
            <w:r>
              <w:rPr>
                <w:rFonts w:ascii="宋体" w:hAnsi="宋体" w:cs="宋体" w:hint="eastAsia"/>
                <w:kern w:val="2"/>
                <w:sz w:val="18"/>
                <w:szCs w:val="18"/>
              </w:rPr>
              <w:t>5、触摸响应时间≤4ms。</w:t>
            </w:r>
          </w:p>
          <w:p w:rsidR="00FF4C10">
            <w:pPr>
              <w:pStyle w:val="NewNewNewNew"/>
              <w:rPr>
                <w:rFonts w:ascii="宋体" w:hAnsi="宋体" w:cs="宋体"/>
                <w:kern w:val="2"/>
                <w:sz w:val="18"/>
                <w:szCs w:val="18"/>
              </w:rPr>
            </w:pPr>
            <w:r>
              <w:rPr>
                <w:rFonts w:ascii="宋体" w:hAnsi="宋体" w:cs="宋体" w:hint="eastAsia"/>
                <w:kern w:val="2"/>
                <w:sz w:val="18"/>
                <w:szCs w:val="18"/>
              </w:rPr>
              <w:t>6、触摸最小识别物≤3mm。</w:t>
            </w:r>
          </w:p>
          <w:p w:rsidR="00FF4C10">
            <w:pPr>
              <w:pStyle w:val="NewNewNewNew"/>
              <w:rPr>
                <w:rFonts w:ascii="宋体" w:hAnsi="宋体" w:cs="宋体"/>
                <w:kern w:val="2"/>
                <w:sz w:val="18"/>
                <w:szCs w:val="18"/>
              </w:rPr>
            </w:pPr>
          </w:p>
        </w:tc>
      </w:tr>
    </w:tbl>
    <w:p>
      <w:pPr>
        <w:sectPr>
          <w:headerReference w:type="default" r:id="rId35"/>
          <w:footerReference w:type="default" r:id="rId36"/>
          <w:type w:val="nextPage"/>
          <w:pgSz w:w="11906" w:h="16838"/>
          <w:pgMar w:top="1417" w:right="1134" w:bottom="1417" w:left="1134" w:header="851" w:footer="618" w:gutter="0"/>
          <w:pgNumType w:start="18"/>
          <w:cols w:space="720"/>
          <w:titlePg w:val="0"/>
          <w:docGrid w:type="lines" w:linePitch="321"/>
        </w:sectPr>
      </w:pPr>
    </w:p>
    <w:tbl>
      <w:tblPr>
        <w:tblStyle w:val="TableNormal"/>
        <w:tblW w:w="96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1248"/>
        <w:gridCol w:w="7739"/>
      </w:tblGrid>
      <w:tr>
        <w:tblPrEx>
          <w:tblW w:w="96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4535"/>
          <w:jc w:val="center"/>
        </w:trPr>
        <w:tc>
          <w:tcPr>
            <w:tcW w:w="709" w:type="dxa"/>
            <w:tcBorders>
              <w:top w:val="single" w:sz="4" w:space="0" w:color="auto"/>
              <w:left w:val="single" w:sz="4" w:space="0" w:color="auto"/>
              <w:bottom w:val="single" w:sz="4" w:space="0" w:color="auto"/>
              <w:right w:val="single" w:sz="4" w:space="0" w:color="auto"/>
            </w:tcBorders>
            <w:vAlign w:val="center"/>
          </w:tcPr>
          <w:p w:rsidR="00FF4C10">
            <w:pPr>
              <w:spacing w:line="360" w:lineRule="auto"/>
              <w:jc w:val="center"/>
              <w:rPr>
                <w:rFonts w:ascii="宋体" w:hAnsi="宋体" w:cs="宋体"/>
                <w:b/>
              </w:rPr>
            </w:pPr>
            <w:r>
              <w:rPr>
                <w:rFonts w:ascii="宋体" w:hAnsi="宋体" w:cs="宋体" w:hint="eastAsia"/>
                <w:b/>
              </w:rPr>
              <w:t>2</w:t>
            </w:r>
          </w:p>
        </w:tc>
        <w:tc>
          <w:tcPr>
            <w:tcW w:w="1248" w:type="dxa"/>
            <w:tcBorders>
              <w:top w:val="single" w:sz="4" w:space="0" w:color="auto"/>
              <w:left w:val="single" w:sz="4" w:space="0" w:color="auto"/>
              <w:bottom w:val="single" w:sz="4" w:space="0" w:color="auto"/>
              <w:right w:val="single" w:sz="4" w:space="0" w:color="auto"/>
            </w:tcBorders>
            <w:vAlign w:val="center"/>
          </w:tcPr>
          <w:p w:rsidR="00FF4C10">
            <w:pPr>
              <w:spacing w:line="360" w:lineRule="auto"/>
              <w:jc w:val="center"/>
              <w:rPr>
                <w:rFonts w:ascii="宋体" w:hAnsi="宋体" w:cs="宋体"/>
                <w:b/>
              </w:rPr>
            </w:pPr>
            <w:r>
              <w:rPr>
                <w:rFonts w:ascii="宋体" w:hAnsi="宋体" w:cs="宋体" w:hint="eastAsia"/>
                <w:b/>
              </w:rPr>
              <w:t>内置云电脑模块</w:t>
            </w:r>
          </w:p>
        </w:tc>
        <w:tc>
          <w:tcPr>
            <w:tcW w:w="7739" w:type="dxa"/>
            <w:tcBorders>
              <w:top w:val="single" w:sz="4" w:space="0" w:color="auto"/>
              <w:left w:val="single" w:sz="4" w:space="0" w:color="auto"/>
              <w:bottom w:val="single" w:sz="4" w:space="0" w:color="auto"/>
              <w:right w:val="single" w:sz="4" w:space="0" w:color="auto"/>
            </w:tcBorders>
            <w:vAlign w:val="center"/>
          </w:tcPr>
          <w:p w:rsidR="00FF4C10">
            <w:pPr>
              <w:pStyle w:val="NewNewNewNew"/>
              <w:rPr>
                <w:rFonts w:ascii="宋体" w:hAnsi="宋体" w:cs="宋体"/>
                <w:kern w:val="2"/>
                <w:sz w:val="18"/>
                <w:szCs w:val="18"/>
              </w:rPr>
            </w:pPr>
            <w:r>
              <w:rPr>
                <w:rFonts w:ascii="宋体" w:hAnsi="宋体" w:cs="宋体" w:hint="eastAsia"/>
                <w:kern w:val="2"/>
                <w:sz w:val="18"/>
                <w:szCs w:val="18"/>
              </w:rPr>
              <w:t>1、采用模块化电脑方案，抽拉内置式，PC模块可完全插入整机，保护PC模块不易受教室灰尘影响，PC模块可抽拉式插入整机，可实现无单独接线的插拔。</w:t>
            </w:r>
          </w:p>
          <w:p w:rsidR="00FF4C10">
            <w:pPr>
              <w:pStyle w:val="NewNewNewNew"/>
              <w:rPr>
                <w:rFonts w:ascii="宋体" w:hAnsi="宋体" w:cs="宋体"/>
                <w:kern w:val="2"/>
                <w:sz w:val="18"/>
                <w:szCs w:val="18"/>
              </w:rPr>
            </w:pPr>
            <w:r>
              <w:rPr>
                <w:rFonts w:ascii="宋体" w:hAnsi="宋体" w:cs="宋体" w:hint="eastAsia"/>
                <w:kern w:val="2"/>
                <w:sz w:val="18"/>
                <w:szCs w:val="18"/>
              </w:rPr>
              <w:t xml:space="preserve">2、PC和整机的连接采用万兆级接口，传输速率≥10Gbps。 </w:t>
            </w:r>
          </w:p>
          <w:p w:rsidR="00FF4C10">
            <w:pPr>
              <w:pStyle w:val="NewNewNewNew"/>
              <w:rPr>
                <w:rFonts w:ascii="宋体" w:hAnsi="宋体" w:cs="宋体"/>
                <w:kern w:val="2"/>
                <w:sz w:val="18"/>
                <w:szCs w:val="18"/>
              </w:rPr>
            </w:pPr>
            <w:r>
              <w:rPr>
                <w:rFonts w:ascii="宋体" w:hAnsi="宋体" w:cs="宋体" w:hint="eastAsia"/>
                <w:kern w:val="2"/>
                <w:sz w:val="18"/>
                <w:szCs w:val="18"/>
              </w:rPr>
              <w:t>3、采用按压式卡扣，无需工具即可快速拆卸电脑模块。</w:t>
            </w:r>
          </w:p>
          <w:p w:rsidR="00FF4C10">
            <w:pPr>
              <w:pStyle w:val="NewNewNewNew"/>
              <w:rPr>
                <w:rFonts w:ascii="宋体" w:hAnsi="宋体" w:cs="宋体"/>
                <w:kern w:val="2"/>
                <w:sz w:val="18"/>
                <w:szCs w:val="18"/>
              </w:rPr>
            </w:pPr>
            <w:r>
              <w:rPr>
                <w:rFonts w:ascii="宋体" w:hAnsi="宋体" w:cs="宋体" w:hint="eastAsia"/>
                <w:kern w:val="2"/>
                <w:sz w:val="18"/>
                <w:szCs w:val="18"/>
              </w:rPr>
              <w:t>4、处理器：四核八线或以上，主频3.2或以上</w:t>
            </w:r>
          </w:p>
          <w:p w:rsidR="00FF4C10">
            <w:pPr>
              <w:pStyle w:val="NewNewNewNew"/>
              <w:rPr>
                <w:rFonts w:ascii="宋体" w:hAnsi="宋体" w:cs="宋体"/>
                <w:kern w:val="2"/>
                <w:sz w:val="18"/>
                <w:szCs w:val="18"/>
              </w:rPr>
            </w:pPr>
            <w:r>
              <w:rPr>
                <w:rFonts w:ascii="宋体" w:hAnsi="宋体" w:cs="宋体" w:hint="eastAsia"/>
                <w:kern w:val="2"/>
                <w:sz w:val="18"/>
                <w:szCs w:val="18"/>
              </w:rPr>
              <w:t>6、内存：8G DDR4笔记本内存或以上配置。</w:t>
            </w:r>
          </w:p>
          <w:p w:rsidR="00FF4C10">
            <w:pPr>
              <w:pStyle w:val="NewNewNewNew"/>
              <w:rPr>
                <w:rFonts w:ascii="宋体" w:hAnsi="宋体" w:cs="宋体"/>
                <w:kern w:val="2"/>
                <w:sz w:val="18"/>
                <w:szCs w:val="18"/>
              </w:rPr>
            </w:pPr>
            <w:r>
              <w:rPr>
                <w:rFonts w:ascii="宋体" w:hAnsi="宋体" w:cs="宋体" w:hint="eastAsia"/>
                <w:kern w:val="2"/>
                <w:sz w:val="18"/>
                <w:szCs w:val="18"/>
              </w:rPr>
              <w:t xml:space="preserve">7、硬盘：256G或以上SSD </w:t>
            </w:r>
          </w:p>
          <w:p w:rsidR="00FF4C10">
            <w:pPr>
              <w:pStyle w:val="NewNewNewNew"/>
              <w:rPr>
                <w:rFonts w:ascii="宋体" w:hAnsi="宋体" w:cs="宋体"/>
                <w:kern w:val="2"/>
                <w:sz w:val="18"/>
                <w:szCs w:val="18"/>
              </w:rPr>
            </w:pPr>
            <w:r>
              <w:rPr>
                <w:rFonts w:ascii="宋体" w:hAnsi="宋体" w:cs="宋体" w:hint="eastAsia"/>
                <w:kern w:val="2"/>
                <w:sz w:val="18"/>
                <w:szCs w:val="18"/>
              </w:rPr>
              <w:t>8、具有独立非外扩展的视频输出接口：≥1路HDMI ，具有独立非外扩展的电脑USB接口：≥3路USB。</w:t>
            </w:r>
          </w:p>
          <w:p w:rsidR="00FF4C10">
            <w:pPr>
              <w:pStyle w:val="NewNewNewNew"/>
              <w:rPr>
                <w:rFonts w:ascii="宋体" w:hAnsi="宋体" w:cs="宋体"/>
                <w:kern w:val="2"/>
                <w:sz w:val="18"/>
                <w:szCs w:val="18"/>
              </w:rPr>
            </w:pPr>
            <w:r>
              <w:rPr>
                <w:rFonts w:ascii="宋体" w:hAnsi="宋体" w:cs="宋体" w:hint="eastAsia"/>
                <w:kern w:val="2"/>
                <w:sz w:val="18"/>
                <w:szCs w:val="18"/>
              </w:rPr>
              <w:t>9、在内置PC界面下，当周边外设（如视频展台、智能讲台、智能笔、传屏、音箱）与内置PC连接时，提供实时接入反馈提示；当周边外设移除或断开连接时，提供实时断开反馈提示；当麦克风电量过低时，提供低电量提醒反馈。</w:t>
            </w:r>
          </w:p>
          <w:p w:rsidR="00FF4C10">
            <w:pPr>
              <w:pStyle w:val="NewNewNewNew"/>
              <w:rPr>
                <w:rFonts w:ascii="宋体" w:hAnsi="宋体" w:cs="宋体"/>
                <w:kern w:val="2"/>
                <w:sz w:val="18"/>
                <w:szCs w:val="18"/>
              </w:rPr>
            </w:pPr>
            <w:r>
              <w:rPr>
                <w:rFonts w:ascii="宋体" w:hAnsi="宋体" w:cs="宋体" w:hint="eastAsia"/>
                <w:kern w:val="2"/>
                <w:sz w:val="18"/>
                <w:szCs w:val="18"/>
              </w:rPr>
              <w:t>10.支持当使用桌面镜像功能时发生系统无法启动、系统异常等情况，可通过手势在屏幕上调取触摸中控菜单，进行系统恢复至出厂默认状态，无需连接网络、无需连接管理平台、无需额外工具辅助。</w:t>
            </w:r>
          </w:p>
          <w:p w:rsidR="00FF4C10">
            <w:pPr>
              <w:pStyle w:val="NewNewNewNew"/>
              <w:rPr>
                <w:rFonts w:ascii="宋体" w:hAnsi="宋体" w:cs="宋体"/>
                <w:kern w:val="2"/>
                <w:sz w:val="18"/>
                <w:szCs w:val="18"/>
              </w:rPr>
            </w:pPr>
            <w:r>
              <w:rPr>
                <w:rFonts w:ascii="宋体" w:hAnsi="宋体" w:cs="宋体" w:hint="eastAsia"/>
                <w:kern w:val="2"/>
                <w:sz w:val="18"/>
                <w:szCs w:val="18"/>
              </w:rPr>
              <w:t>11.支持交互大屏在系统恢复后，公共数据分区（如D盘等非系统分区）的数据能够得到保留，不受还原影响，从而不影响教学使用。</w:t>
            </w:r>
          </w:p>
          <w:p w:rsidR="00FF4C10">
            <w:pPr>
              <w:pStyle w:val="NewNewNewNew"/>
              <w:rPr>
                <w:rFonts w:ascii="宋体" w:hAnsi="宋体" w:cs="宋体"/>
                <w:color w:val="FF0000"/>
              </w:rPr>
            </w:pPr>
            <w:r>
              <w:rPr>
                <w:rFonts w:ascii="宋体" w:hAnsi="宋体" w:cs="宋体" w:hint="eastAsia"/>
                <w:kern w:val="2"/>
                <w:sz w:val="18"/>
                <w:szCs w:val="18"/>
              </w:rPr>
              <w:t>12.支持诊断网络，支持检测与管理平台的通讯状态，支持TCP延迟、ICMP延迟、上传下载速度检测。</w:t>
            </w:r>
          </w:p>
          <w:p w:rsidR="00FF4C10">
            <w:pPr>
              <w:rPr>
                <w:rFonts w:ascii="宋体" w:hAnsi="宋体" w:cs="宋体"/>
                <w:color w:val="FF0000"/>
              </w:rPr>
            </w:pPr>
            <w:r>
              <w:rPr>
                <w:rFonts w:ascii="宋体" w:hAnsi="宋体" w:cs="宋体" w:hint="eastAsia"/>
                <w:sz w:val="18"/>
                <w:szCs w:val="18"/>
              </w:rPr>
              <w:t>13.支持终端设备运行时无需运行独立的虚拟化系统，终端设备配置的IP与进入桌面镜像后的IP能够保持一致，同一个终端无需使用多个IP，简化运维管理与网络规划复杂度。</w:t>
            </w:r>
          </w:p>
        </w:tc>
      </w:tr>
      <w:tr>
        <w:tblPrEx>
          <w:tblW w:w="9696" w:type="dxa"/>
          <w:jc w:val="center"/>
          <w:tblLayout w:type="fixed"/>
          <w:tblLook w:val="04A0"/>
        </w:tblPrEx>
        <w:trPr>
          <w:trHeight w:val="395"/>
          <w:jc w:val="center"/>
        </w:trPr>
        <w:tc>
          <w:tcPr>
            <w:tcW w:w="709" w:type="dxa"/>
            <w:tcBorders>
              <w:top w:val="single" w:sz="4" w:space="0" w:color="auto"/>
              <w:left w:val="single" w:sz="4" w:space="0" w:color="auto"/>
              <w:bottom w:val="single" w:sz="4" w:space="0" w:color="auto"/>
              <w:right w:val="single" w:sz="4" w:space="0" w:color="auto"/>
            </w:tcBorders>
            <w:vAlign w:val="center"/>
          </w:tcPr>
          <w:p w:rsidR="00FF4C10">
            <w:pPr>
              <w:spacing w:line="360" w:lineRule="auto"/>
              <w:jc w:val="center"/>
              <w:rPr>
                <w:rFonts w:ascii="宋体" w:hAnsi="宋体" w:cs="宋体"/>
                <w:b/>
              </w:rPr>
            </w:pPr>
            <w:r>
              <w:rPr>
                <w:rFonts w:ascii="宋体" w:hAnsi="宋体" w:cs="宋体" w:hint="eastAsia"/>
                <w:b/>
              </w:rPr>
              <w:t>3</w:t>
            </w:r>
          </w:p>
        </w:tc>
        <w:tc>
          <w:tcPr>
            <w:tcW w:w="1248" w:type="dxa"/>
            <w:tcBorders>
              <w:top w:val="single" w:sz="4" w:space="0" w:color="auto"/>
              <w:left w:val="single" w:sz="4" w:space="0" w:color="auto"/>
              <w:bottom w:val="single" w:sz="4" w:space="0" w:color="auto"/>
              <w:right w:val="single" w:sz="4" w:space="0" w:color="auto"/>
            </w:tcBorders>
            <w:vAlign w:val="center"/>
          </w:tcPr>
          <w:p w:rsidR="00FF4C10">
            <w:pPr>
              <w:spacing w:line="360" w:lineRule="auto"/>
              <w:ind w:left="200" w:hanging="200" w:hangingChars="100"/>
              <w:jc w:val="center"/>
              <w:rPr>
                <w:rFonts w:ascii="宋体" w:hAnsi="宋体" w:cs="宋体"/>
                <w:b/>
              </w:rPr>
            </w:pPr>
            <w:r>
              <w:rPr>
                <w:rFonts w:ascii="宋体" w:hAnsi="宋体" w:cs="宋体" w:hint="eastAsia"/>
                <w:b/>
              </w:rPr>
              <w:t>系统工具</w:t>
            </w:r>
          </w:p>
        </w:tc>
        <w:tc>
          <w:tcPr>
            <w:tcW w:w="7739" w:type="dxa"/>
            <w:tcBorders>
              <w:top w:val="single" w:sz="4" w:space="0" w:color="auto"/>
              <w:left w:val="single" w:sz="4" w:space="0" w:color="auto"/>
              <w:bottom w:val="single" w:sz="4" w:space="0" w:color="auto"/>
              <w:right w:val="single" w:sz="4" w:space="0" w:color="auto"/>
            </w:tcBorders>
            <w:vAlign w:val="center"/>
          </w:tcPr>
          <w:p w:rsidR="00FF4C10">
            <w:pPr>
              <w:rPr>
                <w:rFonts w:ascii="宋体" w:hAnsi="宋体" w:cs="宋体"/>
                <w:b/>
                <w:bCs/>
                <w:kern w:val="2"/>
                <w:sz w:val="24"/>
                <w:szCs w:val="24"/>
              </w:rPr>
            </w:pPr>
            <w:r>
              <w:rPr>
                <w:rFonts w:ascii="宋体" w:hAnsi="宋体" w:cs="宋体" w:hint="eastAsia"/>
                <w:b/>
                <w:bCs/>
                <w:kern w:val="2"/>
                <w:sz w:val="24"/>
                <w:szCs w:val="24"/>
              </w:rPr>
              <w:t>一、书写工具：</w:t>
            </w:r>
          </w:p>
          <w:p w:rsidR="00FF4C10">
            <w:pPr>
              <w:rPr>
                <w:rFonts w:ascii="宋体" w:hAnsi="宋体" w:cs="宋体"/>
                <w:sz w:val="18"/>
                <w:szCs w:val="18"/>
              </w:rPr>
            </w:pPr>
            <w:r>
              <w:rPr>
                <w:rFonts w:ascii="宋体" w:hAnsi="宋体" w:cs="宋体" w:hint="eastAsia"/>
                <w:sz w:val="18"/>
                <w:szCs w:val="18"/>
              </w:rPr>
              <w:t>1、书写：提供硬笔、毛笔、荧光笔、智能笔、激光笔、竹笔、对象笔、纹理笔。</w:t>
            </w:r>
          </w:p>
          <w:p w:rsidR="00FF4C10">
            <w:pPr>
              <w:rPr>
                <w:rFonts w:ascii="宋体" w:hAnsi="宋体" w:cs="宋体"/>
                <w:sz w:val="18"/>
                <w:szCs w:val="18"/>
              </w:rPr>
            </w:pPr>
            <w:r>
              <w:rPr>
                <w:rFonts w:ascii="宋体" w:hAnsi="宋体" w:cs="宋体" w:hint="eastAsia"/>
                <w:sz w:val="18"/>
                <w:szCs w:val="18"/>
              </w:rPr>
              <w:t>2、板擦：支持点擦除、区域擦除及全部擦除（清页操作），并可支持在选择笔工具状态下直接通过手势识别动作实现擦除。</w:t>
            </w:r>
          </w:p>
          <w:p w:rsidR="00FF4C10">
            <w:pPr>
              <w:rPr>
                <w:rFonts w:ascii="宋体" w:hAnsi="宋体" w:cs="宋体"/>
                <w:sz w:val="18"/>
                <w:szCs w:val="18"/>
              </w:rPr>
            </w:pPr>
            <w:r>
              <w:rPr>
                <w:rFonts w:ascii="宋体" w:hAnsi="宋体" w:cs="宋体" w:hint="eastAsia"/>
                <w:sz w:val="18"/>
                <w:szCs w:val="18"/>
              </w:rPr>
              <w:t>3、多点支持：支持同时对两个或以上的图片、音视频、图形对象进行多点缩放与旋转功能，支持三点以上同时书写操作。</w:t>
            </w:r>
          </w:p>
          <w:p w:rsidR="00FF4C10">
            <w:pPr>
              <w:rPr>
                <w:rFonts w:ascii="宋体" w:hAnsi="宋体" w:cs="宋体"/>
                <w:sz w:val="18"/>
                <w:szCs w:val="18"/>
              </w:rPr>
            </w:pPr>
            <w:r>
              <w:rPr>
                <w:rFonts w:ascii="宋体" w:hAnsi="宋体" w:cs="宋体" w:hint="eastAsia"/>
                <w:sz w:val="18"/>
                <w:szCs w:val="18"/>
              </w:rPr>
              <w:t>4、边写边擦：支持两到三个人在选择书写工具的状态下同时书写和擦除，互不影响，方便不同学生在屏幕上同时书写。</w:t>
            </w:r>
          </w:p>
          <w:p w:rsidR="00FF4C10">
            <w:pPr>
              <w:rPr>
                <w:rFonts w:ascii="宋体" w:hAnsi="宋体" w:cs="宋体"/>
                <w:sz w:val="18"/>
                <w:szCs w:val="18"/>
              </w:rPr>
            </w:pPr>
            <w:r>
              <w:rPr>
                <w:rFonts w:ascii="宋体" w:hAnsi="宋体" w:cs="宋体" w:hint="eastAsia"/>
                <w:sz w:val="18"/>
                <w:szCs w:val="18"/>
              </w:rPr>
              <w:t>5、文本输入：提供键盘输入文本，并可对文本内容统一编辑与排版。</w:t>
            </w:r>
          </w:p>
          <w:p w:rsidR="00FF4C10">
            <w:pPr>
              <w:rPr>
                <w:rFonts w:ascii="宋体" w:hAnsi="宋体" w:cs="宋体"/>
                <w:sz w:val="18"/>
                <w:szCs w:val="18"/>
              </w:rPr>
            </w:pPr>
            <w:r>
              <w:rPr>
                <w:rFonts w:ascii="宋体" w:hAnsi="宋体" w:cs="宋体" w:hint="eastAsia"/>
                <w:sz w:val="18"/>
                <w:szCs w:val="18"/>
              </w:rPr>
              <w:t>6、手写识别：支持手写中文与英文自动识别。</w:t>
            </w:r>
          </w:p>
          <w:p w:rsidR="00FF4C10">
            <w:pPr>
              <w:rPr>
                <w:rFonts w:ascii="宋体" w:hAnsi="宋体" w:cs="宋体"/>
                <w:sz w:val="18"/>
                <w:szCs w:val="18"/>
              </w:rPr>
            </w:pPr>
            <w:r>
              <w:rPr>
                <w:rFonts w:ascii="宋体" w:hAnsi="宋体" w:cs="宋体" w:hint="eastAsia"/>
                <w:sz w:val="18"/>
                <w:szCs w:val="18"/>
              </w:rPr>
              <w:t>7、手势操作：在书写状态下，支持多种手势的快捷操作，如选择对象、漫游、擦除等。</w:t>
            </w:r>
          </w:p>
          <w:p w:rsidR="00FF4C10">
            <w:pPr>
              <w:rPr>
                <w:rFonts w:ascii="宋体" w:hAnsi="宋体" w:cs="宋体"/>
                <w:sz w:val="18"/>
                <w:szCs w:val="18"/>
              </w:rPr>
            </w:pPr>
            <w:r>
              <w:rPr>
                <w:rFonts w:ascii="宋体" w:hAnsi="宋体" w:cs="宋体" w:hint="eastAsia"/>
                <w:sz w:val="18"/>
                <w:szCs w:val="18"/>
              </w:rPr>
              <w:t>8、页面无限漫游：支持页面书写区域无限延伸，提供页面缩略图导航，可快速定位书写区域，同时也支持对整个页面或局部进行放大和缩小。</w:t>
            </w:r>
          </w:p>
          <w:p w:rsidR="00FF4C10">
            <w:pPr>
              <w:rPr>
                <w:rFonts w:ascii="宋体" w:hAnsi="宋体" w:cs="宋体"/>
                <w:sz w:val="18"/>
                <w:szCs w:val="18"/>
              </w:rPr>
            </w:pPr>
            <w:r>
              <w:rPr>
                <w:rFonts w:ascii="宋体" w:hAnsi="宋体" w:cs="宋体" w:hint="eastAsia"/>
                <w:sz w:val="18"/>
                <w:szCs w:val="18"/>
              </w:rPr>
              <w:t>9、多学科模式支持：提供语文、数学、英语、物理、化学教学场景，在各学科教学场景中提供相应的教学工具。</w:t>
            </w:r>
          </w:p>
          <w:p w:rsidR="00FF4C10">
            <w:pPr>
              <w:rPr>
                <w:rFonts w:ascii="宋体" w:hAnsi="宋体" w:cs="宋体"/>
                <w:sz w:val="18"/>
                <w:szCs w:val="18"/>
              </w:rPr>
            </w:pPr>
            <w:r>
              <w:rPr>
                <w:rFonts w:ascii="宋体" w:hAnsi="宋体" w:cs="宋体" w:hint="eastAsia"/>
                <w:sz w:val="18"/>
                <w:szCs w:val="18"/>
              </w:rPr>
              <w:t>10、教学小工具：提供遮幕、日历、时钟、聚光灯、屏幕截图、放大镜、计算器、屏幕录制、板中板、实物展台等教学展示的辅助功能；屏幕截图提供全屏截图、矩形截图、任意区域截图。</w:t>
            </w:r>
          </w:p>
          <w:p w:rsidR="00FF4C10">
            <w:pPr>
              <w:rPr>
                <w:rFonts w:ascii="宋体" w:hAnsi="宋体" w:cs="宋体"/>
                <w:sz w:val="18"/>
                <w:szCs w:val="18"/>
              </w:rPr>
            </w:pPr>
            <w:r>
              <w:rPr>
                <w:rFonts w:ascii="宋体" w:hAnsi="宋体" w:cs="宋体" w:hint="eastAsia"/>
                <w:sz w:val="18"/>
                <w:szCs w:val="18"/>
              </w:rPr>
              <w:t>11、Office集成：提供PPT、Word、Excel文档的嵌入打开，演示、批注，及批注保存功能。</w:t>
            </w:r>
          </w:p>
          <w:p w:rsidR="00FF4C10">
            <w:pPr>
              <w:rPr>
                <w:rFonts w:ascii="宋体" w:hAnsi="宋体" w:cs="宋体"/>
                <w:sz w:val="18"/>
                <w:szCs w:val="18"/>
              </w:rPr>
            </w:pPr>
            <w:r>
              <w:rPr>
                <w:rFonts w:ascii="宋体" w:hAnsi="宋体" w:cs="宋体" w:hint="eastAsia"/>
                <w:sz w:val="18"/>
                <w:szCs w:val="18"/>
              </w:rPr>
              <w:t>12、要求配备教学资源：资源必须符合新课程标准，涵盖新课标多种教材版本，根据学科知识点教学要求，规范分类各教学资源素材。</w:t>
            </w:r>
          </w:p>
          <w:p w:rsidR="00FF4C10">
            <w:pPr>
              <w:rPr>
                <w:rFonts w:ascii="宋体" w:hAnsi="宋体" w:cs="宋体"/>
                <w:b/>
                <w:bCs/>
                <w:kern w:val="2"/>
                <w:sz w:val="24"/>
                <w:szCs w:val="24"/>
              </w:rPr>
            </w:pPr>
            <w:r>
              <w:rPr>
                <w:rFonts w:ascii="宋体" w:hAnsi="宋体" w:cs="宋体" w:hint="eastAsia"/>
                <w:b/>
                <w:bCs/>
                <w:kern w:val="2"/>
                <w:sz w:val="24"/>
                <w:szCs w:val="24"/>
              </w:rPr>
              <w:t>二、线上教学工具：</w:t>
            </w:r>
          </w:p>
          <w:p w:rsidR="00FF4C10">
            <w:pPr>
              <w:rPr>
                <w:rFonts w:ascii="宋体" w:hAnsi="宋体" w:cs="宋体"/>
                <w:sz w:val="18"/>
                <w:szCs w:val="18"/>
              </w:rPr>
            </w:pPr>
            <w:r>
              <w:rPr>
                <w:rFonts w:ascii="宋体" w:hAnsi="宋体" w:cs="宋体" w:hint="eastAsia"/>
                <w:sz w:val="18"/>
                <w:szCs w:val="18"/>
              </w:rPr>
              <w:t>1、软件支持微信扫码登录，无需输入帐号密码即可实现登录互动课堂。</w:t>
            </w:r>
          </w:p>
        </w:tc>
      </w:tr>
    </w:tbl>
    <w:p>
      <w:r>
        <w:br/>
      </w:r>
      <w:r>
        <w:br/>
      </w:r>
    </w:p>
    <w:p>
      <w:pPr>
        <w:widowControl/>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7" w:history="1">
        <w:r>
          <w:rPr>
            <w:rFonts w:ascii="SimSun" w:eastAsia="SimSun" w:hAnsi="SimSun" w:cs="SimSun"/>
            <w:b/>
            <w:bCs/>
            <w:color w:val="0000EE"/>
            <w:sz w:val="30"/>
            <w:szCs w:val="30"/>
            <w:u w:val="single" w:color="0000EE"/>
          </w:rPr>
          <w:t>https://d.book118.com/618062060110006030</w:t>
        </w:r>
      </w:hyperlink>
    </w:p>
    <w:p/>
    <w:sectPr>
      <w:headerReference w:type="default" r:id="rId38"/>
      <w:footerReference w:type="default" r:id="rId39"/>
      <w:type w:val="nextPage"/>
      <w:pgSz w:w="11906" w:h="16838"/>
      <w:pgMar w:top="1417" w:right="1134" w:bottom="1417" w:left="1134" w:header="851" w:footer="618" w:gutter="0"/>
      <w:pgNumType w:start="19"/>
      <w:cols w:space="720"/>
      <w:titlePg w:val="0"/>
      <w:docGrid w:type="lines" w:linePitch="32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楷体_GB2312">
    <w:altName w:val="楷体"/>
    <w:charset w:val="86"/>
    <w:family w:val="modern"/>
    <w:pitch w:val="default"/>
    <w:sig w:usb0="00000000" w:usb1="0000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monospace">
    <w:altName w:val="Segoe Print"/>
    <w:charset w:val="00"/>
    <w:family w:val="auto"/>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C1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77566042"/>
      <w:richText/>
    </w:sdtPr>
    <w:sdtContent>
      <w:p w:rsidR="00FF4C10">
        <w:pPr>
          <w:pStyle w:val="Footer"/>
          <w:jc w:val="center"/>
        </w:pPr>
        <w:r>
          <w:fldChar w:fldCharType="begin"/>
        </w:r>
        <w:r>
          <w:instrText>PAGE   \* MERGEFORMAT</w:instrText>
        </w:r>
        <w:r>
          <w:fldChar w:fldCharType="separate"/>
        </w:r>
        <w:r>
          <w:rPr>
            <w:lang w:val="zh-CN"/>
          </w:rPr>
          <w:t>1</w:t>
        </w:r>
        <w:r>
          <w:rPr>
            <w:lang w:val="zh-CN"/>
          </w:rPr>
          <w:fldChar w:fldCharType="end"/>
        </w:r>
      </w:p>
    </w:sdtContent>
  </w:sdt>
  <w:p w:rsidR="00FF4C1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72062303"/>
      <w:richText/>
    </w:sdtPr>
    <w:sdtContent>
      <w:p w:rsidR="00FF4C10">
        <w:pPr>
          <w:pStyle w:val="Footer"/>
          <w:jc w:val="center"/>
        </w:pPr>
        <w:r>
          <w:fldChar w:fldCharType="begin"/>
        </w:r>
        <w:r>
          <w:instrText>PAGE   \* MERGEFORMAT</w:instrText>
        </w:r>
        <w:r>
          <w:fldChar w:fldCharType="separate"/>
        </w:r>
        <w:r>
          <w:rPr>
            <w:lang w:val="zh-CN"/>
          </w:rPr>
          <w:t>3</w:t>
        </w:r>
        <w:r>
          <w:rPr>
            <w:lang w:val="zh-CN"/>
          </w:rPr>
          <w:fldChar w:fldCharType="end"/>
        </w:r>
      </w:p>
    </w:sdtContent>
  </w:sdt>
  <w:p w:rsidR="00FF4C1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47370532"/>
      <w:richText/>
    </w:sdtPr>
    <w:sdtContent>
      <w:p w:rsidR="00FF4C10">
        <w:pPr>
          <w:pStyle w:val="Footer"/>
          <w:jc w:val="center"/>
        </w:pPr>
        <w:r>
          <w:fldChar w:fldCharType="begin"/>
        </w:r>
        <w:r>
          <w:instrText>PAGE   \* MERGEFORMAT</w:instrText>
        </w:r>
        <w:r>
          <w:fldChar w:fldCharType="separate"/>
        </w:r>
        <w:r>
          <w:rPr>
            <w:lang w:val="zh-CN"/>
          </w:rPr>
          <w:t>3</w:t>
        </w:r>
        <w:r>
          <w:rPr>
            <w:lang w:val="zh-CN"/>
          </w:rPr>
          <w:fldChar w:fldCharType="end"/>
        </w:r>
      </w:p>
    </w:sdtContent>
  </w:sdt>
  <w:p w:rsidR="00FF4C1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110028394"/>
      <w:richText/>
    </w:sdtPr>
    <w:sdtContent>
      <w:p w:rsidR="00FF4C10">
        <w:pPr>
          <w:pStyle w:val="Footer"/>
          <w:jc w:val="center"/>
        </w:pPr>
        <w:r>
          <w:fldChar w:fldCharType="begin"/>
        </w:r>
        <w:r>
          <w:instrText>PAGE   \* MERGEFORMAT</w:instrText>
        </w:r>
        <w:r>
          <w:fldChar w:fldCharType="separate"/>
        </w:r>
        <w:r>
          <w:rPr>
            <w:lang w:val="zh-CN"/>
          </w:rPr>
          <w:t>4</w:t>
        </w:r>
        <w:r>
          <w:rPr>
            <w:lang w:val="zh-CN"/>
          </w:rPr>
          <w:fldChar w:fldCharType="end"/>
        </w:r>
      </w:p>
    </w:sdtContent>
  </w:sdt>
  <w:p w:rsidR="00FF4C1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48897755"/>
      <w:richText/>
    </w:sdtPr>
    <w:sdtContent>
      <w:p w:rsidR="00FF4C10">
        <w:pPr>
          <w:pStyle w:val="Footer"/>
          <w:jc w:val="center"/>
        </w:pPr>
        <w:r>
          <w:fldChar w:fldCharType="begin"/>
        </w:r>
        <w:r>
          <w:instrText>PAGE   \* MERGEFORMAT</w:instrText>
        </w:r>
        <w:r>
          <w:fldChar w:fldCharType="separate"/>
        </w:r>
        <w:r>
          <w:rPr>
            <w:lang w:val="zh-CN"/>
          </w:rPr>
          <w:t>5</w:t>
        </w:r>
        <w:r>
          <w:rPr>
            <w:lang w:val="zh-CN"/>
          </w:rPr>
          <w:fldChar w:fldCharType="end"/>
        </w:r>
      </w:p>
    </w:sdtContent>
  </w:sdt>
  <w:p w:rsidR="00FF4C1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53029700"/>
      <w:richText/>
    </w:sdtPr>
    <w:sdtContent>
      <w:p w:rsidR="00FF4C10">
        <w:pPr>
          <w:pStyle w:val="Footer"/>
          <w:jc w:val="center"/>
        </w:pPr>
        <w:r>
          <w:fldChar w:fldCharType="begin"/>
        </w:r>
        <w:r>
          <w:instrText>PAGE   \* MERGEFORMAT</w:instrText>
        </w:r>
        <w:r>
          <w:fldChar w:fldCharType="separate"/>
        </w:r>
        <w:r>
          <w:rPr>
            <w:lang w:val="zh-CN"/>
          </w:rPr>
          <w:t>6</w:t>
        </w:r>
        <w:r>
          <w:rPr>
            <w:lang w:val="zh-CN"/>
          </w:rPr>
          <w:fldChar w:fldCharType="end"/>
        </w:r>
      </w:p>
    </w:sdtContent>
  </w:sdt>
  <w:p w:rsidR="00FF4C1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633165754"/>
      <w:richText/>
    </w:sdtPr>
    <w:sdtContent>
      <w:p w:rsidR="00FF4C10">
        <w:pPr>
          <w:pStyle w:val="Footer"/>
          <w:jc w:val="center"/>
        </w:pPr>
        <w:r>
          <w:fldChar w:fldCharType="begin"/>
        </w:r>
        <w:r>
          <w:instrText>PAGE   \* MERGEFORMAT</w:instrText>
        </w:r>
        <w:r>
          <w:fldChar w:fldCharType="separate"/>
        </w:r>
        <w:r>
          <w:rPr>
            <w:lang w:val="zh-CN"/>
          </w:rPr>
          <w:t>7</w:t>
        </w:r>
        <w:r>
          <w:rPr>
            <w:lang w:val="zh-CN"/>
          </w:rPr>
          <w:fldChar w:fldCharType="end"/>
        </w:r>
      </w:p>
    </w:sdtContent>
  </w:sdt>
  <w:p w:rsidR="00FF4C1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C10">
    <w:pPr>
      <w:pStyle w:val="Footer"/>
      <w:ind w:firstLine="480"/>
      <w:jc w:val="center"/>
    </w:pPr>
    <w:r>
      <w:fldChar w:fldCharType="begin"/>
    </w:r>
    <w:r>
      <w:instrText>PAGE   \* MERGEFORMAT</w:instrText>
    </w:r>
    <w:r>
      <w:fldChar w:fldCharType="separate"/>
    </w:r>
    <w:r>
      <w:rPr>
        <w:lang w:val="zh-CN"/>
      </w:rPr>
      <w:t>9</w:t>
    </w:r>
    <w:r>
      <w:fldChar w:fldCharType="end"/>
    </w:r>
  </w:p>
  <w:p w:rsidR="00FF4C10">
    <w:pPr>
      <w:pStyle w:val="Footer"/>
      <w:rPr>
        <w:rFonts w:ascii="Tahoma" w:hAnsi="Tahoma"/>
        <w:sz w:val="24"/>
        <w:szCs w:val="20"/>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C10">
    <w:pPr>
      <w:pStyle w:val="Footer"/>
      <w:ind w:firstLine="480"/>
      <w:jc w:val="center"/>
    </w:pPr>
    <w:r>
      <w:fldChar w:fldCharType="begin"/>
    </w:r>
    <w:r>
      <w:instrText>PAGE   \* MERGEFORMAT</w:instrText>
    </w:r>
    <w:r>
      <w:fldChar w:fldCharType="separate"/>
    </w:r>
    <w:r>
      <w:rPr>
        <w:lang w:val="zh-CN"/>
      </w:rPr>
      <w:t>10</w:t>
    </w:r>
    <w:r>
      <w:fldChar w:fldCharType="end"/>
    </w:r>
  </w:p>
  <w:p w:rsidR="00FF4C10">
    <w:pPr>
      <w:pStyle w:val="Footer"/>
      <w:rPr>
        <w:rFonts w:ascii="Tahoma" w:hAnsi="Tahoma"/>
        <w:sz w:val="24"/>
        <w:szCs w:val="2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C10">
    <w:pPr>
      <w:pStyle w:val="Footer"/>
      <w:ind w:firstLine="480"/>
      <w:jc w:val="center"/>
    </w:pPr>
    <w:r>
      <w:fldChar w:fldCharType="begin"/>
    </w:r>
    <w:r>
      <w:instrText>PAGE   \* MERGEFORMAT</w:instrText>
    </w:r>
    <w:r>
      <w:fldChar w:fldCharType="separate"/>
    </w:r>
    <w:r>
      <w:rPr>
        <w:lang w:val="zh-CN"/>
      </w:rPr>
      <w:t>12</w:t>
    </w:r>
    <w:r>
      <w:fldChar w:fldCharType="end"/>
    </w:r>
  </w:p>
  <w:p w:rsidR="00FF4C10">
    <w:pPr>
      <w:pStyle w:val="Footer"/>
      <w:rPr>
        <w:rFonts w:ascii="Tahoma" w:hAnsi="Tahoma"/>
        <w:sz w:val="24"/>
        <w:szCs w:val="2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C10">
    <w:pPr>
      <w:pStyle w:val="Footer"/>
      <w:ind w:firstLine="480"/>
      <w:jc w:val="center"/>
    </w:pPr>
    <w:r>
      <w:fldChar w:fldCharType="begin"/>
    </w:r>
    <w:r>
      <w:instrText>PAGE   \* MERGEFORMAT</w:instrText>
    </w:r>
    <w:r>
      <w:fldChar w:fldCharType="separate"/>
    </w:r>
    <w:r>
      <w:rPr>
        <w:lang w:val="zh-CN"/>
      </w:rPr>
      <w:t>12</w:t>
    </w:r>
    <w:r>
      <w:fldChar w:fldCharType="end"/>
    </w:r>
  </w:p>
  <w:p w:rsidR="00FF4C10">
    <w:pPr>
      <w:pStyle w:val="Footer"/>
      <w:rPr>
        <w:rFonts w:ascii="Tahoma" w:hAnsi="Tahoma"/>
        <w:sz w:val="24"/>
        <w:szCs w:val="20"/>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C10">
    <w:pPr>
      <w:pStyle w:val="Footer"/>
      <w:ind w:firstLine="480"/>
      <w:jc w:val="center"/>
    </w:pPr>
    <w:r>
      <w:fldChar w:fldCharType="begin"/>
    </w:r>
    <w:r>
      <w:instrText>PAGE   \* MERGEFORMAT</w:instrText>
    </w:r>
    <w:r>
      <w:fldChar w:fldCharType="separate"/>
    </w:r>
    <w:r>
      <w:rPr>
        <w:lang w:val="zh-CN"/>
      </w:rPr>
      <w:t>13</w:t>
    </w:r>
    <w:r>
      <w:fldChar w:fldCharType="end"/>
    </w:r>
  </w:p>
  <w:p w:rsidR="00FF4C10">
    <w:pPr>
      <w:pStyle w:val="Footer"/>
      <w:rPr>
        <w:rFonts w:ascii="Tahoma" w:hAnsi="Tahoma"/>
        <w:sz w:val="24"/>
        <w:szCs w:val="20"/>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C10">
    <w:pPr>
      <w:pStyle w:val="Footer"/>
      <w:ind w:firstLine="480"/>
      <w:jc w:val="center"/>
    </w:pPr>
    <w:r>
      <w:fldChar w:fldCharType="begin"/>
    </w:r>
    <w:r>
      <w:instrText>PAGE   \* MERGEFORMAT</w:instrText>
    </w:r>
    <w:r>
      <w:fldChar w:fldCharType="separate"/>
    </w:r>
    <w:r>
      <w:rPr>
        <w:lang w:val="zh-CN"/>
      </w:rPr>
      <w:t>15</w:t>
    </w:r>
    <w:r>
      <w:fldChar w:fldCharType="end"/>
    </w:r>
  </w:p>
  <w:p w:rsidR="00FF4C10">
    <w:pPr>
      <w:pStyle w:val="Footer"/>
      <w:rPr>
        <w:rFonts w:ascii="Tahoma" w:hAnsi="Tahoma"/>
        <w:sz w:val="24"/>
        <w:szCs w:val="20"/>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C10">
    <w:pPr>
      <w:pStyle w:val="Footer"/>
      <w:ind w:firstLine="480"/>
      <w:jc w:val="center"/>
    </w:pPr>
    <w:r>
      <w:fldChar w:fldCharType="begin"/>
    </w:r>
    <w:r>
      <w:instrText>PAGE   \* MERGEFORMAT</w:instrText>
    </w:r>
    <w:r>
      <w:fldChar w:fldCharType="separate"/>
    </w:r>
    <w:r>
      <w:rPr>
        <w:lang w:val="zh-CN"/>
      </w:rPr>
      <w:t>15</w:t>
    </w:r>
    <w:r>
      <w:fldChar w:fldCharType="end"/>
    </w:r>
  </w:p>
  <w:p w:rsidR="00FF4C10">
    <w:pPr>
      <w:pStyle w:val="Footer"/>
      <w:rPr>
        <w:rFonts w:ascii="Tahoma" w:hAnsi="Tahoma"/>
        <w:sz w:val="24"/>
        <w:szCs w:val="20"/>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C10">
    <w:pPr>
      <w:pStyle w:val="Footer"/>
      <w:ind w:firstLine="480"/>
      <w:jc w:val="center"/>
    </w:pPr>
    <w:r>
      <w:fldChar w:fldCharType="begin"/>
    </w:r>
    <w:r>
      <w:instrText>PAGE   \* MERGEFORMAT</w:instrText>
    </w:r>
    <w:r>
      <w:fldChar w:fldCharType="separate"/>
    </w:r>
    <w:r>
      <w:rPr>
        <w:lang w:val="zh-CN"/>
      </w:rPr>
      <w:t>16</w:t>
    </w:r>
    <w:r>
      <w:fldChar w:fldCharType="end"/>
    </w:r>
  </w:p>
  <w:p w:rsidR="00FF4C10">
    <w:pPr>
      <w:pStyle w:val="Footer"/>
      <w:rPr>
        <w:rFonts w:ascii="Tahoma" w:hAnsi="Tahoma"/>
        <w:sz w:val="24"/>
        <w:szCs w:val="20"/>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C10">
    <w:pPr>
      <w:pStyle w:val="Footer"/>
      <w:ind w:firstLine="480"/>
      <w:jc w:val="center"/>
    </w:pPr>
    <w:r>
      <w:fldChar w:fldCharType="begin"/>
    </w:r>
    <w:r>
      <w:instrText>PAGE   \* MERGEFORMAT</w:instrText>
    </w:r>
    <w:r>
      <w:fldChar w:fldCharType="separate"/>
    </w:r>
    <w:r>
      <w:rPr>
        <w:lang w:val="zh-CN"/>
      </w:rPr>
      <w:t>17</w:t>
    </w:r>
    <w:r>
      <w:fldChar w:fldCharType="end"/>
    </w:r>
  </w:p>
  <w:p w:rsidR="00FF4C10">
    <w:pPr>
      <w:pStyle w:val="Footer"/>
      <w:rPr>
        <w:rFonts w:ascii="Tahoma" w:hAnsi="Tahoma"/>
        <w:sz w:val="24"/>
        <w:szCs w:val="20"/>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C10">
    <w:pPr>
      <w:pStyle w:val="Footer"/>
      <w:ind w:firstLine="480"/>
      <w:jc w:val="center"/>
    </w:pPr>
    <w:r>
      <w:fldChar w:fldCharType="begin"/>
    </w:r>
    <w:r>
      <w:instrText>PAGE   \* MERGEFORMAT</w:instrText>
    </w:r>
    <w:r>
      <w:fldChar w:fldCharType="separate"/>
    </w:r>
    <w:r>
      <w:rPr>
        <w:lang w:val="zh-CN"/>
      </w:rPr>
      <w:t>18</w:t>
    </w:r>
    <w:r>
      <w:fldChar w:fldCharType="end"/>
    </w:r>
  </w:p>
  <w:p w:rsidR="00FF4C10">
    <w:pPr>
      <w:pStyle w:val="Footer"/>
      <w:rPr>
        <w:rFonts w:ascii="Tahoma" w:hAnsi="Tahoma"/>
        <w:sz w:val="24"/>
        <w:szCs w:val="20"/>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C10">
    <w:pPr>
      <w:pStyle w:val="Footer"/>
      <w:ind w:firstLine="480"/>
      <w:jc w:val="center"/>
    </w:pPr>
    <w:r>
      <w:fldChar w:fldCharType="begin"/>
    </w:r>
    <w:r>
      <w:instrText>PAGE   \* MERGEFORMAT</w:instrText>
    </w:r>
    <w:r>
      <w:fldChar w:fldCharType="separate"/>
    </w:r>
    <w:r>
      <w:rPr>
        <w:lang w:val="zh-CN"/>
      </w:rPr>
      <w:t>20</w:t>
    </w:r>
    <w:r>
      <w:fldChar w:fldCharType="end"/>
    </w:r>
  </w:p>
  <w:p w:rsidR="00FF4C10">
    <w:pPr>
      <w:pStyle w:val="Footer"/>
      <w:rPr>
        <w:rFonts w:ascii="Tahoma" w:hAnsi="Tahoma"/>
        <w:sz w:val="24"/>
        <w:szCs w:val="20"/>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C1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C1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C1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C1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C10">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C1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C1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C10">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C10">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C10">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C1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2B8AF2D"/>
    <w:multiLevelType w:val="multilevel"/>
    <w:tmpl w:val="92B8AF2D"/>
    <w:lvl w:ilvl="0">
      <w:start w:val="1"/>
      <w:numFmt w:val="chineseCounting"/>
      <w:suff w:val="nothing"/>
      <w:lvlText w:val="第%1章 "/>
      <w:lvlJc w:val="left"/>
      <w:pPr>
        <w:ind w:left="0" w:firstLine="402"/>
      </w:pPr>
      <w:rPr>
        <w:rFonts w:hint="eastAsia"/>
      </w:rPr>
    </w:lvl>
    <w:lvl w:ilvl="1">
      <w:start w:val="1"/>
      <w:numFmt w:val="chineseCounting"/>
      <w:suff w:val="nothing"/>
      <w:lvlText w:val="%2、"/>
      <w:lvlJc w:val="left"/>
      <w:pPr>
        <w:ind w:left="0" w:firstLine="402"/>
      </w:pPr>
      <w:rPr>
        <w:rFonts w:hint="eastAsia"/>
      </w:rPr>
    </w:lvl>
    <w:lvl w:ilvl="2">
      <w:start w:val="1"/>
      <w:numFmt w:val="decimal"/>
      <w:suff w:val="nothing"/>
      <w:lvlText w:val="%3．"/>
      <w:lvlJc w:val="left"/>
      <w:pPr>
        <w:ind w:left="0" w:firstLine="402"/>
      </w:pPr>
      <w:rPr>
        <w:rFonts w:hint="eastAsia"/>
      </w:rPr>
    </w:lvl>
    <w:lvl w:ilvl="3">
      <w:start w:val="1"/>
      <w:numFmt w:val="decimal"/>
      <w:suff w:val="nothing"/>
      <w:lvlText w:val="（%4）"/>
      <w:lvlJc w:val="left"/>
      <w:pPr>
        <w:ind w:left="0" w:firstLine="402"/>
      </w:pPr>
      <w:rPr>
        <w:rFonts w:hint="eastAsia"/>
      </w:rPr>
    </w:lvl>
    <w:lvl w:ilvl="4">
      <w:start w:val="1"/>
      <w:numFmt w:val="decimalEnclosedCircleChinese"/>
      <w:suff w:val="nothing"/>
      <w:lvlText w:val="%5 "/>
      <w:lvlJc w:val="left"/>
      <w:pPr>
        <w:ind w:left="0" w:firstLine="402"/>
      </w:pPr>
      <w:rPr>
        <w:rFonts w:hint="eastAsia"/>
      </w:rPr>
    </w:lvl>
    <w:lvl w:ilvl="5">
      <w:start w:val="1"/>
      <w:numFmt w:val="decimal"/>
      <w:suff w:val="nothing"/>
      <w:lvlText w:val="%6）"/>
      <w:lvlJc w:val="left"/>
      <w:pPr>
        <w:ind w:left="0" w:firstLine="402"/>
      </w:pPr>
      <w:rPr>
        <w:rFonts w:hint="eastAsia"/>
      </w:rPr>
    </w:lvl>
    <w:lvl w:ilvl="6">
      <w:start w:val="1"/>
      <w:numFmt w:val="lowerLetter"/>
      <w:suff w:val="nothing"/>
      <w:lvlText w:val="%7．"/>
      <w:lvlJc w:val="left"/>
      <w:pPr>
        <w:ind w:left="0" w:firstLine="402"/>
      </w:pPr>
      <w:rPr>
        <w:rFonts w:hint="eastAsia"/>
      </w:rPr>
    </w:lvl>
    <w:lvl w:ilvl="7">
      <w:start w:val="1"/>
      <w:numFmt w:val="lowerLetter"/>
      <w:suff w:val="nothing"/>
      <w:lvlText w:val="%8）"/>
      <w:lvlJc w:val="left"/>
      <w:pPr>
        <w:ind w:left="0" w:firstLine="402"/>
      </w:pPr>
      <w:rPr>
        <w:rFonts w:hint="eastAsia"/>
      </w:rPr>
    </w:lvl>
    <w:lvl w:ilvl="8">
      <w:start w:val="1"/>
      <w:numFmt w:val="lowerRoman"/>
      <w:suff w:val="nothing"/>
      <w:lvlText w:val="%9. "/>
      <w:lvlJc w:val="left"/>
      <w:pPr>
        <w:ind w:left="0" w:firstLine="402"/>
      </w:pPr>
      <w:rPr>
        <w:rFonts w:hint="eastAsia"/>
      </w:rPr>
    </w:lvl>
  </w:abstractNum>
  <w:abstractNum w:abstractNumId="1">
    <w:nsid w:val="960C84E7"/>
    <w:multiLevelType w:val="singleLevel"/>
    <w:tmpl w:val="960C84E7"/>
    <w:lvl w:ilvl="0">
      <w:start w:val="1"/>
      <w:numFmt w:val="decimal"/>
      <w:suff w:val="nothing"/>
      <w:lvlText w:val="14.%1 "/>
      <w:lvlJc w:val="left"/>
      <w:pPr>
        <w:tabs>
          <w:tab w:val="left" w:pos="0"/>
        </w:tabs>
        <w:ind w:firstLine="40"/>
      </w:pPr>
      <w:rPr>
        <w:rFonts w:ascii="宋体" w:eastAsia="宋体" w:hAnsi="宋体" w:hint="default"/>
      </w:rPr>
    </w:lvl>
  </w:abstractNum>
  <w:abstractNum w:abstractNumId="2">
    <w:nsid w:val="9E7D436F"/>
    <w:multiLevelType w:val="singleLevel"/>
    <w:tmpl w:val="9E7D436F"/>
    <w:lvl w:ilvl="0">
      <w:start w:val="1"/>
      <w:numFmt w:val="chineseCounting"/>
      <w:suff w:val="nothing"/>
      <w:lvlText w:val="%1、"/>
      <w:lvlJc w:val="left"/>
      <w:rPr>
        <w:rFonts w:hint="eastAsia"/>
      </w:rPr>
    </w:lvl>
  </w:abstractNum>
  <w:abstractNum w:abstractNumId="3">
    <w:nsid w:val="BC48C2F1"/>
    <w:multiLevelType w:val="singleLevel"/>
    <w:tmpl w:val="BC48C2F1"/>
    <w:lvl w:ilvl="0">
      <w:start w:val="1"/>
      <w:numFmt w:val="decimalEnclosedCircleChinese"/>
      <w:suff w:val="nothing"/>
      <w:lvlText w:val="%1　"/>
      <w:lvlJc w:val="left"/>
      <w:pPr>
        <w:ind w:firstLine="1134"/>
      </w:pPr>
      <w:rPr>
        <w:rFonts w:hint="eastAsia"/>
      </w:rPr>
    </w:lvl>
  </w:abstractNum>
  <w:abstractNum w:abstractNumId="4">
    <w:nsid w:val="D546B0B5"/>
    <w:multiLevelType w:val="singleLevel"/>
    <w:tmpl w:val="D546B0B5"/>
    <w:lvl w:ilvl="0">
      <w:start w:val="1"/>
      <w:numFmt w:val="decimalEnclosedCircleChinese"/>
      <w:suff w:val="nothing"/>
      <w:lvlText w:val="%1　"/>
      <w:lvlJc w:val="left"/>
      <w:pPr>
        <w:ind w:left="0" w:firstLine="400"/>
      </w:pPr>
      <w:rPr>
        <w:rFonts w:hint="eastAsia"/>
      </w:rPr>
    </w:lvl>
  </w:abstractNum>
  <w:abstractNum w:abstractNumId="5">
    <w:nsid w:val="FF8E5FC9"/>
    <w:multiLevelType w:val="singleLevel"/>
    <w:tmpl w:val="FF8E5FC9"/>
    <w:lvl w:ilvl="0">
      <w:start w:val="1"/>
      <w:numFmt w:val="decimal"/>
      <w:suff w:val="nothing"/>
      <w:lvlText w:val="%1．"/>
      <w:lvlJc w:val="left"/>
      <w:pPr>
        <w:ind w:firstLine="397"/>
      </w:pPr>
      <w:rPr>
        <w:rFonts w:hint="default"/>
      </w:rPr>
    </w:lvl>
  </w:abstractNum>
  <w:abstractNum w:abstractNumId="6">
    <w:nsid w:val="00000007"/>
    <w:multiLevelType w:val="multilevel"/>
    <w:tmpl w:val="00000007"/>
    <w:lvl w:ilvl="0">
      <w:start w:val="1"/>
      <w:numFmt w:val="bullet"/>
      <w:pStyle w:val="MMTopic4"/>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7">
    <w:nsid w:val="0B9D2C1E"/>
    <w:multiLevelType w:val="singleLevel"/>
    <w:tmpl w:val="0B9D2C1E"/>
    <w:lvl w:ilvl="0">
      <w:start w:val="1"/>
      <w:numFmt w:val="decimalEnclosedCircleChinese"/>
      <w:suff w:val="nothing"/>
      <w:lvlText w:val="%1　"/>
      <w:lvlJc w:val="left"/>
      <w:pPr>
        <w:ind w:firstLine="1134"/>
      </w:pPr>
      <w:rPr>
        <w:rFonts w:hint="eastAsia"/>
      </w:rPr>
    </w:lvl>
  </w:abstractNum>
  <w:abstractNum w:abstractNumId="8">
    <w:nsid w:val="12F353C5"/>
    <w:multiLevelType w:val="singleLevel"/>
    <w:tmpl w:val="12F353C5"/>
    <w:lvl w:ilvl="0">
      <w:start w:val="1"/>
      <w:numFmt w:val="chineseCounting"/>
      <w:suff w:val="nothing"/>
      <w:lvlText w:val="%1、"/>
      <w:lvlJc w:val="left"/>
      <w:rPr>
        <w:rFonts w:hint="eastAsia"/>
      </w:rPr>
    </w:lvl>
  </w:abstractNum>
  <w:abstractNum w:abstractNumId="9">
    <w:nsid w:val="139B6DF6"/>
    <w:multiLevelType w:val="singleLevel"/>
    <w:tmpl w:val="139B6DF6"/>
    <w:lvl w:ilvl="0">
      <w:start w:val="1"/>
      <w:numFmt w:val="decimal"/>
      <w:suff w:val="nothing"/>
      <w:lvlText w:val="9.%1 "/>
      <w:lvlJc w:val="left"/>
      <w:pPr>
        <w:tabs>
          <w:tab w:val="left" w:pos="1378"/>
        </w:tabs>
        <w:ind w:firstLine="40"/>
      </w:pPr>
      <w:rPr>
        <w:rFonts w:ascii="宋体" w:eastAsia="宋体" w:hAnsi="宋体" w:hint="default"/>
      </w:rPr>
    </w:lvl>
  </w:abstractNum>
  <w:abstractNum w:abstractNumId="10">
    <w:nsid w:val="1DBCF645"/>
    <w:multiLevelType w:val="singleLevel"/>
    <w:tmpl w:val="1DBCF645"/>
    <w:lvl w:ilvl="0">
      <w:start w:val="1"/>
      <w:numFmt w:val="decimalEnclosedCircleChinese"/>
      <w:suff w:val="nothing"/>
      <w:lvlText w:val="%1　"/>
      <w:lvlJc w:val="left"/>
      <w:pPr>
        <w:ind w:firstLine="397"/>
      </w:pPr>
      <w:rPr>
        <w:rFonts w:hint="eastAsia"/>
      </w:rPr>
    </w:lvl>
  </w:abstractNum>
  <w:abstractNum w:abstractNumId="11">
    <w:nsid w:val="1EC1A361"/>
    <w:multiLevelType w:val="singleLevel"/>
    <w:tmpl w:val="1EC1A361"/>
    <w:lvl w:ilvl="0">
      <w:start w:val="1"/>
      <w:numFmt w:val="decimalEnclosedCircleChinese"/>
      <w:suff w:val="nothing"/>
      <w:lvlText w:val="%1　"/>
      <w:lvlJc w:val="left"/>
      <w:pPr>
        <w:ind w:firstLine="397"/>
      </w:pPr>
      <w:rPr>
        <w:rFonts w:hint="eastAsia"/>
      </w:rPr>
    </w:lvl>
  </w:abstractNum>
  <w:abstractNum w:abstractNumId="12">
    <w:nsid w:val="25F33ADD"/>
    <w:multiLevelType w:val="singleLevel"/>
    <w:tmpl w:val="25F33ADD"/>
    <w:lvl w:ilvl="0">
      <w:start w:val="1"/>
      <w:numFmt w:val="decimalEnclosedCircleChinese"/>
      <w:suff w:val="nothing"/>
      <w:lvlText w:val="%1　"/>
      <w:lvlJc w:val="left"/>
      <w:pPr>
        <w:ind w:firstLine="1134"/>
      </w:pPr>
      <w:rPr>
        <w:rFonts w:hint="eastAsia"/>
      </w:rPr>
    </w:lvl>
  </w:abstractNum>
  <w:abstractNum w:abstractNumId="13">
    <w:nsid w:val="31213A5A"/>
    <w:multiLevelType w:val="singleLevel"/>
    <w:tmpl w:val="31213A5A"/>
    <w:lvl w:ilvl="0">
      <w:start w:val="4"/>
      <w:numFmt w:val="chineseCounting"/>
      <w:suff w:val="nothing"/>
      <w:lvlText w:val="%1、"/>
      <w:lvlJc w:val="left"/>
      <w:rPr>
        <w:rFonts w:hint="eastAsia"/>
      </w:rPr>
    </w:lvl>
  </w:abstractNum>
  <w:abstractNum w:abstractNumId="14">
    <w:nsid w:val="43F94463"/>
    <w:multiLevelType w:val="singleLevel"/>
    <w:tmpl w:val="43F94463"/>
    <w:lvl w:ilvl="0">
      <w:start w:val="1"/>
      <w:numFmt w:val="decimalEnclosedCircleChinese"/>
      <w:suff w:val="nothing"/>
      <w:lvlText w:val="%1　"/>
      <w:lvlJc w:val="left"/>
      <w:pPr>
        <w:ind w:firstLine="1134"/>
      </w:pPr>
      <w:rPr>
        <w:rFonts w:hint="eastAsia"/>
      </w:rPr>
    </w:lvl>
  </w:abstractNum>
  <w:abstractNum w:abstractNumId="15">
    <w:nsid w:val="466C6E1F"/>
    <w:multiLevelType w:val="multilevel"/>
    <w:tmpl w:val="466C6E1F"/>
    <w:lvl w:ilvl="0">
      <w:start w:val="1"/>
      <w:numFmt w:val="upperLetter"/>
      <w:pStyle w:val="Heading3"/>
      <w:lvlText w:val="%1、"/>
      <w:lvlJc w:val="left"/>
      <w:pPr>
        <w:tabs>
          <w:tab w:val="left" w:pos="1275"/>
        </w:tabs>
        <w:ind w:left="1275" w:hanging="720"/>
      </w:pPr>
      <w:rPr>
        <w:rFonts w:hAnsi="宋体" w:hint="eastAsia"/>
      </w:rPr>
    </w:lvl>
    <w:lvl w:ilvl="1">
      <w:start w:val="1"/>
      <w:numFmt w:val="decimalEnclosedCircle"/>
      <w:lvlText w:val="%2"/>
      <w:lvlJc w:val="left"/>
      <w:pPr>
        <w:tabs>
          <w:tab w:val="left" w:pos="1335"/>
        </w:tabs>
        <w:ind w:left="1335" w:hanging="360"/>
      </w:pPr>
      <w:rPr>
        <w:rFonts w:hAnsi="宋体" w:hint="eastAsia"/>
      </w:rPr>
    </w:lvl>
    <w:lvl w:ilvl="2">
      <w:start w:val="1"/>
      <w:numFmt w:val="lowerRoman"/>
      <w:lvlText w:val="%3."/>
      <w:lvlJc w:val="right"/>
      <w:pPr>
        <w:tabs>
          <w:tab w:val="left" w:pos="1815"/>
        </w:tabs>
        <w:ind w:left="1815" w:hanging="420"/>
      </w:pPr>
    </w:lvl>
    <w:lvl w:ilvl="3">
      <w:start w:val="1"/>
      <w:numFmt w:val="decimal"/>
      <w:lvlText w:val="%4."/>
      <w:lvlJc w:val="left"/>
      <w:pPr>
        <w:tabs>
          <w:tab w:val="left" w:pos="2235"/>
        </w:tabs>
        <w:ind w:left="2235" w:hanging="420"/>
      </w:pPr>
    </w:lvl>
    <w:lvl w:ilvl="4">
      <w:start w:val="1"/>
      <w:numFmt w:val="lowerLetter"/>
      <w:lvlText w:val="%5)"/>
      <w:lvlJc w:val="left"/>
      <w:pPr>
        <w:tabs>
          <w:tab w:val="left" w:pos="2655"/>
        </w:tabs>
        <w:ind w:left="2655" w:hanging="420"/>
      </w:pPr>
    </w:lvl>
    <w:lvl w:ilvl="5">
      <w:start w:val="1"/>
      <w:numFmt w:val="lowerRoman"/>
      <w:lvlText w:val="%6."/>
      <w:lvlJc w:val="right"/>
      <w:pPr>
        <w:tabs>
          <w:tab w:val="left" w:pos="3075"/>
        </w:tabs>
        <w:ind w:left="3075" w:hanging="420"/>
      </w:pPr>
    </w:lvl>
    <w:lvl w:ilvl="6">
      <w:start w:val="1"/>
      <w:numFmt w:val="decimal"/>
      <w:lvlText w:val="%7."/>
      <w:lvlJc w:val="left"/>
      <w:pPr>
        <w:tabs>
          <w:tab w:val="left" w:pos="3495"/>
        </w:tabs>
        <w:ind w:left="3495" w:hanging="420"/>
      </w:pPr>
    </w:lvl>
    <w:lvl w:ilvl="7">
      <w:start w:val="1"/>
      <w:numFmt w:val="lowerLetter"/>
      <w:lvlText w:val="%8)"/>
      <w:lvlJc w:val="left"/>
      <w:pPr>
        <w:tabs>
          <w:tab w:val="left" w:pos="3915"/>
        </w:tabs>
        <w:ind w:left="3915" w:hanging="420"/>
      </w:pPr>
    </w:lvl>
    <w:lvl w:ilvl="8">
      <w:start w:val="1"/>
      <w:numFmt w:val="lowerRoman"/>
      <w:lvlText w:val="%9."/>
      <w:lvlJc w:val="right"/>
      <w:pPr>
        <w:tabs>
          <w:tab w:val="left" w:pos="4335"/>
        </w:tabs>
        <w:ind w:left="4335" w:hanging="420"/>
      </w:pPr>
    </w:lvl>
  </w:abstractNum>
  <w:abstractNum w:abstractNumId="16">
    <w:nsid w:val="474E1A63"/>
    <w:multiLevelType w:val="singleLevel"/>
    <w:tmpl w:val="474E1A63"/>
    <w:lvl w:ilvl="0">
      <w:start w:val="1"/>
      <w:numFmt w:val="decimalEnclosedCircleChinese"/>
      <w:suff w:val="nothing"/>
      <w:lvlText w:val="%1　"/>
      <w:lvlJc w:val="left"/>
      <w:pPr>
        <w:ind w:firstLine="1134"/>
      </w:pPr>
      <w:rPr>
        <w:rFonts w:hint="eastAsia"/>
      </w:rPr>
    </w:lvl>
  </w:abstractNum>
  <w:abstractNum w:abstractNumId="17">
    <w:nsid w:val="4D4A2151"/>
    <w:multiLevelType w:val="singleLevel"/>
    <w:tmpl w:val="4D4A2151"/>
    <w:lvl w:ilvl="0">
      <w:start w:val="1"/>
      <w:numFmt w:val="decimal"/>
      <w:suff w:val="nothing"/>
      <w:lvlText w:val="%1．"/>
      <w:lvlJc w:val="left"/>
      <w:pPr>
        <w:ind w:firstLine="397"/>
      </w:pPr>
      <w:rPr>
        <w:rFonts w:hint="default"/>
      </w:rPr>
    </w:lvl>
  </w:abstractNum>
  <w:abstractNum w:abstractNumId="18">
    <w:nsid w:val="6A96EE79"/>
    <w:multiLevelType w:val="singleLevel"/>
    <w:tmpl w:val="6A96EE79"/>
    <w:lvl w:ilvl="0">
      <w:start w:val="1"/>
      <w:numFmt w:val="decimalEnclosedCircleChinese"/>
      <w:suff w:val="nothing"/>
      <w:lvlText w:val="%1　"/>
      <w:lvlJc w:val="left"/>
      <w:pPr>
        <w:ind w:left="0" w:firstLine="400"/>
      </w:pPr>
      <w:rPr>
        <w:rFonts w:hint="eastAsia"/>
      </w:rPr>
    </w:lvl>
  </w:abstractNum>
  <w:num w:numId="1">
    <w:abstractNumId w:val="15"/>
  </w:num>
  <w:num w:numId="2">
    <w:abstractNumId w:val="6"/>
  </w:num>
  <w:num w:numId="3">
    <w:abstractNumId w:val="5"/>
  </w:num>
  <w:num w:numId="4">
    <w:abstractNumId w:val="17"/>
  </w:num>
  <w:num w:numId="5">
    <w:abstractNumId w:val="10"/>
  </w:num>
  <w:num w:numId="6">
    <w:abstractNumId w:val="11"/>
  </w:num>
  <w:num w:numId="7">
    <w:abstractNumId w:val="8"/>
  </w:num>
  <w:num w:numId="8">
    <w:abstractNumId w:val="9"/>
  </w:num>
  <w:num w:numId="9">
    <w:abstractNumId w:val="16"/>
  </w:num>
  <w:num w:numId="10">
    <w:abstractNumId w:val="14"/>
  </w:num>
  <w:num w:numId="11">
    <w:abstractNumId w:val="18"/>
  </w:num>
  <w:num w:numId="12">
    <w:abstractNumId w:val="1"/>
  </w:num>
  <w:num w:numId="13">
    <w:abstractNumId w:val="12"/>
  </w:num>
  <w:num w:numId="14">
    <w:abstractNumId w:val="0"/>
  </w:num>
  <w:num w:numId="15">
    <w:abstractNumId w:val="2"/>
  </w:num>
  <w:num w:numId="16">
    <w:abstractNumId w:val="13"/>
  </w:num>
  <w:num w:numId="17">
    <w:abstractNumId w:val="3"/>
  </w:num>
  <w:num w:numId="18">
    <w:abstractNumId w:val="7"/>
  </w:num>
  <w:num w:numId="1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bordersDoNotSurroundHeader/>
  <w:bordersDoNotSurroundFooter/>
  <w:defaultTabStop w:val="420"/>
  <w:doNotHyphenateCaps/>
  <w:drawingGridVerticalSpacing w:val="156"/>
  <w:noPunctuationKerning/>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1D22"/>
    <w:rsid w:val="0002407B"/>
    <w:rsid w:val="00037E77"/>
    <w:rsid w:val="00046B34"/>
    <w:rsid w:val="00050642"/>
    <w:rsid w:val="00054261"/>
    <w:rsid w:val="0006706B"/>
    <w:rsid w:val="00067DF5"/>
    <w:rsid w:val="00084DB8"/>
    <w:rsid w:val="00085ECB"/>
    <w:rsid w:val="000A6093"/>
    <w:rsid w:val="000C0FDF"/>
    <w:rsid w:val="000C1626"/>
    <w:rsid w:val="000C4314"/>
    <w:rsid w:val="000E642D"/>
    <w:rsid w:val="000F31C0"/>
    <w:rsid w:val="000F34AF"/>
    <w:rsid w:val="0010390D"/>
    <w:rsid w:val="001039CA"/>
    <w:rsid w:val="00105576"/>
    <w:rsid w:val="00110359"/>
    <w:rsid w:val="00110A33"/>
    <w:rsid w:val="00114B84"/>
    <w:rsid w:val="00116BCE"/>
    <w:rsid w:val="00120C78"/>
    <w:rsid w:val="0015146D"/>
    <w:rsid w:val="00163764"/>
    <w:rsid w:val="00172A27"/>
    <w:rsid w:val="0018216C"/>
    <w:rsid w:val="00183780"/>
    <w:rsid w:val="00192FFE"/>
    <w:rsid w:val="001A1822"/>
    <w:rsid w:val="001B4CF1"/>
    <w:rsid w:val="001B60B2"/>
    <w:rsid w:val="001C6880"/>
    <w:rsid w:val="001D0BF7"/>
    <w:rsid w:val="001D21F3"/>
    <w:rsid w:val="001F490F"/>
    <w:rsid w:val="002078E3"/>
    <w:rsid w:val="00207B3B"/>
    <w:rsid w:val="0021296F"/>
    <w:rsid w:val="00221D1D"/>
    <w:rsid w:val="00223E24"/>
    <w:rsid w:val="00224103"/>
    <w:rsid w:val="002247BF"/>
    <w:rsid w:val="00227C86"/>
    <w:rsid w:val="002465D6"/>
    <w:rsid w:val="0026106F"/>
    <w:rsid w:val="00263D2B"/>
    <w:rsid w:val="00273B76"/>
    <w:rsid w:val="00273F1A"/>
    <w:rsid w:val="00275466"/>
    <w:rsid w:val="002839D8"/>
    <w:rsid w:val="002B04D3"/>
    <w:rsid w:val="002C063C"/>
    <w:rsid w:val="002C34CA"/>
    <w:rsid w:val="002D3CD1"/>
    <w:rsid w:val="00306B39"/>
    <w:rsid w:val="00313B8D"/>
    <w:rsid w:val="003211E5"/>
    <w:rsid w:val="0032125A"/>
    <w:rsid w:val="00323682"/>
    <w:rsid w:val="00325068"/>
    <w:rsid w:val="00341C5F"/>
    <w:rsid w:val="003470DA"/>
    <w:rsid w:val="0035424B"/>
    <w:rsid w:val="0035715D"/>
    <w:rsid w:val="00357184"/>
    <w:rsid w:val="00363AFD"/>
    <w:rsid w:val="00373640"/>
    <w:rsid w:val="00374E3E"/>
    <w:rsid w:val="003914B1"/>
    <w:rsid w:val="00392B4C"/>
    <w:rsid w:val="00393C1C"/>
    <w:rsid w:val="003A0D36"/>
    <w:rsid w:val="003A514B"/>
    <w:rsid w:val="003B0654"/>
    <w:rsid w:val="003B4AB3"/>
    <w:rsid w:val="003B6DDD"/>
    <w:rsid w:val="003C7061"/>
    <w:rsid w:val="003D07BA"/>
    <w:rsid w:val="003D5064"/>
    <w:rsid w:val="003F49CC"/>
    <w:rsid w:val="00400657"/>
    <w:rsid w:val="00402FF9"/>
    <w:rsid w:val="00407277"/>
    <w:rsid w:val="00421C81"/>
    <w:rsid w:val="004277E5"/>
    <w:rsid w:val="00442B78"/>
    <w:rsid w:val="00447FEE"/>
    <w:rsid w:val="004536A0"/>
    <w:rsid w:val="00463C96"/>
    <w:rsid w:val="00467AC4"/>
    <w:rsid w:val="00470A01"/>
    <w:rsid w:val="004823D2"/>
    <w:rsid w:val="00487216"/>
    <w:rsid w:val="00491630"/>
    <w:rsid w:val="004C6CD1"/>
    <w:rsid w:val="004E63AF"/>
    <w:rsid w:val="004E7DB7"/>
    <w:rsid w:val="004F61AD"/>
    <w:rsid w:val="005014F8"/>
    <w:rsid w:val="00502B33"/>
    <w:rsid w:val="0050528B"/>
    <w:rsid w:val="00506127"/>
    <w:rsid w:val="00506AF8"/>
    <w:rsid w:val="005079CF"/>
    <w:rsid w:val="00527203"/>
    <w:rsid w:val="00536BAE"/>
    <w:rsid w:val="00542925"/>
    <w:rsid w:val="005529D2"/>
    <w:rsid w:val="00557361"/>
    <w:rsid w:val="005617C4"/>
    <w:rsid w:val="005768DC"/>
    <w:rsid w:val="005971F4"/>
    <w:rsid w:val="005A54F0"/>
    <w:rsid w:val="005B3EDB"/>
    <w:rsid w:val="005B7D1F"/>
    <w:rsid w:val="005C3597"/>
    <w:rsid w:val="005F03DB"/>
    <w:rsid w:val="00610F38"/>
    <w:rsid w:val="00616FF9"/>
    <w:rsid w:val="0064397B"/>
    <w:rsid w:val="00646067"/>
    <w:rsid w:val="0066217C"/>
    <w:rsid w:val="00665870"/>
    <w:rsid w:val="006904D3"/>
    <w:rsid w:val="00691A05"/>
    <w:rsid w:val="00692F21"/>
    <w:rsid w:val="006973E5"/>
    <w:rsid w:val="006A6850"/>
    <w:rsid w:val="006C7C7C"/>
    <w:rsid w:val="006E4D94"/>
    <w:rsid w:val="00710F26"/>
    <w:rsid w:val="00721DB0"/>
    <w:rsid w:val="007271B4"/>
    <w:rsid w:val="007536BB"/>
    <w:rsid w:val="007617EB"/>
    <w:rsid w:val="00774172"/>
    <w:rsid w:val="00775971"/>
    <w:rsid w:val="00780526"/>
    <w:rsid w:val="00785F08"/>
    <w:rsid w:val="0079084C"/>
    <w:rsid w:val="00796AA3"/>
    <w:rsid w:val="007A4C8A"/>
    <w:rsid w:val="007C1988"/>
    <w:rsid w:val="007C36F2"/>
    <w:rsid w:val="007D1674"/>
    <w:rsid w:val="007E200F"/>
    <w:rsid w:val="007F61D2"/>
    <w:rsid w:val="00804A32"/>
    <w:rsid w:val="00815016"/>
    <w:rsid w:val="00816086"/>
    <w:rsid w:val="00820B40"/>
    <w:rsid w:val="00830F9A"/>
    <w:rsid w:val="00831737"/>
    <w:rsid w:val="00841FBD"/>
    <w:rsid w:val="00860F2A"/>
    <w:rsid w:val="008651FF"/>
    <w:rsid w:val="00870215"/>
    <w:rsid w:val="00873263"/>
    <w:rsid w:val="00875467"/>
    <w:rsid w:val="00880A2D"/>
    <w:rsid w:val="00883369"/>
    <w:rsid w:val="00893230"/>
    <w:rsid w:val="008C2439"/>
    <w:rsid w:val="008C3E0D"/>
    <w:rsid w:val="008E0A0C"/>
    <w:rsid w:val="008E35FD"/>
    <w:rsid w:val="008E4E0E"/>
    <w:rsid w:val="008E755B"/>
    <w:rsid w:val="008F27BD"/>
    <w:rsid w:val="00913BA9"/>
    <w:rsid w:val="00913DF5"/>
    <w:rsid w:val="00920D39"/>
    <w:rsid w:val="009241BF"/>
    <w:rsid w:val="009261EE"/>
    <w:rsid w:val="00927DB4"/>
    <w:rsid w:val="00940AB4"/>
    <w:rsid w:val="00944720"/>
    <w:rsid w:val="009459C8"/>
    <w:rsid w:val="009500D6"/>
    <w:rsid w:val="00961B43"/>
    <w:rsid w:val="0097128A"/>
    <w:rsid w:val="009975D9"/>
    <w:rsid w:val="009B0354"/>
    <w:rsid w:val="009D0708"/>
    <w:rsid w:val="009D1851"/>
    <w:rsid w:val="009D73E9"/>
    <w:rsid w:val="009E789A"/>
    <w:rsid w:val="00A0160A"/>
    <w:rsid w:val="00A01782"/>
    <w:rsid w:val="00A03E00"/>
    <w:rsid w:val="00A06FE3"/>
    <w:rsid w:val="00A118F1"/>
    <w:rsid w:val="00A234DB"/>
    <w:rsid w:val="00A2724A"/>
    <w:rsid w:val="00A27BF9"/>
    <w:rsid w:val="00A41B49"/>
    <w:rsid w:val="00A52CBC"/>
    <w:rsid w:val="00A564DB"/>
    <w:rsid w:val="00A74A0A"/>
    <w:rsid w:val="00A82FD6"/>
    <w:rsid w:val="00A92CDF"/>
    <w:rsid w:val="00AA112C"/>
    <w:rsid w:val="00AB1812"/>
    <w:rsid w:val="00AB3663"/>
    <w:rsid w:val="00AB40E4"/>
    <w:rsid w:val="00AD549D"/>
    <w:rsid w:val="00AD7769"/>
    <w:rsid w:val="00AE721D"/>
    <w:rsid w:val="00AF40FC"/>
    <w:rsid w:val="00AF7730"/>
    <w:rsid w:val="00B06D5A"/>
    <w:rsid w:val="00B074CC"/>
    <w:rsid w:val="00B122C2"/>
    <w:rsid w:val="00B1386B"/>
    <w:rsid w:val="00B20B66"/>
    <w:rsid w:val="00B25893"/>
    <w:rsid w:val="00B34795"/>
    <w:rsid w:val="00B47103"/>
    <w:rsid w:val="00B5379E"/>
    <w:rsid w:val="00B53D73"/>
    <w:rsid w:val="00B633BD"/>
    <w:rsid w:val="00B63F10"/>
    <w:rsid w:val="00B67512"/>
    <w:rsid w:val="00B86274"/>
    <w:rsid w:val="00B94244"/>
    <w:rsid w:val="00B96A5B"/>
    <w:rsid w:val="00BA2B11"/>
    <w:rsid w:val="00BA4648"/>
    <w:rsid w:val="00BA48B6"/>
    <w:rsid w:val="00BD0B2B"/>
    <w:rsid w:val="00BD4629"/>
    <w:rsid w:val="00BE5F5A"/>
    <w:rsid w:val="00BF557D"/>
    <w:rsid w:val="00C03291"/>
    <w:rsid w:val="00C07237"/>
    <w:rsid w:val="00C07473"/>
    <w:rsid w:val="00C25F67"/>
    <w:rsid w:val="00C50363"/>
    <w:rsid w:val="00C56888"/>
    <w:rsid w:val="00C62CD4"/>
    <w:rsid w:val="00C63423"/>
    <w:rsid w:val="00C6417A"/>
    <w:rsid w:val="00C70180"/>
    <w:rsid w:val="00C93598"/>
    <w:rsid w:val="00C96E23"/>
    <w:rsid w:val="00C97493"/>
    <w:rsid w:val="00CA0E59"/>
    <w:rsid w:val="00CA29A3"/>
    <w:rsid w:val="00CA379F"/>
    <w:rsid w:val="00CD1DB8"/>
    <w:rsid w:val="00CD21E4"/>
    <w:rsid w:val="00CD58E5"/>
    <w:rsid w:val="00CE2677"/>
    <w:rsid w:val="00CF0448"/>
    <w:rsid w:val="00D03574"/>
    <w:rsid w:val="00D131CF"/>
    <w:rsid w:val="00D208F6"/>
    <w:rsid w:val="00D40761"/>
    <w:rsid w:val="00D4632B"/>
    <w:rsid w:val="00D510CF"/>
    <w:rsid w:val="00D6422E"/>
    <w:rsid w:val="00D822DF"/>
    <w:rsid w:val="00DC0F41"/>
    <w:rsid w:val="00DD0487"/>
    <w:rsid w:val="00DD533A"/>
    <w:rsid w:val="00DE7CF8"/>
    <w:rsid w:val="00DF40D8"/>
    <w:rsid w:val="00E027CF"/>
    <w:rsid w:val="00E109DA"/>
    <w:rsid w:val="00E257C8"/>
    <w:rsid w:val="00E42FD9"/>
    <w:rsid w:val="00E53562"/>
    <w:rsid w:val="00E55984"/>
    <w:rsid w:val="00E75B0B"/>
    <w:rsid w:val="00E937EB"/>
    <w:rsid w:val="00EA0033"/>
    <w:rsid w:val="00EA0DD7"/>
    <w:rsid w:val="00EA28CD"/>
    <w:rsid w:val="00EA6362"/>
    <w:rsid w:val="00EC1EE6"/>
    <w:rsid w:val="00ED0982"/>
    <w:rsid w:val="00ED39CC"/>
    <w:rsid w:val="00EE2E07"/>
    <w:rsid w:val="00EF02EE"/>
    <w:rsid w:val="00EF45AA"/>
    <w:rsid w:val="00F043A7"/>
    <w:rsid w:val="00F12831"/>
    <w:rsid w:val="00F1489C"/>
    <w:rsid w:val="00F315FA"/>
    <w:rsid w:val="00F410B6"/>
    <w:rsid w:val="00F44CF9"/>
    <w:rsid w:val="00F4616F"/>
    <w:rsid w:val="00F50C5D"/>
    <w:rsid w:val="00F519CA"/>
    <w:rsid w:val="00F673E5"/>
    <w:rsid w:val="00F90819"/>
    <w:rsid w:val="00F91F4A"/>
    <w:rsid w:val="00FA6DC6"/>
    <w:rsid w:val="00FB1A08"/>
    <w:rsid w:val="00FC0E55"/>
    <w:rsid w:val="00FF4C10"/>
    <w:rsid w:val="012B1C39"/>
    <w:rsid w:val="0149271B"/>
    <w:rsid w:val="019E2DDC"/>
    <w:rsid w:val="01A3073B"/>
    <w:rsid w:val="02710CE9"/>
    <w:rsid w:val="02C03B53"/>
    <w:rsid w:val="02E004B8"/>
    <w:rsid w:val="02EC6C60"/>
    <w:rsid w:val="02FB0AA9"/>
    <w:rsid w:val="02FB1EF4"/>
    <w:rsid w:val="03121544"/>
    <w:rsid w:val="03F57EAB"/>
    <w:rsid w:val="05E360D9"/>
    <w:rsid w:val="07BF12E4"/>
    <w:rsid w:val="09A50D27"/>
    <w:rsid w:val="09B60DA9"/>
    <w:rsid w:val="0A34069F"/>
    <w:rsid w:val="0AED4383"/>
    <w:rsid w:val="0AF331D5"/>
    <w:rsid w:val="0BB60A62"/>
    <w:rsid w:val="0CA57A5D"/>
    <w:rsid w:val="0CF75120"/>
    <w:rsid w:val="0D984ECC"/>
    <w:rsid w:val="0DB96E57"/>
    <w:rsid w:val="0DC43470"/>
    <w:rsid w:val="0DFF3D00"/>
    <w:rsid w:val="0EB00944"/>
    <w:rsid w:val="0EB67D00"/>
    <w:rsid w:val="0EF83E74"/>
    <w:rsid w:val="0F9E5390"/>
    <w:rsid w:val="0FA91D90"/>
    <w:rsid w:val="0FF43CCC"/>
    <w:rsid w:val="104145F9"/>
    <w:rsid w:val="10652731"/>
    <w:rsid w:val="119A7465"/>
    <w:rsid w:val="11CF6577"/>
    <w:rsid w:val="124F7CFA"/>
    <w:rsid w:val="12C7301C"/>
    <w:rsid w:val="13042EB0"/>
    <w:rsid w:val="13495BED"/>
    <w:rsid w:val="13975F78"/>
    <w:rsid w:val="1457637C"/>
    <w:rsid w:val="14A11446"/>
    <w:rsid w:val="1521181B"/>
    <w:rsid w:val="155C2C83"/>
    <w:rsid w:val="155D552F"/>
    <w:rsid w:val="157D7686"/>
    <w:rsid w:val="15830AE2"/>
    <w:rsid w:val="15A07E8D"/>
    <w:rsid w:val="1648774C"/>
    <w:rsid w:val="16EB43B2"/>
    <w:rsid w:val="17713564"/>
    <w:rsid w:val="17E96A6D"/>
    <w:rsid w:val="17F7065A"/>
    <w:rsid w:val="182B4269"/>
    <w:rsid w:val="18444132"/>
    <w:rsid w:val="186C142F"/>
    <w:rsid w:val="18786D26"/>
    <w:rsid w:val="188460A0"/>
    <w:rsid w:val="19061AA7"/>
    <w:rsid w:val="19152A7A"/>
    <w:rsid w:val="19470E5B"/>
    <w:rsid w:val="19616ABA"/>
    <w:rsid w:val="1A7820E6"/>
    <w:rsid w:val="1B155261"/>
    <w:rsid w:val="1B394FA6"/>
    <w:rsid w:val="1BB5293D"/>
    <w:rsid w:val="1BBC7011"/>
    <w:rsid w:val="1BDB27A5"/>
    <w:rsid w:val="1C62273F"/>
    <w:rsid w:val="1C6B3317"/>
    <w:rsid w:val="1CA94A00"/>
    <w:rsid w:val="1CFF0A9F"/>
    <w:rsid w:val="1D2148A0"/>
    <w:rsid w:val="1D293D92"/>
    <w:rsid w:val="1D916EAD"/>
    <w:rsid w:val="1E1D4217"/>
    <w:rsid w:val="1E6C78A8"/>
    <w:rsid w:val="1EDA1EFB"/>
    <w:rsid w:val="1F2B0346"/>
    <w:rsid w:val="1F431821"/>
    <w:rsid w:val="1F890C4B"/>
    <w:rsid w:val="1FA37E2C"/>
    <w:rsid w:val="1FA63478"/>
    <w:rsid w:val="203C0852"/>
    <w:rsid w:val="205B73C3"/>
    <w:rsid w:val="20A05B18"/>
    <w:rsid w:val="20D34487"/>
    <w:rsid w:val="211803A6"/>
    <w:rsid w:val="21537272"/>
    <w:rsid w:val="215A3622"/>
    <w:rsid w:val="217C1A22"/>
    <w:rsid w:val="219C2D85"/>
    <w:rsid w:val="21FF3D3B"/>
    <w:rsid w:val="22514430"/>
    <w:rsid w:val="22794E74"/>
    <w:rsid w:val="232B05BB"/>
    <w:rsid w:val="239D0D3C"/>
    <w:rsid w:val="240211E5"/>
    <w:rsid w:val="243472A5"/>
    <w:rsid w:val="24521E21"/>
    <w:rsid w:val="24E54A43"/>
    <w:rsid w:val="2599174A"/>
    <w:rsid w:val="25F7199C"/>
    <w:rsid w:val="26123C1A"/>
    <w:rsid w:val="26451EEA"/>
    <w:rsid w:val="26704F2E"/>
    <w:rsid w:val="26B85CEB"/>
    <w:rsid w:val="277B343D"/>
    <w:rsid w:val="27A10BBA"/>
    <w:rsid w:val="28C62F56"/>
    <w:rsid w:val="28DA203A"/>
    <w:rsid w:val="28F0407A"/>
    <w:rsid w:val="291A7D32"/>
    <w:rsid w:val="29655706"/>
    <w:rsid w:val="2985673E"/>
    <w:rsid w:val="2A837D0C"/>
    <w:rsid w:val="2B6E6BD0"/>
    <w:rsid w:val="2BED6F3D"/>
    <w:rsid w:val="2C0559CB"/>
    <w:rsid w:val="2C1E1BE9"/>
    <w:rsid w:val="2C610971"/>
    <w:rsid w:val="2C6D0CD3"/>
    <w:rsid w:val="2D2E43B8"/>
    <w:rsid w:val="2D346E5C"/>
    <w:rsid w:val="2DA32DCF"/>
    <w:rsid w:val="2DD451E6"/>
    <w:rsid w:val="2DE76C8B"/>
    <w:rsid w:val="2E21325F"/>
    <w:rsid w:val="2E664953"/>
    <w:rsid w:val="2FB70373"/>
    <w:rsid w:val="30190B1D"/>
    <w:rsid w:val="30892926"/>
    <w:rsid w:val="30C95219"/>
    <w:rsid w:val="30FB7A19"/>
    <w:rsid w:val="310261A7"/>
    <w:rsid w:val="31700814"/>
    <w:rsid w:val="31C3246B"/>
    <w:rsid w:val="32A75185"/>
    <w:rsid w:val="33220830"/>
    <w:rsid w:val="33340B4D"/>
    <w:rsid w:val="34645F0A"/>
    <w:rsid w:val="349413EA"/>
    <w:rsid w:val="34B73AE1"/>
    <w:rsid w:val="34DD1293"/>
    <w:rsid w:val="351B3885"/>
    <w:rsid w:val="35683C8C"/>
    <w:rsid w:val="35A43E41"/>
    <w:rsid w:val="35DC559D"/>
    <w:rsid w:val="35E33BCD"/>
    <w:rsid w:val="36055CAE"/>
    <w:rsid w:val="364544FD"/>
    <w:rsid w:val="36723436"/>
    <w:rsid w:val="36CE34E8"/>
    <w:rsid w:val="36D87F64"/>
    <w:rsid w:val="36D93CDC"/>
    <w:rsid w:val="37020770"/>
    <w:rsid w:val="3767071D"/>
    <w:rsid w:val="37CD5818"/>
    <w:rsid w:val="38336593"/>
    <w:rsid w:val="3A4F46E8"/>
    <w:rsid w:val="3B1D2098"/>
    <w:rsid w:val="3B90705F"/>
    <w:rsid w:val="3BDF3B42"/>
    <w:rsid w:val="3BFB2840"/>
    <w:rsid w:val="3BFB70AA"/>
    <w:rsid w:val="3D5D52D9"/>
    <w:rsid w:val="3D627BBF"/>
    <w:rsid w:val="3DCE50EF"/>
    <w:rsid w:val="3E1371FC"/>
    <w:rsid w:val="3E1918E3"/>
    <w:rsid w:val="3E3759DF"/>
    <w:rsid w:val="406B7E1E"/>
    <w:rsid w:val="40C34FFE"/>
    <w:rsid w:val="40E80A95"/>
    <w:rsid w:val="41B30071"/>
    <w:rsid w:val="41C50CBF"/>
    <w:rsid w:val="41D45DF7"/>
    <w:rsid w:val="42234900"/>
    <w:rsid w:val="42914373"/>
    <w:rsid w:val="4297507F"/>
    <w:rsid w:val="42A44E8B"/>
    <w:rsid w:val="42C121F4"/>
    <w:rsid w:val="43615785"/>
    <w:rsid w:val="436C497E"/>
    <w:rsid w:val="438F5E4E"/>
    <w:rsid w:val="43E77A38"/>
    <w:rsid w:val="4417389B"/>
    <w:rsid w:val="445D0DA7"/>
    <w:rsid w:val="446A2417"/>
    <w:rsid w:val="44B82B7B"/>
    <w:rsid w:val="44EE4DF6"/>
    <w:rsid w:val="45163D67"/>
    <w:rsid w:val="453A003B"/>
    <w:rsid w:val="4561670A"/>
    <w:rsid w:val="45625D0D"/>
    <w:rsid w:val="45E43793"/>
    <w:rsid w:val="46562959"/>
    <w:rsid w:val="467F690A"/>
    <w:rsid w:val="46B85F59"/>
    <w:rsid w:val="481E5144"/>
    <w:rsid w:val="48621071"/>
    <w:rsid w:val="48A0791F"/>
    <w:rsid w:val="492D7C31"/>
    <w:rsid w:val="4939021E"/>
    <w:rsid w:val="49C134CC"/>
    <w:rsid w:val="4A3766FB"/>
    <w:rsid w:val="4A5142BC"/>
    <w:rsid w:val="4A6B42F7"/>
    <w:rsid w:val="4AD245F0"/>
    <w:rsid w:val="4B5C045F"/>
    <w:rsid w:val="4B7122DD"/>
    <w:rsid w:val="4B7B7A9A"/>
    <w:rsid w:val="4B92129D"/>
    <w:rsid w:val="4BE215CD"/>
    <w:rsid w:val="4BE44EED"/>
    <w:rsid w:val="4C07155D"/>
    <w:rsid w:val="4CA93E09"/>
    <w:rsid w:val="4CDD24A8"/>
    <w:rsid w:val="4CF131A3"/>
    <w:rsid w:val="4D782815"/>
    <w:rsid w:val="4DA1334D"/>
    <w:rsid w:val="4E1F2B27"/>
    <w:rsid w:val="4E2223F6"/>
    <w:rsid w:val="4E236FF8"/>
    <w:rsid w:val="4EC72E3E"/>
    <w:rsid w:val="50240369"/>
    <w:rsid w:val="508F05EA"/>
    <w:rsid w:val="51F41D6C"/>
    <w:rsid w:val="538502F9"/>
    <w:rsid w:val="54486FDF"/>
    <w:rsid w:val="544A7684"/>
    <w:rsid w:val="544C13A2"/>
    <w:rsid w:val="54A90D98"/>
    <w:rsid w:val="54F65EBA"/>
    <w:rsid w:val="559C3833"/>
    <w:rsid w:val="56186177"/>
    <w:rsid w:val="56510169"/>
    <w:rsid w:val="565745E4"/>
    <w:rsid w:val="56F203B4"/>
    <w:rsid w:val="56FA4E99"/>
    <w:rsid w:val="57FC55AA"/>
    <w:rsid w:val="580928E7"/>
    <w:rsid w:val="585039A6"/>
    <w:rsid w:val="58551F7D"/>
    <w:rsid w:val="586B4C84"/>
    <w:rsid w:val="587972C4"/>
    <w:rsid w:val="59045A92"/>
    <w:rsid w:val="591A4141"/>
    <w:rsid w:val="59613C95"/>
    <w:rsid w:val="59F767DB"/>
    <w:rsid w:val="5A010C91"/>
    <w:rsid w:val="5A1A4A60"/>
    <w:rsid w:val="5AA412FE"/>
    <w:rsid w:val="5AC72F10"/>
    <w:rsid w:val="5AC75210"/>
    <w:rsid w:val="5B9A0F5B"/>
    <w:rsid w:val="5BB73D3C"/>
    <w:rsid w:val="5BBB51D9"/>
    <w:rsid w:val="5C6C116D"/>
    <w:rsid w:val="5C9E402C"/>
    <w:rsid w:val="5CA558C9"/>
    <w:rsid w:val="5D1C2796"/>
    <w:rsid w:val="5D217374"/>
    <w:rsid w:val="5D2F2D0C"/>
    <w:rsid w:val="5D325C01"/>
    <w:rsid w:val="5D621041"/>
    <w:rsid w:val="5DE81AA6"/>
    <w:rsid w:val="5E2B51A2"/>
    <w:rsid w:val="5E472D8C"/>
    <w:rsid w:val="5E6006BB"/>
    <w:rsid w:val="5F5B667A"/>
    <w:rsid w:val="5F9C0354"/>
    <w:rsid w:val="5FB20F63"/>
    <w:rsid w:val="5FD125EC"/>
    <w:rsid w:val="612A2884"/>
    <w:rsid w:val="61396DD0"/>
    <w:rsid w:val="62946B85"/>
    <w:rsid w:val="62D07D58"/>
    <w:rsid w:val="62FC2E15"/>
    <w:rsid w:val="63204C0B"/>
    <w:rsid w:val="63260125"/>
    <w:rsid w:val="63506F50"/>
    <w:rsid w:val="636A49A9"/>
    <w:rsid w:val="638717D9"/>
    <w:rsid w:val="643E324C"/>
    <w:rsid w:val="64A14715"/>
    <w:rsid w:val="64A37553"/>
    <w:rsid w:val="64A80D4F"/>
    <w:rsid w:val="652A37D1"/>
    <w:rsid w:val="6531611B"/>
    <w:rsid w:val="653D7B01"/>
    <w:rsid w:val="65BC50F5"/>
    <w:rsid w:val="665E3A26"/>
    <w:rsid w:val="666D7477"/>
    <w:rsid w:val="66CB2084"/>
    <w:rsid w:val="671B6AB8"/>
    <w:rsid w:val="67821C5D"/>
    <w:rsid w:val="67996221"/>
    <w:rsid w:val="67EE6D37"/>
    <w:rsid w:val="681E7F53"/>
    <w:rsid w:val="69A14E77"/>
    <w:rsid w:val="69F2386A"/>
    <w:rsid w:val="6A2019EC"/>
    <w:rsid w:val="6A3824EC"/>
    <w:rsid w:val="6AFB4133"/>
    <w:rsid w:val="6B5070BC"/>
    <w:rsid w:val="6B5C4B5C"/>
    <w:rsid w:val="6BD9357D"/>
    <w:rsid w:val="6C5239A9"/>
    <w:rsid w:val="6D0C03DA"/>
    <w:rsid w:val="6D88336F"/>
    <w:rsid w:val="6DAD5655"/>
    <w:rsid w:val="6E85701A"/>
    <w:rsid w:val="6E957640"/>
    <w:rsid w:val="6EAE446F"/>
    <w:rsid w:val="6F5E2C15"/>
    <w:rsid w:val="6F780C5E"/>
    <w:rsid w:val="6F7C10CD"/>
    <w:rsid w:val="6FE102B5"/>
    <w:rsid w:val="7030005E"/>
    <w:rsid w:val="711A0B9D"/>
    <w:rsid w:val="717776BE"/>
    <w:rsid w:val="71FF1354"/>
    <w:rsid w:val="722C2BF5"/>
    <w:rsid w:val="72781375"/>
    <w:rsid w:val="72955284"/>
    <w:rsid w:val="72EA0AEA"/>
    <w:rsid w:val="73170D70"/>
    <w:rsid w:val="732D4BB8"/>
    <w:rsid w:val="73AC6B4F"/>
    <w:rsid w:val="73D91E5F"/>
    <w:rsid w:val="73EB3D22"/>
    <w:rsid w:val="74000D42"/>
    <w:rsid w:val="75126D7A"/>
    <w:rsid w:val="75812F96"/>
    <w:rsid w:val="7585175F"/>
    <w:rsid w:val="75BA5477"/>
    <w:rsid w:val="76235854"/>
    <w:rsid w:val="77043E82"/>
    <w:rsid w:val="774E0793"/>
    <w:rsid w:val="774E25FB"/>
    <w:rsid w:val="77537603"/>
    <w:rsid w:val="77CB7931"/>
    <w:rsid w:val="77E63ABE"/>
    <w:rsid w:val="77EB0606"/>
    <w:rsid w:val="78937CF7"/>
    <w:rsid w:val="789F2237"/>
    <w:rsid w:val="78E746E7"/>
    <w:rsid w:val="79C51A78"/>
    <w:rsid w:val="79ED6971"/>
    <w:rsid w:val="7A082333"/>
    <w:rsid w:val="7A2071A2"/>
    <w:rsid w:val="7A5307A5"/>
    <w:rsid w:val="7AA31C03"/>
    <w:rsid w:val="7AA33536"/>
    <w:rsid w:val="7ADB314B"/>
    <w:rsid w:val="7B2776F8"/>
    <w:rsid w:val="7BB82893"/>
    <w:rsid w:val="7BFE1E83"/>
    <w:rsid w:val="7CA8102A"/>
    <w:rsid w:val="7D2B2CCF"/>
    <w:rsid w:val="7D383C22"/>
    <w:rsid w:val="7D6770DD"/>
    <w:rsid w:val="7DBF21A5"/>
    <w:rsid w:val="7DE93C59"/>
    <w:rsid w:val="7E4411BB"/>
    <w:rsid w:val="7EF02F3D"/>
    <w:rsid w:val="7EFB51B8"/>
    <w:rsid w:val="7F3F6140"/>
    <w:rsid w:val="7F5434CC"/>
    <w:rsid w:val="7F7100BA"/>
    <w:rsid w:val="7F7A7BD8"/>
    <w:rsid w:val="7F963FB1"/>
  </w:rsids>
  <w:docVars>
    <w:docVar w:name="commondata" w:val="eyJoZGlkIjoiOGYwNzU3MzYzMmZkNTMxYTZkOTY4ZTQ2YzA1MjFjMzM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15:docId w15:val="{98FFFE66-538F-4497-9929-0FB7DF3A82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qFormat="1"/>
    <w:lsdException w:name="toc 2" w:semiHidden="1" w:qFormat="1"/>
    <w:lsdException w:name="toc 3" w:semiHidden="1" w:qFormat="1"/>
    <w:lsdException w:name="toc 4" w:semiHidden="1" w:uiPriority="0" w:qFormat="1"/>
    <w:lsdException w:name="toc 5" w:semiHidden="1" w:uiPriority="39" w:unhideWhenUsed="1"/>
    <w:lsdException w:name="toc 6" w:semiHidden="1" w:uiPriority="0" w:qFormat="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uiPriority="0" w:qFormat="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qFormat="1"/>
    <w:lsdException w:name="Body Text First Indent" w:qFormat="1"/>
    <w:lsdException w:name="Body Text First Indent 2" w:uiPriority="0"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qFormat="1"/>
    <w:lsdException w:name="Strong" w:qFormat="1"/>
    <w:lsdException w:name="Emphasis" w:locked="1" w:uiPriority="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qFormat="1"/>
    <w:lsdException w:name="HTML Address" w:semiHidden="1" w:unhideWhenUsed="1"/>
    <w:lsdException w:name="HTML Cite" w:semiHidden="1" w:unhideWhenUsed="1" w:qFormat="1"/>
    <w:lsdException w:name="HTML Code" w:semiHidden="1" w:unhideWhenUsed="1" w:qFormat="1"/>
    <w:lsdException w:name="HTML Definition" w:semiHidden="1" w:unhideWhenUsed="1" w:qFormat="1"/>
    <w:lsdException w:name="HTML Keyboard" w:semiHidden="1" w:unhideWhenUsed="1" w:qFormat="1"/>
    <w:lsdException w:name="HTML Preformatted" w:semiHidden="1" w:unhideWhenUsed="1"/>
    <w:lsdException w:name="HTML Sample" w:semiHidden="1" w:unhideWhenUsed="1" w:qFormat="1"/>
    <w:lsdException w:name="HTML Typewriter" w:semiHidden="1" w:unhideWhenUsed="1" w:qFormat="1"/>
    <w:lsdException w:name="HTML Variable" w:semiHidden="1" w:unhideWhenUsed="1" w:qFormat="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next w:val="Heading2"/>
    <w:qFormat/>
    <w:pPr>
      <w:widowControl w:val="0"/>
      <w:jc w:val="both"/>
    </w:pPr>
  </w:style>
  <w:style w:type="paragraph" w:styleId="Heading1">
    <w:name w:val="heading 1"/>
    <w:basedOn w:val="Normal"/>
    <w:next w:val="Normal"/>
    <w:link w:val="11"/>
    <w:uiPriority w:val="99"/>
    <w:qFormat/>
    <w:pPr>
      <w:keepNext/>
      <w:keepLines/>
      <w:spacing w:line="576" w:lineRule="auto"/>
      <w:outlineLvl w:val="0"/>
    </w:pPr>
    <w:rPr>
      <w:rFonts w:ascii="Calibri" w:hAnsi="Calibri" w:cs="Calibri"/>
      <w:b/>
      <w:bCs/>
      <w:kern w:val="44"/>
      <w:sz w:val="44"/>
      <w:szCs w:val="44"/>
    </w:rPr>
  </w:style>
  <w:style w:type="paragraph" w:styleId="Heading2">
    <w:name w:val="heading 2"/>
    <w:basedOn w:val="Normal"/>
    <w:next w:val="Normal"/>
    <w:link w:val="2"/>
    <w:uiPriority w:val="99"/>
    <w:qFormat/>
    <w:pPr>
      <w:keepNext/>
      <w:spacing w:line="216" w:lineRule="auto"/>
      <w:outlineLvl w:val="1"/>
    </w:pPr>
    <w:rPr>
      <w:rFonts w:ascii="宋体" w:hAnsi="Calibri" w:cs="宋体"/>
      <w:b/>
      <w:bCs/>
      <w:sz w:val="28"/>
      <w:szCs w:val="28"/>
    </w:rPr>
  </w:style>
  <w:style w:type="paragraph" w:styleId="Heading3">
    <w:name w:val="heading 3"/>
    <w:next w:val="1"/>
    <w:link w:val="3"/>
    <w:uiPriority w:val="99"/>
    <w:qFormat/>
    <w:pPr>
      <w:keepNext/>
      <w:numPr>
        <w:numId w:val="1"/>
      </w:numPr>
      <w:spacing w:line="216" w:lineRule="auto"/>
      <w:outlineLvl w:val="2"/>
    </w:pPr>
    <w:rPr>
      <w:rFonts w:ascii="宋体" w:hAnsi="Calibri" w:cs="宋体"/>
      <w:b/>
      <w:bCs/>
      <w:sz w:val="28"/>
      <w:szCs w:val="28"/>
    </w:rPr>
  </w:style>
  <w:style w:type="paragraph" w:styleId="Heading4">
    <w:name w:val="heading 4"/>
    <w:basedOn w:val="Normal"/>
    <w:next w:val="Normal"/>
    <w:qFormat/>
    <w:locked/>
    <w:pPr>
      <w:keepLines/>
      <w:autoSpaceDE w:val="0"/>
      <w:autoSpaceDN w:val="0"/>
      <w:adjustRightInd w:val="0"/>
      <w:textAlignment w:val="baseline"/>
      <w:outlineLvl w:val="3"/>
    </w:pPr>
    <w:rPr>
      <w:rFonts w:eastAsia="楷体_GB2312"/>
      <w:b/>
      <w:snapToGrid w:val="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缩进1"/>
    <w:qFormat/>
    <w:pPr>
      <w:ind w:firstLine="420" w:firstLineChars="200"/>
    </w:pPr>
  </w:style>
  <w:style w:type="paragraph" w:styleId="NormalIndent">
    <w:name w:val="Normal Indent"/>
    <w:basedOn w:val="Normal"/>
    <w:next w:val="TOC4"/>
    <w:qFormat/>
    <w:pPr>
      <w:ind w:firstLine="420"/>
    </w:pPr>
  </w:style>
  <w:style w:type="paragraph" w:styleId="TOC4">
    <w:name w:val="toc 4"/>
    <w:basedOn w:val="Normal"/>
    <w:next w:val="Normal"/>
    <w:semiHidden/>
    <w:qFormat/>
    <w:pPr>
      <w:ind w:left="1260" w:leftChars="600"/>
    </w:pPr>
  </w:style>
  <w:style w:type="paragraph" w:styleId="CommentText">
    <w:name w:val="annotation text"/>
    <w:basedOn w:val="Normal"/>
    <w:link w:val="a16"/>
    <w:qFormat/>
    <w:pPr>
      <w:adjustRightInd w:val="0"/>
      <w:jc w:val="left"/>
    </w:pPr>
  </w:style>
  <w:style w:type="paragraph" w:styleId="BodyText">
    <w:name w:val="Body Text"/>
    <w:basedOn w:val="Normal"/>
    <w:next w:val="BodyTextFirstIndent"/>
    <w:link w:val="a0"/>
    <w:uiPriority w:val="99"/>
    <w:qFormat/>
  </w:style>
  <w:style w:type="paragraph" w:styleId="BodyTextFirstIndent">
    <w:name w:val="Body Text First Indent"/>
    <w:basedOn w:val="BodyText"/>
    <w:next w:val="TOC6"/>
    <w:link w:val="a10"/>
    <w:uiPriority w:val="99"/>
    <w:qFormat/>
    <w:pPr>
      <w:ind w:firstLine="420" w:firstLineChars="100"/>
    </w:pPr>
  </w:style>
  <w:style w:type="paragraph" w:styleId="TOC6">
    <w:name w:val="toc 6"/>
    <w:basedOn w:val="Normal"/>
    <w:next w:val="Normal"/>
    <w:semiHidden/>
    <w:qFormat/>
    <w:pPr>
      <w:ind w:left="2100" w:leftChars="1000"/>
    </w:pPr>
  </w:style>
  <w:style w:type="paragraph" w:styleId="BodyTextIndent">
    <w:name w:val="Body Text Indent"/>
    <w:basedOn w:val="Normal"/>
    <w:next w:val="0"/>
    <w:link w:val="a4"/>
    <w:uiPriority w:val="99"/>
    <w:qFormat/>
    <w:pPr>
      <w:adjustRightInd w:val="0"/>
      <w:spacing w:line="360" w:lineRule="auto"/>
      <w:ind w:firstLine="490"/>
    </w:pPr>
    <w:rPr>
      <w:rFonts w:ascii="宋体" w:hAnsi="宋体" w:cs="宋体"/>
      <w:sz w:val="24"/>
      <w:szCs w:val="24"/>
    </w:rPr>
  </w:style>
  <w:style w:type="paragraph" w:customStyle="1" w:styleId="0">
    <w:name w:val="样式 正文文本缩进 + 左  0 字符"/>
    <w:basedOn w:val="Normal"/>
    <w:next w:val="MMTopic4"/>
    <w:qFormat/>
    <w:pPr>
      <w:ind w:firstLine="645"/>
    </w:pPr>
    <w:rPr>
      <w:rFonts w:ascii="楷体_GB2312" w:eastAsia="楷体_GB2312"/>
      <w:sz w:val="24"/>
    </w:rPr>
  </w:style>
  <w:style w:type="paragraph" w:customStyle="1" w:styleId="MMTopic4">
    <w:name w:val="MM Topic 4"/>
    <w:basedOn w:val="Heading4"/>
    <w:qFormat/>
    <w:pPr>
      <w:numPr>
        <w:numId w:val="2"/>
      </w:numPr>
      <w:tabs>
        <w:tab w:val="left" w:pos="2100"/>
      </w:tabs>
      <w:adjustRightInd/>
    </w:pPr>
  </w:style>
  <w:style w:type="paragraph" w:styleId="TOC3">
    <w:name w:val="toc 3"/>
    <w:next w:val="Normal"/>
    <w:uiPriority w:val="99"/>
    <w:semiHidden/>
    <w:qFormat/>
    <w:pPr>
      <w:ind w:left="840" w:leftChars="400"/>
    </w:pPr>
  </w:style>
  <w:style w:type="paragraph" w:styleId="PlainText">
    <w:name w:val="Plain Text"/>
    <w:basedOn w:val="Normal"/>
    <w:next w:val="Normal"/>
    <w:link w:val="a5"/>
    <w:qFormat/>
    <w:rPr>
      <w:rFonts w:ascii="宋体" w:hAnsi="Courier New" w:cs="宋体"/>
    </w:rPr>
  </w:style>
  <w:style w:type="paragraph" w:styleId="Date">
    <w:name w:val="Date"/>
    <w:basedOn w:val="Normal"/>
    <w:next w:val="Normal"/>
    <w:link w:val="a6"/>
    <w:uiPriority w:val="99"/>
    <w:qFormat/>
    <w:pPr>
      <w:ind w:left="100" w:leftChars="2500"/>
    </w:pPr>
    <w:rPr>
      <w:rFonts w:ascii="宋体" w:hAnsi="宋体" w:cs="宋体"/>
      <w:color w:val="000000"/>
      <w:sz w:val="24"/>
      <w:szCs w:val="24"/>
    </w:rPr>
  </w:style>
  <w:style w:type="paragraph" w:styleId="BalloonText">
    <w:name w:val="Balloon Text"/>
    <w:link w:val="a7"/>
    <w:uiPriority w:val="99"/>
    <w:semiHidden/>
    <w:qFormat/>
    <w:rPr>
      <w:sz w:val="18"/>
      <w:szCs w:val="18"/>
    </w:rPr>
  </w:style>
  <w:style w:type="paragraph" w:styleId="Footer">
    <w:name w:val="footer"/>
    <w:basedOn w:val="Normal"/>
    <w:link w:val="a8"/>
    <w:uiPriority w:val="99"/>
    <w:qFormat/>
    <w:pPr>
      <w:tabs>
        <w:tab w:val="center" w:pos="4153"/>
        <w:tab w:val="right" w:pos="8306"/>
      </w:tabs>
      <w:snapToGrid w:val="0"/>
    </w:pPr>
    <w:rPr>
      <w:sz w:val="18"/>
      <w:szCs w:val="18"/>
    </w:rPr>
  </w:style>
  <w:style w:type="paragraph" w:styleId="Header">
    <w:name w:val="header"/>
    <w:basedOn w:val="Normal"/>
    <w:link w:val="a9"/>
    <w:uiPriority w:val="99"/>
    <w:qFormat/>
    <w:pPr>
      <w:pBdr>
        <w:bottom w:val="single" w:sz="6" w:space="1" w:color="auto"/>
      </w:pBdr>
      <w:tabs>
        <w:tab w:val="center" w:pos="4153"/>
        <w:tab w:val="right" w:pos="8306"/>
      </w:tabs>
      <w:adjustRightInd w:val="0"/>
      <w:snapToGrid w:val="0"/>
      <w:spacing w:line="240" w:lineRule="atLeast"/>
      <w:jc w:val="center"/>
      <w:textAlignment w:val="baseline"/>
    </w:pPr>
    <w:rPr>
      <w:rFonts w:ascii="宋体" w:cs="宋体"/>
      <w:sz w:val="18"/>
      <w:szCs w:val="18"/>
    </w:rPr>
  </w:style>
  <w:style w:type="paragraph" w:styleId="TOC1">
    <w:name w:val="toc 1"/>
    <w:next w:val="Normal"/>
    <w:uiPriority w:val="99"/>
    <w:semiHidden/>
    <w:qFormat/>
  </w:style>
  <w:style w:type="paragraph" w:styleId="TOC2">
    <w:name w:val="toc 2"/>
    <w:next w:val="Normal"/>
    <w:uiPriority w:val="99"/>
    <w:semiHidden/>
    <w:qFormat/>
    <w:pPr>
      <w:ind w:left="420" w:leftChars="200"/>
    </w:pPr>
  </w:style>
  <w:style w:type="paragraph" w:styleId="NormalWeb">
    <w:name w:val="Normal (Web)"/>
    <w:uiPriority w:val="99"/>
    <w:qFormat/>
    <w:pPr>
      <w:spacing w:before="100" w:beforeAutospacing="1" w:after="100" w:afterAutospacing="1"/>
    </w:pPr>
    <w:rPr>
      <w:rFonts w:ascii="宋体" w:hAnsi="宋体" w:cs="宋体"/>
      <w:sz w:val="24"/>
      <w:szCs w:val="24"/>
    </w:rPr>
  </w:style>
  <w:style w:type="paragraph" w:styleId="Title">
    <w:name w:val="Title"/>
    <w:basedOn w:val="Normal"/>
    <w:next w:val="Normal"/>
    <w:uiPriority w:val="10"/>
    <w:qFormat/>
    <w:locked/>
    <w:pPr>
      <w:widowControl/>
      <w:overflowPunct w:val="0"/>
      <w:autoSpaceDE w:val="0"/>
      <w:autoSpaceDN w:val="0"/>
      <w:adjustRightInd w:val="0"/>
      <w:jc w:val="center"/>
      <w:textAlignment w:val="baseline"/>
    </w:pPr>
    <w:rPr>
      <w:b/>
      <w:sz w:val="24"/>
      <w:lang w:val="en-GB"/>
    </w:rPr>
  </w:style>
  <w:style w:type="paragraph" w:styleId="CommentSubject">
    <w:name w:val="annotation subject"/>
    <w:basedOn w:val="CommentText"/>
    <w:next w:val="CommentText"/>
    <w:link w:val="a17"/>
    <w:uiPriority w:val="99"/>
    <w:semiHidden/>
    <w:unhideWhenUsed/>
    <w:qFormat/>
    <w:pPr>
      <w:adjustRightInd/>
    </w:pPr>
    <w:rPr>
      <w:b/>
      <w:bCs/>
    </w:rPr>
  </w:style>
  <w:style w:type="paragraph" w:styleId="BodyTextFirstIndent2">
    <w:name w:val="Body Text First Indent 2"/>
    <w:basedOn w:val="BodyTextIndent"/>
    <w:next w:val="BodyTextFirstIndent"/>
    <w:qFormat/>
    <w:pPr>
      <w:ind w:firstLine="420"/>
    </w:pPr>
  </w:style>
  <w:style w:type="table" w:styleId="TableGrid">
    <w:name w:val="Table Grid"/>
    <w:basedOn w:val="TableNormal"/>
    <w:qFormat/>
    <w:pPr>
      <w:widowControl w:val="0"/>
      <w:autoSpaceDE w:val="0"/>
      <w:autoSpaceDN w:val="0"/>
      <w:adjustRightInd w:val="0"/>
      <w:spacing w:line="36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99"/>
    <w:qFormat/>
    <w:rPr>
      <w:b/>
      <w:bCs/>
    </w:rPr>
  </w:style>
  <w:style w:type="character" w:styleId="PageNumber">
    <w:name w:val="page number"/>
    <w:basedOn w:val="DefaultParagraphFont"/>
    <w:uiPriority w:val="99"/>
    <w:qFormat/>
  </w:style>
  <w:style w:type="character" w:styleId="FollowedHyperlink">
    <w:name w:val="FollowedHyperlink"/>
    <w:basedOn w:val="DefaultParagraphFont"/>
    <w:uiPriority w:val="99"/>
    <w:semiHidden/>
    <w:unhideWhenUsed/>
    <w:qFormat/>
    <w:rPr>
      <w:color w:val="800080"/>
      <w:u w:val="none"/>
    </w:rPr>
  </w:style>
  <w:style w:type="character" w:styleId="HTMLDefinition">
    <w:name w:val="HTML Definition"/>
    <w:basedOn w:val="DefaultParagraphFont"/>
    <w:uiPriority w:val="99"/>
    <w:semiHidden/>
    <w:unhideWhenUsed/>
    <w:qFormat/>
  </w:style>
  <w:style w:type="character" w:styleId="HTMLTypewriter">
    <w:name w:val="HTML Typewriter"/>
    <w:basedOn w:val="DefaultParagraphFont"/>
    <w:uiPriority w:val="99"/>
    <w:semiHidden/>
    <w:unhideWhenUsed/>
    <w:qFormat/>
    <w:rPr>
      <w:rFonts w:ascii="monospace" w:eastAsia="monospace" w:hAnsi="monospace" w:cs="monospace"/>
      <w:sz w:val="20"/>
    </w:rPr>
  </w:style>
  <w:style w:type="character" w:styleId="HTMLAcronym">
    <w:name w:val="HTML Acronym"/>
    <w:basedOn w:val="DefaultParagraphFont"/>
    <w:uiPriority w:val="99"/>
    <w:semiHidden/>
    <w:unhideWhenUsed/>
    <w:qFormat/>
  </w:style>
  <w:style w:type="character" w:styleId="HTMLVariable">
    <w:name w:val="HTML Variable"/>
    <w:basedOn w:val="DefaultParagraphFont"/>
    <w:uiPriority w:val="99"/>
    <w:semiHidden/>
    <w:unhideWhenUsed/>
    <w:qFormat/>
  </w:style>
  <w:style w:type="character" w:styleId="Hyperlink">
    <w:name w:val="Hyperlink"/>
    <w:basedOn w:val="DefaultParagraphFont"/>
    <w:uiPriority w:val="99"/>
    <w:qFormat/>
    <w:rPr>
      <w:color w:val="0000FF"/>
      <w:u w:val="single"/>
    </w:rPr>
  </w:style>
  <w:style w:type="character" w:styleId="HTMLCode">
    <w:name w:val="HTML Code"/>
    <w:basedOn w:val="DefaultParagraphFont"/>
    <w:uiPriority w:val="99"/>
    <w:semiHidden/>
    <w:unhideWhenUsed/>
    <w:qFormat/>
    <w:rPr>
      <w:rFonts w:ascii="monospace" w:eastAsia="monospace" w:hAnsi="monospace" w:cs="monospace" w:hint="default"/>
      <w:sz w:val="20"/>
    </w:rPr>
  </w:style>
  <w:style w:type="character" w:styleId="CommentReference">
    <w:name w:val="annotation reference"/>
    <w:basedOn w:val="DefaultParagraphFont"/>
    <w:uiPriority w:val="99"/>
    <w:semiHidden/>
    <w:unhideWhenUsed/>
    <w:qFormat/>
    <w:rPr>
      <w:sz w:val="21"/>
      <w:szCs w:val="21"/>
    </w:rPr>
  </w:style>
  <w:style w:type="character" w:styleId="HTMLCite">
    <w:name w:val="HTML Cite"/>
    <w:basedOn w:val="DefaultParagraphFont"/>
    <w:uiPriority w:val="99"/>
    <w:semiHidden/>
    <w:unhideWhenUsed/>
    <w:qFormat/>
  </w:style>
  <w:style w:type="character" w:styleId="HTMLKeyboard">
    <w:name w:val="HTML Keyboard"/>
    <w:basedOn w:val="DefaultParagraphFont"/>
    <w:uiPriority w:val="99"/>
    <w:semiHidden/>
    <w:unhideWhenUsed/>
    <w:qFormat/>
    <w:rPr>
      <w:rFonts w:ascii="monospace" w:eastAsia="monospace" w:hAnsi="monospace" w:cs="monospace" w:hint="default"/>
      <w:sz w:val="20"/>
    </w:rPr>
  </w:style>
  <w:style w:type="character" w:styleId="HTMLSample">
    <w:name w:val="HTML Sample"/>
    <w:basedOn w:val="DefaultParagraphFont"/>
    <w:uiPriority w:val="99"/>
    <w:semiHidden/>
    <w:unhideWhenUsed/>
    <w:qFormat/>
    <w:rPr>
      <w:rFonts w:ascii="monospace" w:eastAsia="monospace" w:hAnsi="monospace" w:cs="monospace" w:hint="default"/>
    </w:rPr>
  </w:style>
  <w:style w:type="paragraph" w:customStyle="1" w:styleId="a">
    <w:name w:val="表格文字"/>
    <w:basedOn w:val="BodyTextIndent"/>
    <w:next w:val="BodyText"/>
    <w:qFormat/>
    <w:pPr>
      <w:spacing w:line="420" w:lineRule="atLeast"/>
      <w:textAlignment w:val="baseline"/>
    </w:pPr>
    <w:rPr>
      <w:rFonts w:ascii="Times New Roman" w:hAnsi="Times New Roman" w:cs="Times New Roman"/>
    </w:rPr>
  </w:style>
  <w:style w:type="paragraph" w:customStyle="1" w:styleId="10">
    <w:name w:val="正文首行缩进1"/>
    <w:basedOn w:val="BodyText"/>
    <w:qFormat/>
    <w:pPr>
      <w:suppressAutoHyphens/>
      <w:spacing w:after="120"/>
      <w:ind w:firstLine="420"/>
      <w:jc w:val="left"/>
    </w:pPr>
    <w:rPr>
      <w:kern w:val="1"/>
      <w:sz w:val="28"/>
      <w:szCs w:val="24"/>
      <w:lang w:eastAsia="ar-SA"/>
    </w:rPr>
  </w:style>
  <w:style w:type="paragraph" w:customStyle="1" w:styleId="BodyText1I2">
    <w:name w:val="BodyText1I2"/>
    <w:basedOn w:val="BodyTextIndent0"/>
    <w:qFormat/>
    <w:pPr>
      <w:ind w:firstLine="420"/>
    </w:pPr>
    <w:rPr>
      <w:sz w:val="21"/>
    </w:rPr>
  </w:style>
  <w:style w:type="paragraph" w:customStyle="1" w:styleId="BodyTextIndent0">
    <w:name w:val="BodyTextIndent"/>
    <w:basedOn w:val="Normal"/>
    <w:next w:val="BodyText1I2"/>
    <w:qFormat/>
    <w:pPr>
      <w:spacing w:line="360" w:lineRule="auto"/>
      <w:ind w:firstLine="490"/>
      <w:jc w:val="left"/>
    </w:pPr>
    <w:rPr>
      <w:rFonts w:ascii="宋体" w:hAnsi="宋体"/>
      <w:sz w:val="24"/>
    </w:rPr>
  </w:style>
  <w:style w:type="paragraph" w:customStyle="1" w:styleId="BodyTextFirstIndent1">
    <w:name w:val="Body Text First Indent1"/>
    <w:basedOn w:val="BodyText"/>
    <w:qFormat/>
    <w:pPr>
      <w:tabs>
        <w:tab w:val="left" w:pos="1275"/>
      </w:tabs>
      <w:ind w:firstLine="420" w:firstLineChars="100"/>
    </w:pPr>
  </w:style>
  <w:style w:type="character" w:customStyle="1" w:styleId="11">
    <w:name w:val="标题 1 字符"/>
    <w:basedOn w:val="DefaultParagraphFont"/>
    <w:link w:val="Heading1"/>
    <w:uiPriority w:val="99"/>
    <w:qFormat/>
    <w:locked/>
    <w:rPr>
      <w:b/>
      <w:bCs/>
      <w:kern w:val="44"/>
      <w:sz w:val="44"/>
      <w:szCs w:val="44"/>
    </w:rPr>
  </w:style>
  <w:style w:type="character" w:customStyle="1" w:styleId="2">
    <w:name w:val="标题 2 字符"/>
    <w:basedOn w:val="DefaultParagraphFont"/>
    <w:link w:val="Heading2"/>
    <w:uiPriority w:val="99"/>
    <w:qFormat/>
    <w:locked/>
    <w:rPr>
      <w:rFonts w:ascii="宋体" w:cs="宋体"/>
      <w:b/>
      <w:bCs/>
      <w:kern w:val="2"/>
      <w:sz w:val="28"/>
      <w:szCs w:val="28"/>
    </w:rPr>
  </w:style>
  <w:style w:type="character" w:customStyle="1" w:styleId="3">
    <w:name w:val="标题 3 字符"/>
    <w:basedOn w:val="DefaultParagraphFont"/>
    <w:link w:val="Heading3"/>
    <w:uiPriority w:val="99"/>
    <w:qFormat/>
    <w:locked/>
    <w:rPr>
      <w:rFonts w:ascii="宋体" w:cs="宋体"/>
      <w:b/>
      <w:bCs/>
      <w:kern w:val="2"/>
      <w:sz w:val="28"/>
      <w:szCs w:val="28"/>
    </w:rPr>
  </w:style>
  <w:style w:type="character" w:customStyle="1" w:styleId="a0">
    <w:name w:val="正文文本 字符"/>
    <w:basedOn w:val="DefaultParagraphFont"/>
    <w:link w:val="BodyText"/>
    <w:uiPriority w:val="99"/>
    <w:semiHidden/>
    <w:qFormat/>
    <w:rPr>
      <w:rFonts w:ascii="Times New Roman" w:hAnsi="Times New Roman"/>
      <w:szCs w:val="21"/>
    </w:rPr>
  </w:style>
  <w:style w:type="paragraph" w:customStyle="1" w:styleId="a1">
    <w:name w:val="样式 表格正文 + 两端对齐"/>
    <w:next w:val="12"/>
    <w:uiPriority w:val="99"/>
    <w:qFormat/>
    <w:pPr>
      <w:spacing w:line="300" w:lineRule="auto"/>
    </w:pPr>
    <w:rPr>
      <w:sz w:val="24"/>
      <w:szCs w:val="24"/>
    </w:rPr>
  </w:style>
  <w:style w:type="paragraph" w:customStyle="1" w:styleId="12">
    <w:name w:val="正文1"/>
    <w:next w:val="a2"/>
    <w:uiPriority w:val="99"/>
    <w:qFormat/>
    <w:pPr>
      <w:snapToGrid w:val="0"/>
      <w:spacing w:line="500" w:lineRule="exact"/>
      <w:ind w:firstLine="567"/>
    </w:pPr>
    <w:rPr>
      <w:rFonts w:ascii="楷体_GB2312" w:eastAsia="楷体_GB2312" w:cs="楷体_GB2312"/>
      <w:sz w:val="28"/>
      <w:szCs w:val="28"/>
    </w:rPr>
  </w:style>
  <w:style w:type="paragraph" w:customStyle="1" w:styleId="a2">
    <w:name w:val="自动更正"/>
    <w:next w:val="xl39"/>
    <w:uiPriority w:val="99"/>
    <w:qFormat/>
    <w:pPr>
      <w:widowControl w:val="0"/>
      <w:jc w:val="both"/>
    </w:pPr>
    <w:rPr>
      <w:kern w:val="2"/>
      <w:sz w:val="21"/>
      <w:szCs w:val="21"/>
    </w:rPr>
  </w:style>
  <w:style w:type="paragraph" w:customStyle="1" w:styleId="xl39">
    <w:name w:val="xl39"/>
    <w:next w:val="a3"/>
    <w:uiPriority w:val="99"/>
    <w:qFormat/>
    <w:pPr>
      <w:pBdr>
        <w:top w:val="single" w:sz="4" w:space="0" w:color="auto"/>
        <w:bottom w:val="single" w:sz="4" w:space="0" w:color="auto"/>
        <w:right w:val="single" w:sz="4" w:space="0" w:color="auto"/>
      </w:pBdr>
      <w:spacing w:before="100" w:after="100"/>
      <w:textAlignment w:val="center"/>
    </w:pPr>
  </w:style>
  <w:style w:type="paragraph" w:customStyle="1" w:styleId="a3">
    <w:name w:val="分手多日，近况如何？"/>
    <w:qFormat/>
    <w:pPr>
      <w:widowControl w:val="0"/>
      <w:jc w:val="both"/>
    </w:pPr>
    <w:rPr>
      <w:sz w:val="21"/>
      <w:szCs w:val="21"/>
    </w:rPr>
  </w:style>
  <w:style w:type="character" w:customStyle="1" w:styleId="a4">
    <w:name w:val="正文文本缩进 字符"/>
    <w:basedOn w:val="DefaultParagraphFont"/>
    <w:link w:val="BodyTextIndent"/>
    <w:uiPriority w:val="99"/>
    <w:semiHidden/>
    <w:qFormat/>
    <w:rPr>
      <w:rFonts w:ascii="Times New Roman" w:hAnsi="Times New Roman"/>
      <w:szCs w:val="21"/>
    </w:rPr>
  </w:style>
  <w:style w:type="character" w:customStyle="1" w:styleId="a5">
    <w:name w:val="纯文本 字符"/>
    <w:basedOn w:val="DefaultParagraphFont"/>
    <w:link w:val="PlainText"/>
    <w:uiPriority w:val="99"/>
    <w:semiHidden/>
    <w:qFormat/>
    <w:rPr>
      <w:rFonts w:ascii="宋体" w:hAnsi="Courier New" w:cs="Courier New"/>
      <w:szCs w:val="21"/>
    </w:rPr>
  </w:style>
  <w:style w:type="character" w:customStyle="1" w:styleId="a6">
    <w:name w:val="日期 字符"/>
    <w:basedOn w:val="DefaultParagraphFont"/>
    <w:link w:val="Date"/>
    <w:uiPriority w:val="99"/>
    <w:semiHidden/>
    <w:qFormat/>
    <w:rPr>
      <w:rFonts w:ascii="Times New Roman" w:hAnsi="Times New Roman"/>
      <w:szCs w:val="21"/>
    </w:rPr>
  </w:style>
  <w:style w:type="character" w:customStyle="1" w:styleId="a7">
    <w:name w:val="批注框文本 字符"/>
    <w:basedOn w:val="DefaultParagraphFont"/>
    <w:link w:val="BalloonText"/>
    <w:uiPriority w:val="99"/>
    <w:qFormat/>
    <w:locked/>
    <w:rPr>
      <w:kern w:val="2"/>
      <w:sz w:val="18"/>
      <w:szCs w:val="18"/>
    </w:rPr>
  </w:style>
  <w:style w:type="character" w:customStyle="1" w:styleId="a8">
    <w:name w:val="页脚 字符"/>
    <w:basedOn w:val="DefaultParagraphFont"/>
    <w:link w:val="Footer"/>
    <w:uiPriority w:val="99"/>
    <w:qFormat/>
    <w:rPr>
      <w:rFonts w:ascii="Times New Roman" w:hAnsi="Times New Roman"/>
      <w:sz w:val="18"/>
      <w:szCs w:val="18"/>
    </w:rPr>
  </w:style>
  <w:style w:type="character" w:customStyle="1" w:styleId="a9">
    <w:name w:val="页眉 字符"/>
    <w:basedOn w:val="DefaultParagraphFont"/>
    <w:link w:val="Header"/>
    <w:uiPriority w:val="99"/>
    <w:qFormat/>
    <w:rPr>
      <w:rFonts w:ascii="Times New Roman" w:hAnsi="Times New Roman"/>
      <w:sz w:val="18"/>
      <w:szCs w:val="18"/>
    </w:rPr>
  </w:style>
  <w:style w:type="character" w:customStyle="1" w:styleId="a10">
    <w:name w:val="正文首行缩进 字符"/>
    <w:basedOn w:val="a0"/>
    <w:link w:val="BodyTextFirstIndent"/>
    <w:uiPriority w:val="99"/>
    <w:semiHidden/>
    <w:qFormat/>
    <w:rPr>
      <w:rFonts w:ascii="Times New Roman" w:hAnsi="Times New Roman"/>
      <w:szCs w:val="21"/>
    </w:rPr>
  </w:style>
  <w:style w:type="paragraph" w:customStyle="1" w:styleId="20">
    <w:name w:val="正文2"/>
    <w:uiPriority w:val="99"/>
    <w:qFormat/>
    <w:pPr>
      <w:adjustRightInd w:val="0"/>
      <w:spacing w:before="156" w:line="360" w:lineRule="auto"/>
      <w:ind w:firstLine="510" w:firstLineChars="200"/>
    </w:pPr>
    <w:rPr>
      <w:sz w:val="24"/>
      <w:szCs w:val="24"/>
    </w:rPr>
  </w:style>
  <w:style w:type="paragraph" w:customStyle="1" w:styleId="ListParagraph1">
    <w:name w:val="List Paragraph1"/>
    <w:uiPriority w:val="99"/>
    <w:qFormat/>
    <w:pPr>
      <w:ind w:firstLine="420" w:firstLineChars="200"/>
    </w:pPr>
    <w:rPr>
      <w:rFonts w:ascii="Calibri" w:hAnsi="Calibri" w:cs="Calibri"/>
    </w:rPr>
  </w:style>
  <w:style w:type="character" w:customStyle="1" w:styleId="style81">
    <w:name w:val="style81"/>
    <w:uiPriority w:val="99"/>
    <w:qFormat/>
    <w:rPr>
      <w:sz w:val="20"/>
      <w:szCs w:val="20"/>
    </w:rPr>
  </w:style>
  <w:style w:type="paragraph" w:customStyle="1" w:styleId="13">
    <w:name w:val="列出段落1"/>
    <w:uiPriority w:val="99"/>
    <w:qFormat/>
    <w:pPr>
      <w:ind w:firstLine="420"/>
    </w:pPr>
  </w:style>
  <w:style w:type="paragraph" w:customStyle="1" w:styleId="a11">
    <w:name w:val="表格"/>
    <w:uiPriority w:val="99"/>
    <w:qFormat/>
    <w:pPr>
      <w:autoSpaceDE w:val="0"/>
      <w:autoSpaceDN w:val="0"/>
      <w:jc w:val="center"/>
      <w:textAlignment w:val="baseline"/>
    </w:pPr>
    <w:rPr>
      <w:color w:val="000000"/>
    </w:rPr>
  </w:style>
  <w:style w:type="character" w:customStyle="1" w:styleId="02Char">
    <w:name w:val="02 Char"/>
    <w:link w:val="02"/>
    <w:uiPriority w:val="99"/>
    <w:qFormat/>
    <w:locked/>
    <w:rPr>
      <w:rFonts w:ascii="宋体" w:cs="宋体"/>
      <w:b/>
      <w:bCs/>
      <w:color w:val="FF0000"/>
      <w:kern w:val="2"/>
      <w:sz w:val="28"/>
      <w:szCs w:val="28"/>
    </w:rPr>
  </w:style>
  <w:style w:type="paragraph" w:customStyle="1" w:styleId="02">
    <w:name w:val="02"/>
    <w:basedOn w:val="Heading2"/>
    <w:link w:val="02Char"/>
    <w:uiPriority w:val="99"/>
    <w:qFormat/>
    <w:pPr>
      <w:jc w:val="center"/>
    </w:pPr>
    <w:rPr>
      <w:color w:val="FF0000"/>
    </w:rPr>
  </w:style>
  <w:style w:type="character" w:customStyle="1" w:styleId="03Char">
    <w:name w:val="03 Char"/>
    <w:link w:val="03"/>
    <w:uiPriority w:val="99"/>
    <w:qFormat/>
    <w:locked/>
    <w:rPr>
      <w:rFonts w:ascii="宋体" w:cs="宋体"/>
      <w:b/>
      <w:bCs/>
      <w:kern w:val="2"/>
      <w:sz w:val="28"/>
      <w:szCs w:val="28"/>
    </w:rPr>
  </w:style>
  <w:style w:type="paragraph" w:customStyle="1" w:styleId="03">
    <w:name w:val="03"/>
    <w:basedOn w:val="Heading3"/>
    <w:link w:val="03Char"/>
    <w:uiPriority w:val="99"/>
    <w:qFormat/>
    <w:pPr>
      <w:numPr>
        <w:numId w:val="0"/>
      </w:numPr>
    </w:pPr>
  </w:style>
  <w:style w:type="character" w:customStyle="1" w:styleId="Char">
    <w:name w:val="宋体小四 Char"/>
    <w:link w:val="a12"/>
    <w:uiPriority w:val="99"/>
    <w:qFormat/>
    <w:locked/>
    <w:rPr>
      <w:rFonts w:ascii="宋体" w:eastAsia="宋体" w:cs="宋体"/>
      <w:kern w:val="2"/>
      <w:sz w:val="24"/>
      <w:szCs w:val="24"/>
    </w:rPr>
  </w:style>
  <w:style w:type="paragraph" w:customStyle="1" w:styleId="a12">
    <w:name w:val="宋体小四"/>
    <w:link w:val="Char"/>
    <w:uiPriority w:val="99"/>
    <w:qFormat/>
    <w:pPr>
      <w:spacing w:line="360" w:lineRule="auto"/>
      <w:ind w:firstLine="480" w:firstLineChars="200"/>
    </w:pPr>
    <w:rPr>
      <w:rFonts w:ascii="宋体" w:hAnsi="宋体" w:cs="宋体"/>
      <w:sz w:val="24"/>
      <w:szCs w:val="24"/>
    </w:rPr>
  </w:style>
  <w:style w:type="character" w:customStyle="1" w:styleId="fontstyle01">
    <w:name w:val="fontstyle01"/>
    <w:basedOn w:val="DefaultParagraphFont"/>
    <w:uiPriority w:val="99"/>
    <w:qFormat/>
    <w:rPr>
      <w:rFonts w:ascii="宋体" w:eastAsia="宋体" w:cs="宋体"/>
      <w:color w:val="000000"/>
      <w:sz w:val="22"/>
      <w:szCs w:val="22"/>
    </w:rPr>
  </w:style>
  <w:style w:type="paragraph" w:customStyle="1" w:styleId="21">
    <w:name w:val="正文首行缩进2字符"/>
    <w:uiPriority w:val="99"/>
    <w:qFormat/>
    <w:pPr>
      <w:spacing w:line="360" w:lineRule="auto"/>
      <w:ind w:firstLine="200" w:firstLineChars="200"/>
    </w:pPr>
  </w:style>
  <w:style w:type="paragraph" w:customStyle="1" w:styleId="a13">
    <w:name w:val="居中表格内容标题"/>
    <w:basedOn w:val="a14"/>
    <w:qFormat/>
    <w:pPr>
      <w:jc w:val="center"/>
    </w:pPr>
    <w:rPr>
      <w:b/>
    </w:rPr>
  </w:style>
  <w:style w:type="paragraph" w:customStyle="1" w:styleId="a14">
    <w:name w:val="居中表格内容"/>
    <w:qFormat/>
    <w:rPr>
      <w:szCs w:val="28"/>
    </w:rPr>
  </w:style>
  <w:style w:type="paragraph" w:styleId="ListParagraph">
    <w:name w:val="List Paragraph"/>
    <w:basedOn w:val="Normal"/>
    <w:link w:val="a15"/>
    <w:uiPriority w:val="34"/>
    <w:qFormat/>
    <w:pPr>
      <w:ind w:firstLine="420" w:firstLineChars="200"/>
    </w:pPr>
  </w:style>
  <w:style w:type="character" w:customStyle="1" w:styleId="a15">
    <w:name w:val="列出段落 字符"/>
    <w:basedOn w:val="DefaultParagraphFont"/>
    <w:link w:val="ListParagraph"/>
    <w:uiPriority w:val="34"/>
    <w:qFormat/>
  </w:style>
  <w:style w:type="table" w:customStyle="1" w:styleId="14">
    <w:name w:val="网格型浅色1"/>
    <w:basedOn w:val="TableNormal"/>
    <w:uiPriority w:val="40"/>
    <w:qFormat/>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22">
    <w:name w:val="正文（首行缩进2字符）"/>
    <w:basedOn w:val="Normal"/>
    <w:qFormat/>
    <w:pPr>
      <w:spacing w:line="360" w:lineRule="auto"/>
      <w:ind w:firstLine="480" w:firstLineChars="200"/>
    </w:pPr>
    <w:rPr>
      <w:kern w:val="2"/>
      <w:sz w:val="24"/>
    </w:rPr>
  </w:style>
  <w:style w:type="paragraph" w:customStyle="1" w:styleId="BodyTextFirstIndent21">
    <w:name w:val="Body Text First Indent 21"/>
    <w:basedOn w:val="BodyTextIndent1"/>
    <w:qFormat/>
    <w:pPr>
      <w:ind w:firstLine="420"/>
    </w:pPr>
    <w:rPr>
      <w:rFonts w:cs="宋体"/>
    </w:rPr>
  </w:style>
  <w:style w:type="paragraph" w:customStyle="1" w:styleId="BodyTextIndent1">
    <w:name w:val="Body Text Indent1"/>
    <w:basedOn w:val="Normal"/>
    <w:next w:val="Normal"/>
    <w:qFormat/>
    <w:pPr>
      <w:spacing w:after="120"/>
      <w:ind w:left="420" w:leftChars="200"/>
    </w:pPr>
  </w:style>
  <w:style w:type="character" w:customStyle="1" w:styleId="font101">
    <w:name w:val="font101"/>
    <w:basedOn w:val="DefaultParagraphFont"/>
    <w:qFormat/>
    <w:rPr>
      <w:rFonts w:ascii="宋体" w:eastAsia="宋体" w:hAnsi="宋体" w:cs="宋体" w:hint="eastAsia"/>
      <w:b/>
      <w:bCs/>
      <w:color w:val="000000"/>
      <w:sz w:val="24"/>
      <w:szCs w:val="24"/>
      <w:u w:val="none"/>
    </w:rPr>
  </w:style>
  <w:style w:type="character" w:customStyle="1" w:styleId="font41">
    <w:name w:val="font41"/>
    <w:basedOn w:val="DefaultParagraphFont"/>
    <w:qFormat/>
    <w:rPr>
      <w:rFonts w:ascii="仿宋" w:eastAsia="仿宋" w:hAnsi="仿宋" w:cs="仿宋" w:hint="eastAsia"/>
      <w:color w:val="000000"/>
      <w:sz w:val="24"/>
      <w:szCs w:val="24"/>
      <w:u w:val="none"/>
    </w:rPr>
  </w:style>
  <w:style w:type="character" w:customStyle="1" w:styleId="font11">
    <w:name w:val="font11"/>
    <w:basedOn w:val="DefaultParagraphFont"/>
    <w:qFormat/>
    <w:rPr>
      <w:rFonts w:ascii="仿宋" w:eastAsia="仿宋" w:hAnsi="仿宋" w:cs="仿宋" w:hint="eastAsia"/>
      <w:color w:val="FF0000"/>
      <w:sz w:val="24"/>
      <w:szCs w:val="24"/>
      <w:u w:val="none"/>
    </w:rPr>
  </w:style>
  <w:style w:type="character" w:customStyle="1" w:styleId="font01">
    <w:name w:val="font01"/>
    <w:basedOn w:val="DefaultParagraphFont"/>
    <w:qFormat/>
    <w:rPr>
      <w:rFonts w:ascii="Arial" w:hAnsi="Arial" w:cs="Arial"/>
      <w:color w:val="FF0000"/>
      <w:sz w:val="24"/>
      <w:szCs w:val="24"/>
      <w:u w:val="none"/>
    </w:rPr>
  </w:style>
  <w:style w:type="character" w:customStyle="1" w:styleId="font51">
    <w:name w:val="font51"/>
    <w:basedOn w:val="DefaultParagraphFont"/>
    <w:qFormat/>
    <w:rPr>
      <w:rFonts w:ascii="仿宋" w:eastAsia="仿宋" w:hAnsi="仿宋" w:cs="仿宋" w:hint="eastAsia"/>
      <w:color w:val="000000"/>
      <w:sz w:val="24"/>
      <w:szCs w:val="24"/>
      <w:u w:val="none"/>
    </w:rPr>
  </w:style>
  <w:style w:type="character" w:customStyle="1" w:styleId="font61">
    <w:name w:val="font61"/>
    <w:basedOn w:val="DefaultParagraphFont"/>
    <w:qFormat/>
    <w:rPr>
      <w:rFonts w:ascii="Arial" w:hAnsi="Arial" w:cs="Arial" w:hint="default"/>
      <w:color w:val="000000"/>
      <w:sz w:val="24"/>
      <w:szCs w:val="24"/>
      <w:u w:val="none"/>
    </w:rPr>
  </w:style>
  <w:style w:type="character" w:customStyle="1" w:styleId="font71">
    <w:name w:val="font71"/>
    <w:basedOn w:val="DefaultParagraphFont"/>
    <w:qFormat/>
    <w:rPr>
      <w:rFonts w:ascii="宋体" w:eastAsia="宋体" w:hAnsi="宋体" w:cs="宋体" w:hint="eastAsia"/>
      <w:color w:val="000000"/>
      <w:sz w:val="24"/>
      <w:szCs w:val="24"/>
      <w:u w:val="none"/>
    </w:rPr>
  </w:style>
  <w:style w:type="character" w:customStyle="1" w:styleId="a16">
    <w:name w:val="批注文字 字符"/>
    <w:basedOn w:val="DefaultParagraphFont"/>
    <w:link w:val="CommentText"/>
    <w:qFormat/>
  </w:style>
  <w:style w:type="character" w:customStyle="1" w:styleId="a17">
    <w:name w:val="批注主题 字符"/>
    <w:basedOn w:val="a16"/>
    <w:link w:val="CommentSubject"/>
    <w:uiPriority w:val="99"/>
    <w:semiHidden/>
    <w:qFormat/>
    <w:rPr>
      <w:b/>
      <w:bCs/>
    </w:rPr>
  </w:style>
  <w:style w:type="character" w:customStyle="1" w:styleId="font21">
    <w:name w:val="font21"/>
    <w:qFormat/>
    <w:rPr>
      <w:rFonts w:ascii="宋体" w:eastAsia="宋体" w:hAnsi="宋体" w:cs="宋体" w:hint="eastAsia"/>
      <w:color w:val="000000"/>
      <w:sz w:val="20"/>
      <w:szCs w:val="20"/>
      <w:u w:val="none"/>
    </w:rPr>
  </w:style>
  <w:style w:type="paragraph" w:customStyle="1" w:styleId="a18">
    <w:name w:val="表 靠左"/>
    <w:basedOn w:val="Normal"/>
    <w:qFormat/>
    <w:pPr>
      <w:jc w:val="left"/>
    </w:pPr>
    <w:rPr>
      <w:rFonts w:asciiTheme="minorEastAsia" w:hAnsiTheme="minorEastAsia"/>
      <w:szCs w:val="21"/>
    </w:rPr>
  </w:style>
  <w:style w:type="paragraph" w:customStyle="1" w:styleId="NewNewNewNew">
    <w:name w:val="正文 New New New New"/>
    <w:qFormat/>
    <w:pPr>
      <w:widowControl w:val="0"/>
      <w:jc w:val="both"/>
    </w:pPr>
    <w:rPr>
      <w:rFonts w:ascii="Calibri" w:hAnsi="Calibri"/>
      <w:sz w:val="21"/>
      <w:szCs w:val="24"/>
    </w:rPr>
  </w:style>
  <w:style w:type="character" w:customStyle="1" w:styleId="font31">
    <w:name w:val="font31"/>
    <w:basedOn w:val="DefaultParagraphFont"/>
    <w:qFormat/>
    <w:rPr>
      <w:rFonts w:ascii="宋体" w:eastAsia="宋体" w:hAnsi="宋体" w:cs="宋体" w:hint="eastAsia"/>
      <w:color w:val="000000"/>
      <w:sz w:val="20"/>
      <w:szCs w:val="20"/>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zfcg.czt.zj.gov.cn/bidClientTemplate/2019-09-24/12975.html" TargetMode="External" /><Relationship Id="rId11" Type="http://schemas.openxmlformats.org/officeDocument/2006/relationships/hyperlink" Target="https://service.zcygov.cn/" TargetMode="Externa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footer" Target="footer7.xml" /><Relationship Id="rId16" Type="http://schemas.openxmlformats.org/officeDocument/2006/relationships/footer" Target="footer8.xml" /><Relationship Id="rId17" Type="http://schemas.openxmlformats.org/officeDocument/2006/relationships/header" Target="header1.xml" /><Relationship Id="rId18" Type="http://schemas.openxmlformats.org/officeDocument/2006/relationships/footer" Target="footer9.xml" /><Relationship Id="rId19" Type="http://schemas.openxmlformats.org/officeDocument/2006/relationships/header" Target="header2.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3.xml" /><Relationship Id="rId22" Type="http://schemas.openxmlformats.org/officeDocument/2006/relationships/footer" Target="footer11.xml" /><Relationship Id="rId23" Type="http://schemas.openxmlformats.org/officeDocument/2006/relationships/header" Target="header4.xml" /><Relationship Id="rId24" Type="http://schemas.openxmlformats.org/officeDocument/2006/relationships/footer" Target="footer12.xml" /><Relationship Id="rId25" Type="http://schemas.openxmlformats.org/officeDocument/2006/relationships/header" Target="header5.xml" /><Relationship Id="rId26" Type="http://schemas.openxmlformats.org/officeDocument/2006/relationships/footer" Target="footer13.xml" /><Relationship Id="rId27" Type="http://schemas.openxmlformats.org/officeDocument/2006/relationships/header" Target="header6.xml" /><Relationship Id="rId28" Type="http://schemas.openxmlformats.org/officeDocument/2006/relationships/footer" Target="footer14.xml" /><Relationship Id="rId29" Type="http://schemas.openxmlformats.org/officeDocument/2006/relationships/header" Target="header7.xml" /><Relationship Id="rId3" Type="http://schemas.openxmlformats.org/officeDocument/2006/relationships/fontTable" Target="fontTable.xml" /><Relationship Id="rId30" Type="http://schemas.openxmlformats.org/officeDocument/2006/relationships/footer" Target="footer15.xml" /><Relationship Id="rId31" Type="http://schemas.openxmlformats.org/officeDocument/2006/relationships/header" Target="header8.xml" /><Relationship Id="rId32" Type="http://schemas.openxmlformats.org/officeDocument/2006/relationships/footer" Target="footer16.xml" /><Relationship Id="rId33" Type="http://schemas.openxmlformats.org/officeDocument/2006/relationships/header" Target="header9.xml" /><Relationship Id="rId34" Type="http://schemas.openxmlformats.org/officeDocument/2006/relationships/footer" Target="footer17.xml" /><Relationship Id="rId35" Type="http://schemas.openxmlformats.org/officeDocument/2006/relationships/header" Target="header10.xml" /><Relationship Id="rId36" Type="http://schemas.openxmlformats.org/officeDocument/2006/relationships/footer" Target="footer18.xml" /><Relationship Id="rId37" Type="http://schemas.openxmlformats.org/officeDocument/2006/relationships/hyperlink" Target="https://d.book118.com/618062060110006030" TargetMode="External" /><Relationship Id="rId38" Type="http://schemas.openxmlformats.org/officeDocument/2006/relationships/header" Target="header11.xml" /><Relationship Id="rId39" Type="http://schemas.openxmlformats.org/officeDocument/2006/relationships/footer" Target="footer19.xml" /><Relationship Id="rId4" Type="http://schemas.openxmlformats.org/officeDocument/2006/relationships/customXml" Target="../customXml/item1.xml" /><Relationship Id="rId40" Type="http://schemas.openxmlformats.org/officeDocument/2006/relationships/theme" Target="theme/theme1.xml" /><Relationship Id="rId41" Type="http://schemas.openxmlformats.org/officeDocument/2006/relationships/numbering" Target="numbering.xml" /><Relationship Id="rId42" Type="http://schemas.openxmlformats.org/officeDocument/2006/relationships/styles" Target="styles.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yperlink" Target="http://zfcg.czt.zj.gov.cn/bidClientTemplate/2019-05-27/12945.html" TargetMode="Externa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696A83-A71A-4A3A-823E-9E85F5CC7B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24</Pages>
  <Words>4638</Words>
  <Characters>26439</Characters>
  <Application>Microsoft Office Word</Application>
  <DocSecurity>0</DocSecurity>
  <Lines>220</Lines>
  <Paragraphs>62</Paragraphs>
  <ScaleCrop>false</ScaleCrop>
  <Company>P R C</Company>
  <LinksUpToDate>false</LinksUpToDate>
  <CharactersWithSpaces>31015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浙江绍兴上虞人民调解服务标准化</dc:title>
  <dc:creator>陈圣楠</dc:creator>
  <cp:lastModifiedBy>Administrator</cp:lastModifiedBy>
  <cp:revision>17</cp:revision>
  <cp:lastPrinted>2022-09-13T03:32:00Z</cp:lastPrinted>
  <dcterms:created xsi:type="dcterms:W3CDTF">2022-08-05T07:42:00Z</dcterms:created>
  <dcterms:modified xsi:type="dcterms:W3CDTF">2024-01-23T08:47:00Z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C1E4A00559C74B4BB891FCB7EE52BBB3_13</vt:lpwstr>
  </property>
  <property fmtid="{D5CDD505-2E9C-101B-9397-08002B2CF9AE}" pid="3" name="KSOProductBuildVer">
    <vt:lpwstr>2052-11.8.2.11718</vt:lpwstr>
  </property>
</Properties>
</file>