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101" w:line="227" w:lineRule="auto"/>
        <w:ind w:left="864"/>
        <w:outlineLvl w:val="0"/>
        <w:rPr>
          <w:rFonts w:ascii="SimHei" w:eastAsia="SimHei" w:hAnsi="SimHei" w:cs="SimHei"/>
          <w:sz w:val="31"/>
          <w:szCs w:val="31"/>
        </w:rPr>
      </w:pPr>
      <w:r>
        <w:rPr>
          <w:rFonts w:ascii="SimHei" w:eastAsia="SimHei" w:hAnsi="SimHei" w:cs="SimHei"/>
          <w:spacing w:val="9"/>
          <w:sz w:val="31"/>
          <w:szCs w:val="31"/>
        </w:rPr>
        <w:t>校准实验室认可评审不符合项和高风险典型案例指南</w:t>
      </w: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91" w:line="221" w:lineRule="auto"/>
        <w:ind w:left="22"/>
        <w:rPr>
          <w:sz w:val="28"/>
          <w:szCs w:val="28"/>
        </w:rPr>
      </w:pPr>
      <w:r>
        <w:rPr>
          <w:rFonts w:ascii="Arial" w:eastAsia="Arial" w:hAnsi="Arial" w:cs="Arial"/>
          <w:b/>
          <w:bCs/>
          <w:spacing w:val="-8"/>
          <w:sz w:val="28"/>
          <w:szCs w:val="28"/>
        </w:rPr>
        <w:t xml:space="preserve">1    </w:t>
      </w:r>
      <w:r>
        <w:rPr>
          <w:spacing w:val="-8"/>
          <w:sz w:val="28"/>
          <w:szCs w:val="28"/>
          <w14:textOutline w14:w="5103" w14:cap="sq">
            <w14:solidFill>
              <w14:srgbClr w14:val="000000"/>
            </w14:solidFill>
            <w14:prstDash w14:val="solid"/>
            <w14:bevel/>
          </w14:textOutline>
        </w:rPr>
        <w:t>范围</w:t>
      </w:r>
    </w:p>
    <w:p>
      <w:pPr>
        <w:pStyle w:val="BodyText"/>
        <w:spacing w:before="195" w:line="273" w:lineRule="auto"/>
        <w:ind w:left="9" w:right="83" w:firstLine="471"/>
        <w:jc w:val="both"/>
      </w:pPr>
      <w:r>
        <w:rPr>
          <w:spacing w:val="-2"/>
        </w:rPr>
        <w:t>本文件为校准实验室（以下简称“实验室</w:t>
      </w:r>
      <w:r>
        <w:rPr>
          <w:spacing w:val="-88"/>
        </w:rPr>
        <w:t xml:space="preserve"> </w:t>
      </w:r>
      <w:r>
        <w:rPr>
          <w:spacing w:val="-2"/>
        </w:rPr>
        <w:t>”）开展风</w:t>
      </w:r>
      <w:r>
        <w:rPr>
          <w:spacing w:val="-3"/>
        </w:rPr>
        <w:t>险管理工作提供指导，给出了</w:t>
      </w:r>
      <w:r>
        <w:t xml:space="preserve"> </w:t>
      </w:r>
      <w:r>
        <w:rPr>
          <w:spacing w:val="-2"/>
        </w:rPr>
        <w:t>认可评审严重不符合项示例，给出了实验室进行风险识别、风险分析、风险评价、风险</w:t>
      </w:r>
      <w:r>
        <w:rPr>
          <w:spacing w:val="15"/>
        </w:rPr>
        <w:t xml:space="preserve"> </w:t>
      </w:r>
      <w:r>
        <w:rPr>
          <w:spacing w:val="-1"/>
        </w:rPr>
        <w:t>应对等环节的方法和示例。</w:t>
      </w:r>
    </w:p>
    <w:p>
      <w:pPr>
        <w:pStyle w:val="BodyText"/>
        <w:spacing w:before="104" w:line="260" w:lineRule="auto"/>
        <w:ind w:left="11" w:right="83" w:firstLine="469"/>
      </w:pPr>
      <w:r>
        <w:rPr>
          <w:spacing w:val="-1"/>
        </w:rPr>
        <w:t>本文件适用于申请认可或获准认可的实验室</w:t>
      </w:r>
      <w:r>
        <w:rPr>
          <w:spacing w:val="-2"/>
        </w:rPr>
        <w:t>开展风险管理工作，也可供评审组在认</w:t>
      </w:r>
      <w:r>
        <w:t xml:space="preserve"> </w:t>
      </w:r>
      <w:r>
        <w:rPr>
          <w:spacing w:val="-2"/>
        </w:rPr>
        <w:t>可评审过程中参考使用。</w:t>
      </w:r>
    </w:p>
    <w:p>
      <w:pPr>
        <w:pStyle w:val="BodyText"/>
        <w:spacing w:before="200" w:line="220" w:lineRule="auto"/>
        <w:ind w:left="7"/>
        <w:rPr>
          <w:sz w:val="28"/>
          <w:szCs w:val="28"/>
        </w:rPr>
      </w:pPr>
      <w:r>
        <w:rPr>
          <w:rFonts w:ascii="Arial" w:eastAsia="Arial" w:hAnsi="Arial" w:cs="Arial"/>
          <w:b/>
          <w:bCs/>
          <w:spacing w:val="-2"/>
          <w:sz w:val="28"/>
          <w:szCs w:val="28"/>
        </w:rPr>
        <w:t>2</w:t>
      </w:r>
      <w:r>
        <w:rPr>
          <w:rFonts w:ascii="Arial" w:eastAsia="Arial" w:hAnsi="Arial" w:cs="Arial"/>
          <w:b/>
          <w:bCs/>
          <w:spacing w:val="20"/>
          <w:sz w:val="28"/>
          <w:szCs w:val="28"/>
        </w:rPr>
        <w:t xml:space="preserve">   </w:t>
      </w:r>
      <w:r>
        <w:rPr>
          <w:spacing w:val="-2"/>
          <w:sz w:val="28"/>
          <w:szCs w:val="28"/>
          <w14:textOutline w14:w="5103" w14:cap="sq">
            <w14:solidFill>
              <w14:srgbClr w14:val="000000"/>
            </w14:solidFill>
            <w14:prstDash w14:val="solid"/>
            <w14:bevel/>
          </w14:textOutline>
        </w:rPr>
        <w:t>规范性引用文件</w:t>
      </w:r>
    </w:p>
    <w:p>
      <w:pPr>
        <w:pStyle w:val="BodyText"/>
        <w:spacing w:before="153" w:line="260" w:lineRule="auto"/>
        <w:ind w:left="8" w:right="83" w:firstLine="488"/>
      </w:pPr>
      <w:r>
        <w:rPr>
          <w:spacing w:val="-2"/>
        </w:rPr>
        <w:t>下列文件对于本文件的应用是必不可少的，请注意使用引用文件的最新版本（包括</w:t>
      </w:r>
      <w:r>
        <w:rPr>
          <w:spacing w:val="3"/>
        </w:rPr>
        <w:t xml:space="preserve"> </w:t>
      </w:r>
      <w:r>
        <w:rPr>
          <w:spacing w:val="-2"/>
        </w:rPr>
        <w:t>任何修订）。</w:t>
      </w:r>
    </w:p>
    <w:p>
      <w:pPr>
        <w:pStyle w:val="BodyText"/>
        <w:spacing w:before="98" w:line="389" w:lineRule="exact"/>
        <w:ind w:left="493"/>
      </w:pPr>
      <w:r>
        <w:rPr>
          <w:rFonts w:ascii="Arial" w:eastAsia="Arial" w:hAnsi="Arial" w:cs="Arial"/>
          <w:spacing w:val="-3"/>
          <w:position w:val="6"/>
        </w:rPr>
        <w:t>GB/T</w:t>
      </w:r>
      <w:r>
        <w:rPr>
          <w:rFonts w:ascii="Arial" w:eastAsia="Arial" w:hAnsi="Arial" w:cs="Arial"/>
          <w:spacing w:val="35"/>
          <w:position w:val="6"/>
        </w:rPr>
        <w:t xml:space="preserve"> </w:t>
      </w:r>
      <w:r>
        <w:rPr>
          <w:rFonts w:ascii="Arial" w:eastAsia="Arial" w:hAnsi="Arial" w:cs="Arial"/>
          <w:spacing w:val="-3"/>
          <w:position w:val="6"/>
        </w:rPr>
        <w:t>19000</w:t>
      </w:r>
      <w:r>
        <w:rPr>
          <w:rFonts w:ascii="Arial" w:eastAsia="Arial" w:hAnsi="Arial" w:cs="Arial"/>
          <w:spacing w:val="62"/>
          <w:position w:val="6"/>
        </w:rPr>
        <w:t xml:space="preserve"> </w:t>
      </w:r>
      <w:r>
        <w:rPr>
          <w:spacing w:val="-3"/>
          <w:position w:val="6"/>
        </w:rPr>
        <w:t>质量管理体系 基础和术语</w:t>
      </w:r>
    </w:p>
    <w:p>
      <w:pPr>
        <w:pStyle w:val="BodyText"/>
        <w:spacing w:line="327" w:lineRule="exact"/>
        <w:ind w:left="493"/>
      </w:pPr>
      <w:r>
        <w:rPr>
          <w:rFonts w:ascii="Arial" w:eastAsia="Arial" w:hAnsi="Arial" w:cs="Arial"/>
          <w:spacing w:val="-2"/>
          <w:position w:val="1"/>
        </w:rPr>
        <w:t>GB/T 23694</w:t>
      </w:r>
      <w:r>
        <w:rPr>
          <w:rFonts w:ascii="Arial" w:eastAsia="Arial" w:hAnsi="Arial" w:cs="Arial"/>
          <w:spacing w:val="68"/>
          <w:position w:val="1"/>
        </w:rPr>
        <w:t xml:space="preserve"> </w:t>
      </w:r>
      <w:r>
        <w:rPr>
          <w:spacing w:val="-2"/>
          <w:position w:val="1"/>
        </w:rPr>
        <w:t>风险管理 术语</w:t>
      </w:r>
    </w:p>
    <w:p>
      <w:pPr>
        <w:pStyle w:val="BodyText"/>
        <w:spacing w:before="64" w:line="327" w:lineRule="exact"/>
        <w:ind w:left="493"/>
      </w:pPr>
      <w:r>
        <w:rPr>
          <w:rFonts w:ascii="Arial" w:eastAsia="Arial" w:hAnsi="Arial" w:cs="Arial"/>
          <w:spacing w:val="-2"/>
          <w:position w:val="1"/>
        </w:rPr>
        <w:t>GB/T 24353</w:t>
      </w:r>
      <w:r>
        <w:rPr>
          <w:rFonts w:ascii="Arial" w:eastAsia="Arial" w:hAnsi="Arial" w:cs="Arial"/>
          <w:spacing w:val="68"/>
          <w:position w:val="1"/>
        </w:rPr>
        <w:t xml:space="preserve"> </w:t>
      </w:r>
      <w:r>
        <w:rPr>
          <w:spacing w:val="-2"/>
          <w:position w:val="1"/>
        </w:rPr>
        <w:t>风险管理 指南</w:t>
      </w:r>
    </w:p>
    <w:p>
      <w:pPr>
        <w:pStyle w:val="BodyText"/>
        <w:spacing w:before="62" w:line="327" w:lineRule="exact"/>
        <w:ind w:left="493"/>
      </w:pPr>
      <w:r>
        <w:rPr>
          <w:rFonts w:ascii="Arial" w:eastAsia="Arial" w:hAnsi="Arial" w:cs="Arial"/>
          <w:spacing w:val="-2"/>
          <w:position w:val="1"/>
        </w:rPr>
        <w:t>GB/T 27921</w:t>
      </w:r>
      <w:r>
        <w:rPr>
          <w:rFonts w:ascii="Arial" w:eastAsia="Arial" w:hAnsi="Arial" w:cs="Arial"/>
          <w:spacing w:val="76"/>
          <w:position w:val="1"/>
        </w:rPr>
        <w:t xml:space="preserve"> </w:t>
      </w:r>
      <w:r>
        <w:rPr>
          <w:spacing w:val="-2"/>
          <w:position w:val="1"/>
        </w:rPr>
        <w:t>风险管理 风险评估技术</w:t>
      </w:r>
    </w:p>
    <w:p>
      <w:pPr>
        <w:pStyle w:val="BodyText"/>
        <w:spacing w:before="108" w:line="391" w:lineRule="exact"/>
        <w:ind w:left="492"/>
      </w:pPr>
      <w:r>
        <w:rPr>
          <w:rFonts w:ascii="Arial" w:eastAsia="Arial" w:hAnsi="Arial" w:cs="Arial"/>
          <w:spacing w:val="-1"/>
          <w:position w:val="11"/>
        </w:rPr>
        <w:t xml:space="preserve">CNAS-GL008  </w:t>
      </w:r>
      <w:r>
        <w:rPr>
          <w:spacing w:val="-1"/>
          <w:position w:val="11"/>
        </w:rPr>
        <w:t>实验室认可评审不符合项分级指南</w:t>
      </w:r>
    </w:p>
    <w:p>
      <w:pPr>
        <w:pStyle w:val="BodyText"/>
        <w:spacing w:line="219" w:lineRule="auto"/>
        <w:ind w:left="492"/>
      </w:pPr>
      <w:r>
        <w:rPr>
          <w:rFonts w:ascii="Arial" w:eastAsia="Arial" w:hAnsi="Arial" w:cs="Arial"/>
          <w:spacing w:val="-1"/>
        </w:rPr>
        <w:t>CNAS-TRL-022</w:t>
      </w:r>
      <w:r>
        <w:rPr>
          <w:spacing w:val="-1"/>
        </w:rPr>
        <w:t>《实验室风险管理指南》</w:t>
      </w:r>
    </w:p>
    <w:p>
      <w:pPr>
        <w:pStyle w:val="BodyText"/>
        <w:spacing w:before="201" w:line="220" w:lineRule="auto"/>
        <w:ind w:left="11"/>
        <w:rPr>
          <w:sz w:val="28"/>
          <w:szCs w:val="28"/>
        </w:rPr>
      </w:pPr>
      <w:r>
        <w:rPr>
          <w:rFonts w:ascii="Arial" w:eastAsia="Arial" w:hAnsi="Arial" w:cs="Arial"/>
          <w:b/>
          <w:bCs/>
          <w:spacing w:val="-4"/>
          <w:sz w:val="28"/>
          <w:szCs w:val="28"/>
        </w:rPr>
        <w:t>3</w:t>
      </w:r>
      <w:r>
        <w:rPr>
          <w:rFonts w:ascii="Arial" w:eastAsia="Arial" w:hAnsi="Arial" w:cs="Arial"/>
          <w:b/>
          <w:bCs/>
          <w:spacing w:val="20"/>
          <w:sz w:val="28"/>
          <w:szCs w:val="28"/>
        </w:rPr>
        <w:t xml:space="preserve">   </w:t>
      </w:r>
      <w:r>
        <w:rPr>
          <w:spacing w:val="-4"/>
          <w:sz w:val="28"/>
          <w:szCs w:val="28"/>
          <w14:textOutline w14:w="5103" w14:cap="sq">
            <w14:solidFill>
              <w14:srgbClr w14:val="000000"/>
            </w14:solidFill>
            <w14:prstDash w14:val="solid"/>
            <w14:bevel/>
          </w14:textOutline>
        </w:rPr>
        <w:t>术语和定义</w:t>
      </w:r>
    </w:p>
    <w:p>
      <w:pPr>
        <w:pStyle w:val="BodyText"/>
        <w:spacing w:before="149" w:line="293" w:lineRule="auto"/>
        <w:ind w:left="10" w:right="83" w:firstLine="501"/>
      </w:pPr>
      <w:r>
        <w:rPr>
          <w:rFonts w:ascii="Arial" w:eastAsia="Arial" w:hAnsi="Arial" w:cs="Arial"/>
          <w:spacing w:val="-2"/>
        </w:rPr>
        <w:t>GB/T 19000-2016</w:t>
      </w:r>
      <w:r>
        <w:rPr>
          <w:spacing w:val="-2"/>
        </w:rPr>
        <w:t>、</w:t>
      </w:r>
      <w:r>
        <w:rPr>
          <w:rFonts w:ascii="Arial" w:eastAsia="Arial" w:hAnsi="Arial" w:cs="Arial"/>
          <w:spacing w:val="-2"/>
        </w:rPr>
        <w:t>GB/T 23694-</w:t>
      </w:r>
      <w:r>
        <w:rPr>
          <w:rFonts w:ascii="Arial" w:eastAsia="Arial" w:hAnsi="Arial" w:cs="Arial"/>
          <w:spacing w:val="-3"/>
        </w:rPr>
        <w:t xml:space="preserve">2013 </w:t>
      </w:r>
      <w:r>
        <w:rPr>
          <w:spacing w:val="-3"/>
        </w:rPr>
        <w:t>界定的术语和定义适用于本文件。为了方便</w:t>
      </w:r>
      <w:r>
        <w:t xml:space="preserve"> </w:t>
      </w:r>
      <w:r>
        <w:rPr>
          <w:spacing w:val="-2"/>
        </w:rPr>
        <w:t>使用，以下重复列出了</w:t>
      </w:r>
      <w:r>
        <w:rPr>
          <w:spacing w:val="-31"/>
        </w:rPr>
        <w:t xml:space="preserve"> </w:t>
      </w:r>
      <w:r>
        <w:rPr>
          <w:rFonts w:ascii="Arial" w:eastAsia="Arial" w:hAnsi="Arial" w:cs="Arial"/>
          <w:spacing w:val="-2"/>
        </w:rPr>
        <w:t>GB/T</w:t>
      </w:r>
      <w:r>
        <w:rPr>
          <w:rFonts w:ascii="Arial" w:eastAsia="Arial" w:hAnsi="Arial" w:cs="Arial"/>
          <w:spacing w:val="19"/>
        </w:rPr>
        <w:t xml:space="preserve"> </w:t>
      </w:r>
      <w:r>
        <w:rPr>
          <w:rFonts w:ascii="Arial" w:eastAsia="Arial" w:hAnsi="Arial" w:cs="Arial"/>
          <w:spacing w:val="-2"/>
        </w:rPr>
        <w:t>19000-2016</w:t>
      </w:r>
      <w:r>
        <w:rPr>
          <w:spacing w:val="-2"/>
        </w:rPr>
        <w:t>、</w:t>
      </w:r>
      <w:r>
        <w:rPr>
          <w:rFonts w:ascii="Arial" w:eastAsia="Arial" w:hAnsi="Arial" w:cs="Arial"/>
          <w:spacing w:val="-2"/>
        </w:rPr>
        <w:t>GB/T 23694-2013</w:t>
      </w:r>
      <w:r>
        <w:rPr>
          <w:rFonts w:ascii="Arial" w:eastAsia="Arial" w:hAnsi="Arial" w:cs="Arial"/>
          <w:spacing w:val="24"/>
        </w:rPr>
        <w:t xml:space="preserve"> </w:t>
      </w:r>
      <w:r>
        <w:rPr>
          <w:spacing w:val="-2"/>
        </w:rPr>
        <w:t>中的某些术语和定义。</w:t>
      </w:r>
    </w:p>
    <w:p>
      <w:pPr>
        <w:pStyle w:val="BodyText"/>
        <w:spacing w:before="62" w:line="212" w:lineRule="auto"/>
        <w:ind w:left="9"/>
        <w:rPr>
          <w:rFonts w:ascii="Arial" w:eastAsia="Arial" w:hAnsi="Arial" w:cs="Arial"/>
        </w:rPr>
      </w:pPr>
      <w:r>
        <w:rPr>
          <w:rFonts w:ascii="Arial" w:eastAsia="Arial" w:hAnsi="Arial" w:cs="Arial"/>
          <w:b/>
          <w:bCs/>
          <w:spacing w:val="-1"/>
        </w:rPr>
        <w:t xml:space="preserve">3.1  </w:t>
      </w:r>
      <w:r>
        <w:rPr>
          <w:spacing w:val="-1"/>
          <w14:textOutline w14:w="4358" w14:cap="sq">
            <w14:solidFill>
              <w14:srgbClr w14:val="000000"/>
            </w14:solidFill>
            <w14:prstDash w14:val="solid"/>
            <w14:bevel/>
          </w14:textOutline>
        </w:rPr>
        <w:t>不符合</w:t>
      </w:r>
      <w:r>
        <w:rPr>
          <w:spacing w:val="-1"/>
        </w:rPr>
        <w:t xml:space="preserve"> </w:t>
      </w:r>
      <w:r>
        <w:rPr>
          <w:rFonts w:ascii="Arial" w:eastAsia="Arial" w:hAnsi="Arial" w:cs="Arial"/>
          <w:b/>
          <w:bCs/>
          <w:spacing w:val="-1"/>
        </w:rPr>
        <w:t>nonconformity</w:t>
      </w:r>
    </w:p>
    <w:p>
      <w:pPr>
        <w:pStyle w:val="BodyText"/>
        <w:spacing w:before="116" w:line="219" w:lineRule="auto"/>
        <w:ind w:left="493"/>
      </w:pPr>
      <w:r>
        <w:rPr>
          <w:spacing w:val="-3"/>
        </w:rPr>
        <w:t>未满足要求。</w:t>
      </w:r>
    </w:p>
    <w:p>
      <w:pPr>
        <w:pStyle w:val="BodyText"/>
        <w:spacing w:before="104" w:line="212"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2"/>
        </w:rPr>
        <w:t>19000-2016, 3.6.9]</w:t>
      </w:r>
    </w:p>
    <w:p>
      <w:pPr>
        <w:pStyle w:val="BodyText"/>
        <w:spacing w:before="116" w:line="220" w:lineRule="auto"/>
        <w:ind w:left="9"/>
        <w:rPr>
          <w:rFonts w:ascii="Arial" w:eastAsia="Arial" w:hAnsi="Arial" w:cs="Arial"/>
        </w:rPr>
        <w:sectPr>
          <w:headerReference w:type="default" r:id="rId4"/>
          <w:footerReference w:type="default" r:id="rId5"/>
          <w:pgSz w:w="11906" w:h="16839"/>
          <w:pgMar w:top="1091" w:right="1334" w:bottom="1260" w:left="1418" w:header="779" w:footer="983" w:gutter="0"/>
          <w:cols w:space="708"/>
        </w:sectPr>
      </w:pPr>
      <w:r>
        <w:rPr>
          <w:rFonts w:ascii="Arial" w:eastAsia="Arial" w:hAnsi="Arial" w:cs="Arial"/>
          <w:b/>
          <w:bCs/>
          <w:spacing w:val="-4"/>
        </w:rPr>
        <w:t xml:space="preserve">3.2  </w:t>
      </w:r>
      <w:r>
        <w:rPr>
          <w:spacing w:val="-4"/>
          <w14:textOutline w14:w="4358" w14:cap="sq">
            <w14:solidFill>
              <w14:srgbClr w14:val="000000"/>
            </w14:solidFill>
            <w14:prstDash w14:val="solid"/>
            <w14:bevel/>
          </w14:textOutline>
        </w:rPr>
        <w:t>风险</w:t>
      </w:r>
      <w:r>
        <w:rPr>
          <w:spacing w:val="22"/>
        </w:rPr>
        <w:t xml:space="preserve"> </w:t>
      </w:r>
      <w:r>
        <w:rPr>
          <w:rFonts w:ascii="Arial" w:eastAsia="Arial" w:hAnsi="Arial" w:cs="Arial"/>
          <w:b/>
          <w:bCs/>
          <w:spacing w:val="-4"/>
        </w:rPr>
        <w:t>risk</w:t>
      </w:r>
    </w:p>
    <w:p>
      <w:pPr>
        <w:pStyle w:val="BodyText"/>
        <w:spacing w:before="103" w:line="220" w:lineRule="auto"/>
        <w:ind w:left="493"/>
      </w:pPr>
      <w:r>
        <w:rPr>
          <w:spacing w:val="-2"/>
        </w:rPr>
        <w:t>不确定性对目标的影响。</w:t>
      </w:r>
    </w:p>
    <w:p>
      <w:pPr>
        <w:spacing w:before="105" w:line="222" w:lineRule="auto"/>
        <w:ind w:left="502"/>
        <w:rPr>
          <w:rFonts w:ascii="FangSong" w:eastAsia="FangSong" w:hAnsi="FangSong" w:cs="FangSong"/>
          <w:sz w:val="24"/>
          <w:szCs w:val="24"/>
        </w:rPr>
      </w:pPr>
      <w:r>
        <w:rPr>
          <w:rFonts w:ascii="FangSong" w:eastAsia="FangSong" w:hAnsi="FangSong" w:cs="FangSong"/>
          <w:spacing w:val="-1"/>
          <w:sz w:val="24"/>
          <w:szCs w:val="24"/>
        </w:rPr>
        <w:t>注1：影响是指偏离预期，可以是正面的和/或负面的。</w:t>
      </w:r>
    </w:p>
    <w:p>
      <w:pPr>
        <w:spacing w:before="99" w:line="262" w:lineRule="auto"/>
        <w:ind w:left="20" w:right="86" w:firstLine="482"/>
        <w:rPr>
          <w:rFonts w:ascii="FangSong" w:eastAsia="FangSong" w:hAnsi="FangSong" w:cs="FangSong"/>
          <w:sz w:val="24"/>
          <w:szCs w:val="24"/>
        </w:rPr>
      </w:pPr>
      <w:r>
        <w:rPr>
          <w:rFonts w:ascii="FangSong" w:eastAsia="FangSong" w:hAnsi="FangSong" w:cs="FangSong"/>
          <w:spacing w:val="-1"/>
          <w:sz w:val="24"/>
          <w:szCs w:val="24"/>
        </w:rPr>
        <w:t>注2：</w:t>
      </w:r>
      <w:r>
        <w:rPr>
          <w:rFonts w:ascii="FangSong" w:eastAsia="FangSong" w:hAnsi="FangSong" w:cs="FangSong"/>
          <w:spacing w:val="-41"/>
          <w:sz w:val="24"/>
          <w:szCs w:val="24"/>
        </w:rPr>
        <w:t xml:space="preserve"> </w:t>
      </w:r>
      <w:r>
        <w:rPr>
          <w:rFonts w:ascii="FangSong" w:eastAsia="FangSong" w:hAnsi="FangSong" w:cs="FangSong"/>
          <w:spacing w:val="-1"/>
          <w:sz w:val="24"/>
          <w:szCs w:val="24"/>
        </w:rPr>
        <w:t>目标可以是不同方面（如财务、健康与安全、环境等）和层面（如战略、组</w:t>
      </w:r>
      <w:r>
        <w:rPr>
          <w:rFonts w:ascii="FangSong" w:eastAsia="FangSong" w:hAnsi="FangSong" w:cs="FangSong"/>
          <w:sz w:val="24"/>
          <w:szCs w:val="24"/>
        </w:rPr>
        <w:t xml:space="preserve"> </w:t>
      </w:r>
      <w:r>
        <w:rPr>
          <w:rFonts w:ascii="FangSong" w:eastAsia="FangSong" w:hAnsi="FangSong" w:cs="FangSong"/>
          <w:spacing w:val="-2"/>
          <w:sz w:val="24"/>
          <w:szCs w:val="24"/>
        </w:rPr>
        <w:t>织、项目、产品和过程等）的目标。</w:t>
      </w:r>
    </w:p>
    <w:p>
      <w:pPr>
        <w:spacing w:before="100" w:line="219" w:lineRule="auto"/>
        <w:ind w:left="502"/>
        <w:rPr>
          <w:rFonts w:ascii="FangSong" w:eastAsia="FangSong" w:hAnsi="FangSong" w:cs="FangSong"/>
          <w:sz w:val="24"/>
          <w:szCs w:val="24"/>
        </w:rPr>
      </w:pPr>
      <w:r>
        <w:rPr>
          <w:rFonts w:ascii="FangSong" w:eastAsia="FangSong" w:hAnsi="FangSong" w:cs="FangSong"/>
          <w:spacing w:val="-1"/>
          <w:sz w:val="24"/>
          <w:szCs w:val="24"/>
        </w:rPr>
        <w:t>注3：通常用潜在事件、后果或者两者的组合来区分风险。</w:t>
      </w:r>
    </w:p>
    <w:p>
      <w:pPr>
        <w:spacing w:before="106" w:line="220" w:lineRule="auto"/>
        <w:ind w:left="502"/>
        <w:rPr>
          <w:rFonts w:ascii="FangSong" w:eastAsia="FangSong" w:hAnsi="FangSong" w:cs="FangSong"/>
          <w:sz w:val="24"/>
          <w:szCs w:val="24"/>
        </w:rPr>
      </w:pPr>
      <w:r>
        <w:rPr>
          <w:rFonts w:ascii="FangSong" w:eastAsia="FangSong" w:hAnsi="FangSong" w:cs="FangSong"/>
          <w:spacing w:val="-1"/>
          <w:sz w:val="24"/>
          <w:szCs w:val="24"/>
        </w:rPr>
        <w:t>注4：通常用事件后果（包括情形的变化）和事件发生可能性的组合来表示风险。</w:t>
      </w:r>
    </w:p>
    <w:p>
      <w:pPr>
        <w:spacing w:line="220" w:lineRule="auto"/>
        <w:rPr>
          <w:rFonts w:ascii="FangSong" w:eastAsia="FangSong" w:hAnsi="FangSong" w:cs="FangSong"/>
          <w:sz w:val="24"/>
          <w:szCs w:val="24"/>
        </w:rPr>
        <w:sectPr>
          <w:headerReference w:type="default" r:id="rId6"/>
          <w:footerReference w:type="default" r:id="rId7"/>
          <w:type w:val="nextPage"/>
          <w:pgSz w:w="11906" w:h="16839"/>
          <w:pgMar w:top="1091" w:right="1334" w:bottom="1260" w:left="1418" w:header="779" w:footer="983" w:gutter="0"/>
          <w:pgNumType w:start="2"/>
          <w:cols w:space="708"/>
          <w:titlePg w:val="0"/>
        </w:sectPr>
      </w:pPr>
    </w:p>
    <w:p>
      <w:pPr>
        <w:spacing w:line="462" w:lineRule="auto"/>
        <w:rPr>
          <w:rFonts w:ascii="Arial"/>
          <w:sz w:val="21"/>
        </w:rPr>
      </w:pPr>
    </w:p>
    <w:p>
      <w:pPr>
        <w:pStyle w:val="BodyText"/>
        <w:spacing w:before="78" w:line="256" w:lineRule="auto"/>
        <w:ind w:left="500" w:right="430" w:firstLine="2"/>
        <w:rPr>
          <w:rFonts w:ascii="Times New Roman" w:eastAsia="Times New Roman" w:hAnsi="Times New Roman" w:cs="Times New Roman"/>
        </w:rPr>
      </w:pPr>
      <w:r>
        <w:rPr>
          <w:rFonts w:ascii="FangSong" w:eastAsia="FangSong" w:hAnsi="FangSong" w:cs="FangSong"/>
          <w:spacing w:val="-2"/>
        </w:rPr>
        <w:t>注5：不确定性是指对事件及其后果或者可能性的信息缺失或了解片面的状态。</w:t>
      </w:r>
      <w:r>
        <w:rPr>
          <w:rFonts w:ascii="FangSong" w:eastAsia="FangSong" w:hAnsi="FangSong" w:cs="FangSong"/>
          <w:spacing w:val="9"/>
        </w:rPr>
        <w:t xml:space="preserve"> </w:t>
      </w: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w:t>
      </w:r>
      <w:r>
        <w:rPr>
          <w:rFonts w:ascii="Times New Roman" w:eastAsia="Times New Roman" w:hAnsi="Times New Roman" w:cs="Times New Roman"/>
          <w:spacing w:val="-3"/>
        </w:rPr>
        <w:t xml:space="preserve"> 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p>
    <w:p>
      <w:pPr>
        <w:pStyle w:val="BodyText"/>
        <w:spacing w:before="115" w:line="210" w:lineRule="auto"/>
        <w:ind w:left="9"/>
        <w:outlineLvl w:val="0"/>
        <w:rPr>
          <w:rFonts w:ascii="Arial" w:eastAsia="Arial" w:hAnsi="Arial" w:cs="Arial"/>
        </w:rPr>
      </w:pPr>
      <w:r>
        <w:rPr>
          <w:rFonts w:ascii="Arial" w:eastAsia="Arial" w:hAnsi="Arial" w:cs="Arial"/>
          <w:b/>
          <w:bCs/>
          <w:spacing w:val="-2"/>
        </w:rPr>
        <w:t>3.3</w:t>
      </w:r>
      <w:r>
        <w:rPr>
          <w:rFonts w:ascii="Arial" w:eastAsia="Arial" w:hAnsi="Arial" w:cs="Arial"/>
          <w:b/>
          <w:bCs/>
          <w:spacing w:val="77"/>
        </w:rPr>
        <w:t xml:space="preserve"> </w:t>
      </w:r>
      <w:r>
        <w:rPr>
          <w:spacing w:val="-2"/>
          <w14:textOutline w14:w="4358" w14:cap="sq">
            <w14:solidFill>
              <w14:srgbClr w14:val="000000"/>
            </w14:solidFill>
            <w14:prstDash w14:val="solid"/>
            <w14:bevel/>
          </w14:textOutline>
        </w:rPr>
        <w:t>风险管理</w:t>
      </w:r>
      <w:r>
        <w:rPr>
          <w:spacing w:val="-2"/>
        </w:rPr>
        <w:t xml:space="preserve"> </w:t>
      </w:r>
      <w:r>
        <w:rPr>
          <w:rFonts w:ascii="Arial" w:eastAsia="Arial" w:hAnsi="Arial" w:cs="Arial"/>
          <w:b/>
          <w:bCs/>
          <w:spacing w:val="-2"/>
        </w:rPr>
        <w:t>risk</w:t>
      </w:r>
      <w:r>
        <w:rPr>
          <w:rFonts w:ascii="Arial" w:eastAsia="Arial" w:hAnsi="Arial" w:cs="Arial"/>
          <w:b/>
          <w:bCs/>
          <w:spacing w:val="14"/>
        </w:rPr>
        <w:t xml:space="preserve"> </w:t>
      </w:r>
      <w:r>
        <w:rPr>
          <w:rFonts w:ascii="Arial" w:eastAsia="Arial" w:hAnsi="Arial" w:cs="Arial"/>
          <w:b/>
          <w:bCs/>
          <w:spacing w:val="-2"/>
        </w:rPr>
        <w:t>management</w:t>
      </w:r>
    </w:p>
    <w:p>
      <w:pPr>
        <w:pStyle w:val="BodyText"/>
        <w:spacing w:before="115" w:line="391" w:lineRule="exact"/>
        <w:ind w:left="488"/>
      </w:pPr>
      <w:r>
        <w:rPr>
          <w:spacing w:val="-1"/>
          <w:position w:val="11"/>
        </w:rPr>
        <w:t>在风险方面，指导和控制组织的协调活动。</w:t>
      </w:r>
    </w:p>
    <w:p>
      <w:pPr>
        <w:pStyle w:val="BodyText"/>
        <w:spacing w:line="210"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w:t>
      </w:r>
      <w:r>
        <w:rPr>
          <w:rFonts w:ascii="Times New Roman" w:eastAsia="Times New Roman" w:hAnsi="Times New Roman" w:cs="Times New Roman"/>
          <w:spacing w:val="-3"/>
        </w:rPr>
        <w:t xml:space="preserve"> 3.</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w:t>
      </w:r>
    </w:p>
    <w:p>
      <w:pPr>
        <w:pStyle w:val="BodyText"/>
        <w:spacing w:before="115" w:line="220" w:lineRule="auto"/>
        <w:ind w:left="9"/>
        <w:outlineLvl w:val="0"/>
        <w:rPr>
          <w:rFonts w:ascii="Arial" w:eastAsia="Arial" w:hAnsi="Arial" w:cs="Arial"/>
        </w:rPr>
      </w:pPr>
      <w:r>
        <w:rPr>
          <w:rFonts w:ascii="Arial" w:eastAsia="Arial" w:hAnsi="Arial" w:cs="Arial"/>
          <w:b/>
          <w:bCs/>
          <w:spacing w:val="-2"/>
        </w:rPr>
        <w:t>3.4</w:t>
      </w:r>
      <w:r>
        <w:rPr>
          <w:rFonts w:ascii="Arial" w:eastAsia="Arial" w:hAnsi="Arial" w:cs="Arial"/>
          <w:b/>
          <w:bCs/>
          <w:spacing w:val="76"/>
        </w:rPr>
        <w:t xml:space="preserve"> </w:t>
      </w:r>
      <w:r>
        <w:rPr>
          <w:spacing w:val="-2"/>
          <w14:textOutline w14:w="4358" w14:cap="sq">
            <w14:solidFill>
              <w14:srgbClr w14:val="000000"/>
            </w14:solidFill>
            <w14:prstDash w14:val="solid"/>
            <w14:bevel/>
          </w14:textOutline>
        </w:rPr>
        <w:t>风险源</w:t>
      </w:r>
      <w:r>
        <w:rPr>
          <w:spacing w:val="-2"/>
        </w:rPr>
        <w:t xml:space="preserve"> </w:t>
      </w:r>
      <w:r>
        <w:rPr>
          <w:rFonts w:ascii="Arial" w:eastAsia="Arial" w:hAnsi="Arial" w:cs="Arial"/>
          <w:b/>
          <w:bCs/>
          <w:spacing w:val="-2"/>
        </w:rPr>
        <w:t>risk</w:t>
      </w:r>
      <w:r>
        <w:rPr>
          <w:rFonts w:ascii="Arial" w:eastAsia="Arial" w:hAnsi="Arial" w:cs="Arial"/>
          <w:b/>
          <w:bCs/>
          <w:spacing w:val="4"/>
        </w:rPr>
        <w:t xml:space="preserve"> </w:t>
      </w:r>
      <w:r>
        <w:rPr>
          <w:rFonts w:ascii="Arial" w:eastAsia="Arial" w:hAnsi="Arial" w:cs="Arial"/>
          <w:b/>
          <w:bCs/>
          <w:spacing w:val="-2"/>
        </w:rPr>
        <w:t>source</w:t>
      </w:r>
    </w:p>
    <w:p>
      <w:pPr>
        <w:pStyle w:val="BodyText"/>
        <w:spacing w:before="106" w:line="219" w:lineRule="auto"/>
        <w:ind w:left="431"/>
      </w:pPr>
      <w:r>
        <w:rPr>
          <w:spacing w:val="-1"/>
        </w:rPr>
        <w:t>可能单独或共同引发风险的内在要素。</w:t>
      </w:r>
    </w:p>
    <w:p>
      <w:pPr>
        <w:spacing w:before="103" w:line="392" w:lineRule="exact"/>
        <w:ind w:left="502"/>
        <w:rPr>
          <w:rFonts w:ascii="FangSong" w:eastAsia="FangSong" w:hAnsi="FangSong" w:cs="FangSong"/>
          <w:sz w:val="24"/>
          <w:szCs w:val="24"/>
        </w:rPr>
      </w:pPr>
      <w:r>
        <w:rPr>
          <w:rFonts w:ascii="FangSong" w:eastAsia="FangSong" w:hAnsi="FangSong" w:cs="FangSong"/>
          <w:spacing w:val="-2"/>
          <w:position w:val="10"/>
          <w:sz w:val="24"/>
          <w:szCs w:val="24"/>
        </w:rPr>
        <w:t>注：风险源可以是有形的，也可以是无形的。</w:t>
      </w:r>
    </w:p>
    <w:p>
      <w:pPr>
        <w:pStyle w:val="BodyText"/>
        <w:spacing w:line="210" w:lineRule="auto"/>
        <w:ind w:left="500"/>
        <w:rPr>
          <w:rFonts w:ascii="Times New Roman" w:eastAsia="Times New Roman" w:hAnsi="Times New Roman" w:cs="Times New Roman"/>
        </w:rPr>
      </w:pPr>
      <w:r>
        <w:rPr>
          <w:rFonts w:ascii="Times New Roman" w:eastAsia="Times New Roman" w:hAnsi="Times New Roman" w:cs="Times New Roman"/>
          <w:spacing w:val="-1"/>
        </w:rPr>
        <w:t>[</w:t>
      </w:r>
      <w:r>
        <w:rPr>
          <w:spacing w:val="-1"/>
        </w:rPr>
        <w:t>来源：</w:t>
      </w:r>
      <w:r>
        <w:rPr>
          <w:rFonts w:ascii="Times New Roman" w:eastAsia="Times New Roman" w:hAnsi="Times New Roman" w:cs="Times New Roman"/>
          <w:spacing w:val="-1"/>
        </w:rPr>
        <w:t>GB/T 23694-2013, 4.5.1.2]</w:t>
      </w:r>
    </w:p>
    <w:p>
      <w:pPr>
        <w:pStyle w:val="BodyText"/>
        <w:spacing w:before="115" w:line="218" w:lineRule="auto"/>
        <w:ind w:left="9"/>
        <w:outlineLvl w:val="0"/>
        <w:rPr>
          <w:rFonts w:ascii="Arial" w:eastAsia="Arial" w:hAnsi="Arial" w:cs="Arial"/>
        </w:rPr>
      </w:pPr>
      <w:r>
        <w:rPr>
          <w:rFonts w:ascii="Arial" w:eastAsia="Arial" w:hAnsi="Arial" w:cs="Arial"/>
          <w:b/>
          <w:bCs/>
          <w:spacing w:val="-1"/>
        </w:rPr>
        <w:t>3.5</w:t>
      </w:r>
      <w:r>
        <w:rPr>
          <w:rFonts w:ascii="Arial" w:eastAsia="Arial" w:hAnsi="Arial" w:cs="Arial"/>
          <w:b/>
          <w:bCs/>
          <w:spacing w:val="70"/>
          <w:w w:val="101"/>
        </w:rPr>
        <w:t xml:space="preserve"> </w:t>
      </w:r>
      <w:r>
        <w:rPr>
          <w:spacing w:val="-1"/>
          <w14:textOutline w14:w="4358" w14:cap="sq">
            <w14:solidFill>
              <w14:srgbClr w14:val="000000"/>
            </w14:solidFill>
            <w14:prstDash w14:val="solid"/>
            <w14:bevel/>
          </w14:textOutline>
        </w:rPr>
        <w:t>风险评估</w:t>
      </w:r>
      <w:r>
        <w:rPr>
          <w:spacing w:val="-1"/>
        </w:rPr>
        <w:t xml:space="preserve"> </w:t>
      </w:r>
      <w:r>
        <w:rPr>
          <w:rFonts w:ascii="Arial" w:eastAsia="Arial" w:hAnsi="Arial" w:cs="Arial"/>
          <w:b/>
          <w:bCs/>
          <w:spacing w:val="-1"/>
        </w:rPr>
        <w:t>risk assessment</w:t>
      </w:r>
    </w:p>
    <w:p>
      <w:pPr>
        <w:pStyle w:val="BodyText"/>
        <w:spacing w:before="108" w:line="389" w:lineRule="exact"/>
        <w:ind w:left="489"/>
      </w:pPr>
      <w:r>
        <w:rPr>
          <w:spacing w:val="-1"/>
          <w:position w:val="11"/>
        </w:rPr>
        <w:t>包括风险识别、风险分析和风险评价的全过程。</w:t>
      </w:r>
    </w:p>
    <w:p>
      <w:pPr>
        <w:pStyle w:val="BodyText"/>
        <w:spacing w:line="212"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 4.4.</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p>
    <w:p>
      <w:pPr>
        <w:pStyle w:val="BodyText"/>
        <w:spacing w:before="116" w:line="220" w:lineRule="auto"/>
        <w:ind w:left="9"/>
        <w:outlineLvl w:val="0"/>
        <w:rPr>
          <w:rFonts w:ascii="Arial" w:eastAsia="Arial" w:hAnsi="Arial" w:cs="Arial"/>
        </w:rPr>
      </w:pPr>
      <w:r>
        <w:rPr>
          <w:rFonts w:ascii="Arial" w:eastAsia="Arial" w:hAnsi="Arial" w:cs="Arial"/>
          <w:b/>
          <w:bCs/>
          <w:spacing w:val="-1"/>
        </w:rPr>
        <w:t>3.6</w:t>
      </w:r>
      <w:r>
        <w:rPr>
          <w:rFonts w:ascii="Arial" w:eastAsia="Arial" w:hAnsi="Arial" w:cs="Arial"/>
          <w:b/>
          <w:bCs/>
          <w:spacing w:val="62"/>
        </w:rPr>
        <w:t xml:space="preserve"> </w:t>
      </w:r>
      <w:r>
        <w:rPr>
          <w:spacing w:val="-1"/>
          <w14:textOutline w14:w="4358" w14:cap="sq">
            <w14:solidFill>
              <w14:srgbClr w14:val="000000"/>
            </w14:solidFill>
            <w14:prstDash w14:val="solid"/>
            <w14:bevel/>
          </w14:textOutline>
        </w:rPr>
        <w:t>风险识别</w:t>
      </w:r>
      <w:r>
        <w:rPr>
          <w:spacing w:val="-1"/>
        </w:rPr>
        <w:t xml:space="preserve"> </w:t>
      </w:r>
      <w:r>
        <w:rPr>
          <w:rFonts w:ascii="Arial" w:eastAsia="Arial" w:hAnsi="Arial" w:cs="Arial"/>
          <w:b/>
          <w:bCs/>
          <w:spacing w:val="-1"/>
        </w:rPr>
        <w:t>risk</w:t>
      </w:r>
      <w:r>
        <w:rPr>
          <w:rFonts w:ascii="Arial" w:eastAsia="Arial" w:hAnsi="Arial" w:cs="Arial"/>
          <w:b/>
          <w:bCs/>
          <w:spacing w:val="16"/>
          <w:w w:val="101"/>
        </w:rPr>
        <w:t xml:space="preserve"> </w:t>
      </w:r>
      <w:r>
        <w:rPr>
          <w:rFonts w:ascii="Arial" w:eastAsia="Arial" w:hAnsi="Arial" w:cs="Arial"/>
          <w:b/>
          <w:bCs/>
          <w:spacing w:val="-1"/>
        </w:rPr>
        <w:t>identif</w:t>
      </w:r>
      <w:r>
        <w:rPr>
          <w:rFonts w:ascii="Arial" w:eastAsia="Arial" w:hAnsi="Arial" w:cs="Arial"/>
          <w:b/>
          <w:bCs/>
          <w:spacing w:val="-2"/>
        </w:rPr>
        <w:t>ication</w:t>
      </w:r>
    </w:p>
    <w:p>
      <w:pPr>
        <w:pStyle w:val="BodyText"/>
        <w:spacing w:before="102" w:line="220" w:lineRule="auto"/>
        <w:ind w:left="493"/>
      </w:pPr>
      <w:r>
        <w:rPr>
          <w:spacing w:val="-1"/>
        </w:rPr>
        <w:t>发现、确认和描述风险的过程。</w:t>
      </w:r>
    </w:p>
    <w:p>
      <w:pPr>
        <w:spacing w:before="106" w:line="219" w:lineRule="auto"/>
        <w:ind w:left="502"/>
        <w:rPr>
          <w:rFonts w:ascii="FangSong" w:eastAsia="FangSong" w:hAnsi="FangSong" w:cs="FangSong"/>
          <w:sz w:val="24"/>
          <w:szCs w:val="24"/>
        </w:rPr>
      </w:pPr>
      <w:r>
        <w:rPr>
          <w:rFonts w:ascii="FangSong" w:eastAsia="FangSong" w:hAnsi="FangSong" w:cs="FangSong"/>
          <w:spacing w:val="-1"/>
          <w:sz w:val="24"/>
          <w:szCs w:val="24"/>
        </w:rPr>
        <w:t>注1：风险识别包括对风险源、事件及其原因和潜在后果的识别。</w:t>
      </w:r>
    </w:p>
    <w:p>
      <w:pPr>
        <w:pStyle w:val="BodyText"/>
        <w:spacing w:before="103" w:line="256" w:lineRule="auto"/>
        <w:ind w:left="500" w:right="190" w:firstLine="2"/>
        <w:rPr>
          <w:rFonts w:ascii="Times New Roman" w:eastAsia="Times New Roman" w:hAnsi="Times New Roman" w:cs="Times New Roman"/>
        </w:rPr>
      </w:pPr>
      <w:r>
        <w:rPr>
          <w:rFonts w:ascii="FangSong" w:eastAsia="FangSong" w:hAnsi="FangSong" w:cs="FangSong"/>
          <w:spacing w:val="-2"/>
        </w:rPr>
        <w:t>注2：风险识别可能涉及历史数据、理论分析、专家意见以及利益相关者的需求。</w:t>
      </w:r>
      <w:r>
        <w:rPr>
          <w:rFonts w:ascii="FangSong" w:eastAsia="FangSong" w:hAnsi="FangSong" w:cs="FangSong"/>
          <w:spacing w:val="11"/>
        </w:rPr>
        <w:t xml:space="preserve"> </w:t>
      </w: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 4.5.</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p>
    <w:p>
      <w:pPr>
        <w:pStyle w:val="BodyText"/>
        <w:spacing w:before="115" w:line="212" w:lineRule="auto"/>
        <w:ind w:left="9"/>
        <w:outlineLvl w:val="0"/>
        <w:rPr>
          <w:rFonts w:ascii="Arial" w:eastAsia="Arial" w:hAnsi="Arial" w:cs="Arial"/>
        </w:rPr>
      </w:pPr>
      <w:r>
        <w:rPr>
          <w:rFonts w:ascii="Arial" w:eastAsia="Arial" w:hAnsi="Arial" w:cs="Arial"/>
          <w:b/>
          <w:bCs/>
          <w:spacing w:val="-2"/>
        </w:rPr>
        <w:t>3.7</w:t>
      </w:r>
      <w:r>
        <w:rPr>
          <w:rFonts w:ascii="Arial" w:eastAsia="Arial" w:hAnsi="Arial" w:cs="Arial"/>
          <w:b/>
          <w:bCs/>
          <w:spacing w:val="78"/>
        </w:rPr>
        <w:t xml:space="preserve"> </w:t>
      </w:r>
      <w:r>
        <w:rPr>
          <w:spacing w:val="-2"/>
          <w14:textOutline w14:w="4358" w14:cap="sq">
            <w14:solidFill>
              <w14:srgbClr w14:val="000000"/>
            </w14:solidFill>
            <w14:prstDash w14:val="solid"/>
            <w14:bevel/>
          </w14:textOutline>
        </w:rPr>
        <w:t>风险分析</w:t>
      </w:r>
      <w:r>
        <w:rPr>
          <w:spacing w:val="-2"/>
        </w:rPr>
        <w:t xml:space="preserve"> </w:t>
      </w:r>
      <w:r>
        <w:rPr>
          <w:rFonts w:ascii="Arial" w:eastAsia="Arial" w:hAnsi="Arial" w:cs="Arial"/>
          <w:b/>
          <w:bCs/>
          <w:spacing w:val="-2"/>
        </w:rPr>
        <w:t>risk</w:t>
      </w:r>
      <w:r>
        <w:rPr>
          <w:rFonts w:ascii="Arial" w:eastAsia="Arial" w:hAnsi="Arial" w:cs="Arial"/>
          <w:b/>
          <w:bCs/>
          <w:spacing w:val="7"/>
        </w:rPr>
        <w:t xml:space="preserve"> </w:t>
      </w:r>
      <w:r>
        <w:rPr>
          <w:rFonts w:ascii="Arial" w:eastAsia="Arial" w:hAnsi="Arial" w:cs="Arial"/>
          <w:b/>
          <w:bCs/>
          <w:spacing w:val="-2"/>
        </w:rPr>
        <w:t>analysis</w:t>
      </w:r>
    </w:p>
    <w:p>
      <w:pPr>
        <w:pStyle w:val="BodyText"/>
        <w:spacing w:before="155" w:line="219" w:lineRule="auto"/>
        <w:ind w:left="492"/>
      </w:pPr>
      <w:r>
        <w:rPr>
          <w:spacing w:val="-1"/>
        </w:rPr>
        <w:t>理解风险性质、确定风险等级的过程。</w:t>
      </w:r>
    </w:p>
    <w:p>
      <w:pPr>
        <w:spacing w:before="144" w:line="389" w:lineRule="exact"/>
        <w:ind w:left="502"/>
        <w:rPr>
          <w:rFonts w:ascii="FangSong" w:eastAsia="FangSong" w:hAnsi="FangSong" w:cs="FangSong"/>
          <w:sz w:val="24"/>
          <w:szCs w:val="24"/>
        </w:rPr>
      </w:pPr>
      <w:r>
        <w:rPr>
          <w:rFonts w:ascii="FangSong" w:eastAsia="FangSong" w:hAnsi="FangSong" w:cs="FangSong"/>
          <w:spacing w:val="-1"/>
          <w:position w:val="10"/>
          <w:sz w:val="24"/>
          <w:szCs w:val="24"/>
        </w:rPr>
        <w:t>注1：风险分析是风险评价和风险应对决策的基础。</w:t>
      </w:r>
    </w:p>
    <w:p>
      <w:pPr>
        <w:spacing w:line="220" w:lineRule="auto"/>
        <w:ind w:left="502"/>
        <w:rPr>
          <w:rFonts w:ascii="FangSong" w:eastAsia="FangSong" w:hAnsi="FangSong" w:cs="FangSong"/>
          <w:sz w:val="24"/>
          <w:szCs w:val="24"/>
        </w:rPr>
      </w:pPr>
      <w:r>
        <w:rPr>
          <w:rFonts w:ascii="FangSong" w:eastAsia="FangSong" w:hAnsi="FangSong" w:cs="FangSong"/>
          <w:spacing w:val="-2"/>
          <w:sz w:val="24"/>
          <w:szCs w:val="24"/>
        </w:rPr>
        <w:t>注2：风险分析包括风险估计。</w:t>
      </w:r>
    </w:p>
    <w:p>
      <w:pPr>
        <w:pStyle w:val="BodyText"/>
        <w:spacing w:before="105" w:line="210"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 4.6.</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p>
    <w:p>
      <w:pPr>
        <w:pStyle w:val="BodyText"/>
        <w:spacing w:before="116" w:line="218" w:lineRule="auto"/>
        <w:ind w:left="9"/>
        <w:outlineLvl w:val="0"/>
        <w:rPr>
          <w:rFonts w:ascii="Arial" w:eastAsia="Arial" w:hAnsi="Arial" w:cs="Arial"/>
        </w:rPr>
      </w:pPr>
      <w:r>
        <w:rPr>
          <w:rFonts w:ascii="Arial" w:eastAsia="Arial" w:hAnsi="Arial" w:cs="Arial"/>
          <w:b/>
          <w:bCs/>
          <w:spacing w:val="-1"/>
        </w:rPr>
        <w:t>3.8</w:t>
      </w:r>
      <w:r>
        <w:rPr>
          <w:rFonts w:ascii="Arial" w:eastAsia="Arial" w:hAnsi="Arial" w:cs="Arial"/>
          <w:b/>
          <w:bCs/>
          <w:spacing w:val="70"/>
        </w:rPr>
        <w:t xml:space="preserve"> </w:t>
      </w:r>
      <w:r>
        <w:rPr>
          <w:spacing w:val="-1"/>
          <w14:textOutline w14:w="4358" w14:cap="sq">
            <w14:solidFill>
              <w14:srgbClr w14:val="000000"/>
            </w14:solidFill>
            <w14:prstDash w14:val="solid"/>
            <w14:bevel/>
          </w14:textOutline>
        </w:rPr>
        <w:t>风险评价</w:t>
      </w:r>
      <w:r>
        <w:rPr>
          <w:spacing w:val="-1"/>
        </w:rPr>
        <w:t xml:space="preserve"> </w:t>
      </w:r>
      <w:r>
        <w:rPr>
          <w:rFonts w:ascii="Arial" w:eastAsia="Arial" w:hAnsi="Arial" w:cs="Arial"/>
          <w:b/>
          <w:bCs/>
          <w:spacing w:val="-1"/>
        </w:rPr>
        <w:t>risk evaluation</w:t>
      </w:r>
    </w:p>
    <w:p>
      <w:pPr>
        <w:pStyle w:val="BodyText"/>
        <w:spacing w:before="146" w:line="468" w:lineRule="exact"/>
        <w:ind w:left="488"/>
      </w:pPr>
      <w:r>
        <w:rPr>
          <w:spacing w:val="3"/>
          <w:position w:val="17"/>
        </w:rPr>
        <w:t>对比风险分析结果和风险准则，以确定风险和</w:t>
      </w:r>
      <w:r>
        <w:rPr>
          <w:rFonts w:ascii="Times New Roman" w:eastAsia="Times New Roman" w:hAnsi="Times New Roman" w:cs="Times New Roman"/>
          <w:spacing w:val="3"/>
          <w:position w:val="17"/>
        </w:rPr>
        <w:t>/</w:t>
      </w:r>
      <w:r>
        <w:rPr>
          <w:spacing w:val="3"/>
          <w:position w:val="17"/>
        </w:rPr>
        <w:t>或其大小是否可以接受或容忍的过</w:t>
      </w:r>
    </w:p>
    <w:p>
      <w:pPr>
        <w:pStyle w:val="BodyText"/>
        <w:spacing w:line="220" w:lineRule="auto"/>
        <w:ind w:left="8"/>
      </w:pPr>
      <w:r>
        <w:rPr>
          <w:spacing w:val="-5"/>
        </w:rPr>
        <w:t>程。</w:t>
      </w:r>
    </w:p>
    <w:p>
      <w:pPr>
        <w:spacing w:before="144" w:line="388" w:lineRule="exact"/>
        <w:ind w:left="502"/>
        <w:rPr>
          <w:rFonts w:ascii="FangSong" w:eastAsia="FangSong" w:hAnsi="FangSong" w:cs="FangSong"/>
          <w:sz w:val="24"/>
          <w:szCs w:val="24"/>
        </w:rPr>
      </w:pPr>
      <w:r>
        <w:rPr>
          <w:rFonts w:ascii="FangSong" w:eastAsia="FangSong" w:hAnsi="FangSong" w:cs="FangSong"/>
          <w:spacing w:val="-2"/>
          <w:position w:val="10"/>
          <w:sz w:val="24"/>
          <w:szCs w:val="24"/>
        </w:rPr>
        <w:t>注：风险评价有助于风险应对决策。</w:t>
      </w:r>
    </w:p>
    <w:p>
      <w:pPr>
        <w:pStyle w:val="BodyText"/>
        <w:spacing w:before="1" w:line="212"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 4.7.</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p>
    <w:p>
      <w:pPr>
        <w:pStyle w:val="BodyText"/>
        <w:spacing w:before="115" w:line="220" w:lineRule="auto"/>
        <w:ind w:left="9"/>
        <w:outlineLvl w:val="0"/>
        <w:rPr>
          <w:rFonts w:ascii="Arial" w:eastAsia="Arial" w:hAnsi="Arial" w:cs="Arial"/>
        </w:rPr>
      </w:pPr>
      <w:r>
        <w:rPr>
          <w:rFonts w:ascii="Arial" w:eastAsia="Arial" w:hAnsi="Arial" w:cs="Arial"/>
          <w:b/>
          <w:bCs/>
          <w:spacing w:val="-1"/>
        </w:rPr>
        <w:t>3.9</w:t>
      </w:r>
      <w:r>
        <w:rPr>
          <w:rFonts w:ascii="Arial" w:eastAsia="Arial" w:hAnsi="Arial" w:cs="Arial"/>
          <w:b/>
          <w:bCs/>
          <w:spacing w:val="69"/>
          <w:w w:val="101"/>
        </w:rPr>
        <w:t xml:space="preserve"> </w:t>
      </w:r>
      <w:r>
        <w:rPr>
          <w:spacing w:val="-1"/>
          <w14:textOutline w14:w="4358" w14:cap="sq">
            <w14:solidFill>
              <w14:srgbClr w14:val="000000"/>
            </w14:solidFill>
            <w14:prstDash w14:val="solid"/>
            <w14:bevel/>
          </w14:textOutline>
        </w:rPr>
        <w:t>风险应对</w:t>
      </w:r>
      <w:r>
        <w:rPr>
          <w:spacing w:val="-1"/>
        </w:rPr>
        <w:t xml:space="preserve"> </w:t>
      </w:r>
      <w:r>
        <w:rPr>
          <w:rFonts w:ascii="Arial" w:eastAsia="Arial" w:hAnsi="Arial" w:cs="Arial"/>
          <w:b/>
          <w:bCs/>
          <w:spacing w:val="-1"/>
        </w:rPr>
        <w:t>risk treatment</w:t>
      </w:r>
    </w:p>
    <w:p>
      <w:pPr>
        <w:pStyle w:val="BodyText"/>
        <w:spacing w:before="141" w:line="220" w:lineRule="auto"/>
        <w:ind w:left="494"/>
        <w:sectPr>
          <w:headerReference w:type="default" r:id="rId8"/>
          <w:footerReference w:type="default" r:id="rId9"/>
          <w:pgSz w:w="11906" w:h="16839"/>
          <w:pgMar w:top="1091" w:right="1334" w:bottom="1260" w:left="1418" w:header="779" w:footer="983" w:gutter="0"/>
          <w:pgNumType w:start="3"/>
          <w:cols w:space="708"/>
        </w:sectPr>
      </w:pPr>
      <w:r>
        <w:rPr>
          <w:spacing w:val="-2"/>
        </w:rPr>
        <w:t>处理风险的过程。</w:t>
      </w:r>
    </w:p>
    <w:p>
      <w:pPr>
        <w:spacing w:before="144" w:line="223" w:lineRule="auto"/>
        <w:ind w:left="502"/>
        <w:rPr>
          <w:rFonts w:ascii="FangSong" w:eastAsia="FangSong" w:hAnsi="FangSong" w:cs="FangSong"/>
          <w:sz w:val="24"/>
          <w:szCs w:val="24"/>
        </w:rPr>
      </w:pPr>
      <w:r>
        <w:rPr>
          <w:rFonts w:ascii="FangSong" w:eastAsia="FangSong" w:hAnsi="FangSong" w:cs="FangSong"/>
          <w:spacing w:val="-5"/>
          <w:sz w:val="24"/>
          <w:szCs w:val="24"/>
        </w:rPr>
        <w:t>注</w:t>
      </w:r>
      <w:r>
        <w:rPr>
          <w:rFonts w:ascii="FangSong" w:eastAsia="FangSong" w:hAnsi="FangSong" w:cs="FangSong"/>
          <w:spacing w:val="-24"/>
          <w:sz w:val="24"/>
          <w:szCs w:val="24"/>
        </w:rPr>
        <w:t xml:space="preserve"> </w:t>
      </w:r>
      <w:r>
        <w:rPr>
          <w:rFonts w:ascii="FangSong" w:eastAsia="FangSong" w:hAnsi="FangSong" w:cs="FangSong"/>
          <w:spacing w:val="-5"/>
          <w:sz w:val="24"/>
          <w:szCs w:val="24"/>
        </w:rPr>
        <w:t>1：风险应对可以包括：</w:t>
      </w:r>
    </w:p>
    <w:p>
      <w:pPr>
        <w:pStyle w:val="BodyText"/>
        <w:spacing w:before="101" w:line="389" w:lineRule="exact"/>
        <w:ind w:left="478"/>
      </w:pPr>
      <w:r>
        <w:rPr>
          <w:rFonts w:ascii="Times New Roman" w:eastAsia="Times New Roman" w:hAnsi="Times New Roman" w:cs="Times New Roman"/>
          <w:position w:val="10"/>
        </w:rPr>
        <w:t>——</w:t>
      </w:r>
      <w:r>
        <w:rPr>
          <w:position w:val="10"/>
        </w:rPr>
        <w:t>不开始或不再继续导致风险的行动，以规避风险；</w:t>
      </w:r>
    </w:p>
    <w:p>
      <w:pPr>
        <w:pStyle w:val="BodyText"/>
        <w:spacing w:before="1" w:line="218" w:lineRule="auto"/>
        <w:ind w:left="478"/>
      </w:pPr>
      <w:r>
        <w:rPr>
          <w:rFonts w:ascii="Times New Roman" w:eastAsia="Times New Roman" w:hAnsi="Times New Roman" w:cs="Times New Roman"/>
        </w:rPr>
        <w:t>——</w:t>
      </w:r>
      <w:r>
        <w:t>为寻求机会而承担或增加风险；</w:t>
      </w:r>
    </w:p>
    <w:p>
      <w:pPr>
        <w:pStyle w:val="BodyText"/>
        <w:spacing w:before="107" w:line="388" w:lineRule="exact"/>
        <w:ind w:left="478"/>
      </w:pPr>
      <w:r>
        <w:rPr>
          <w:rFonts w:ascii="Times New Roman" w:eastAsia="Times New Roman" w:hAnsi="Times New Roman" w:cs="Times New Roman"/>
          <w:position w:val="10"/>
        </w:rPr>
        <w:t>——</w:t>
      </w:r>
      <w:r>
        <w:rPr>
          <w:position w:val="10"/>
        </w:rPr>
        <w:t>消除风险源；</w:t>
      </w:r>
    </w:p>
    <w:p>
      <w:pPr>
        <w:pStyle w:val="BodyText"/>
        <w:spacing w:before="1" w:line="219" w:lineRule="auto"/>
        <w:ind w:left="478"/>
      </w:pPr>
      <w:r>
        <w:rPr>
          <w:rFonts w:ascii="Times New Roman" w:eastAsia="Times New Roman" w:hAnsi="Times New Roman" w:cs="Times New Roman"/>
          <w:spacing w:val="-2"/>
        </w:rPr>
        <w:t>——</w:t>
      </w:r>
      <w:r>
        <w:rPr>
          <w:rFonts w:ascii="Times New Roman" w:eastAsia="Times New Roman" w:hAnsi="Times New Roman" w:cs="Times New Roman"/>
          <w:spacing w:val="-44"/>
        </w:rPr>
        <w:t xml:space="preserve"> </w:t>
      </w:r>
      <w:r>
        <w:rPr>
          <w:spacing w:val="-2"/>
        </w:rPr>
        <w:t>改变可能性；</w:t>
      </w:r>
    </w:p>
    <w:p>
      <w:pPr>
        <w:spacing w:line="219" w:lineRule="auto"/>
        <w:sectPr>
          <w:headerReference w:type="default" r:id="rId10"/>
          <w:footerReference w:type="default" r:id="rId11"/>
          <w:type w:val="nextPage"/>
          <w:pgSz w:w="11906" w:h="16839"/>
          <w:pgMar w:top="1091" w:right="1334" w:bottom="1260" w:left="1418" w:header="779" w:footer="983" w:gutter="0"/>
          <w:pgNumType w:start="4"/>
          <w:cols w:space="708"/>
          <w:titlePg w:val="0"/>
        </w:sectPr>
      </w:pPr>
    </w:p>
    <w:p>
      <w:pPr>
        <w:spacing w:line="463" w:lineRule="auto"/>
        <w:rPr>
          <w:rFonts w:ascii="Arial"/>
          <w:sz w:val="21"/>
        </w:rPr>
      </w:pPr>
    </w:p>
    <w:p>
      <w:pPr>
        <w:pStyle w:val="BodyText"/>
        <w:spacing w:before="78" w:line="219" w:lineRule="auto"/>
        <w:ind w:left="478"/>
      </w:pPr>
      <w:r>
        <w:rPr>
          <w:rFonts w:ascii="Times New Roman" w:eastAsia="Times New Roman" w:hAnsi="Times New Roman" w:cs="Times New Roman"/>
          <w:spacing w:val="-2"/>
        </w:rPr>
        <w:t>——</w:t>
      </w:r>
      <w:r>
        <w:rPr>
          <w:rFonts w:ascii="Times New Roman" w:eastAsia="Times New Roman" w:hAnsi="Times New Roman" w:cs="Times New Roman"/>
          <w:spacing w:val="-45"/>
        </w:rPr>
        <w:t xml:space="preserve"> </w:t>
      </w:r>
      <w:r>
        <w:rPr>
          <w:spacing w:val="-2"/>
        </w:rPr>
        <w:t>改变后果；</w:t>
      </w:r>
    </w:p>
    <w:p>
      <w:pPr>
        <w:pStyle w:val="BodyText"/>
        <w:spacing w:before="103" w:line="391" w:lineRule="exact"/>
        <w:ind w:left="478"/>
      </w:pPr>
      <w:r>
        <w:rPr>
          <w:rFonts w:ascii="Times New Roman" w:eastAsia="Times New Roman" w:hAnsi="Times New Roman" w:cs="Times New Roman"/>
          <w:position w:val="11"/>
        </w:rPr>
        <w:t>——</w:t>
      </w:r>
      <w:r>
        <w:rPr>
          <w:position w:val="11"/>
        </w:rPr>
        <w:t>与其他各方分担风险（包括合同和风险融资）；</w:t>
      </w:r>
    </w:p>
    <w:p>
      <w:pPr>
        <w:pStyle w:val="BodyText"/>
        <w:spacing w:line="218" w:lineRule="auto"/>
        <w:ind w:left="478"/>
      </w:pPr>
      <w:r>
        <w:rPr>
          <w:rFonts w:ascii="Times New Roman" w:eastAsia="Times New Roman" w:hAnsi="Times New Roman" w:cs="Times New Roman"/>
        </w:rPr>
        <w:t>——</w:t>
      </w:r>
      <w:r>
        <w:t>慎重考虑后决定保留风险。</w:t>
      </w:r>
    </w:p>
    <w:p>
      <w:pPr>
        <w:spacing w:before="105" w:line="262" w:lineRule="auto"/>
        <w:ind w:left="27" w:right="83" w:firstLine="475"/>
        <w:rPr>
          <w:rFonts w:ascii="FangSong" w:eastAsia="FangSong" w:hAnsi="FangSong" w:cs="FangSong"/>
          <w:sz w:val="24"/>
          <w:szCs w:val="24"/>
        </w:rPr>
      </w:pPr>
      <w:r>
        <w:rPr>
          <w:rFonts w:ascii="FangSong" w:eastAsia="FangSong" w:hAnsi="FangSong" w:cs="FangSong"/>
          <w:spacing w:val="-10"/>
          <w:sz w:val="24"/>
          <w:szCs w:val="24"/>
        </w:rPr>
        <w:t>注</w:t>
      </w:r>
      <w:r>
        <w:rPr>
          <w:rFonts w:ascii="FangSong" w:eastAsia="FangSong" w:hAnsi="FangSong" w:cs="FangSong"/>
          <w:spacing w:val="-40"/>
          <w:sz w:val="24"/>
          <w:szCs w:val="24"/>
        </w:rPr>
        <w:t xml:space="preserve"> </w:t>
      </w:r>
      <w:r>
        <w:rPr>
          <w:rFonts w:ascii="FangSong" w:eastAsia="FangSong" w:hAnsi="FangSong" w:cs="FangSong"/>
          <w:spacing w:val="-10"/>
          <w:sz w:val="24"/>
          <w:szCs w:val="24"/>
        </w:rPr>
        <w:t>2：针对负面后果的风险应对有时指“风险缓解</w:t>
      </w:r>
      <w:r>
        <w:rPr>
          <w:rFonts w:ascii="FangSong" w:eastAsia="FangSong" w:hAnsi="FangSong" w:cs="FangSong"/>
          <w:spacing w:val="-88"/>
          <w:sz w:val="24"/>
          <w:szCs w:val="24"/>
        </w:rPr>
        <w:t xml:space="preserve"> </w:t>
      </w:r>
      <w:r>
        <w:rPr>
          <w:rFonts w:ascii="FangSong" w:eastAsia="FangSong" w:hAnsi="FangSong" w:cs="FangSong"/>
          <w:spacing w:val="-10"/>
          <w:sz w:val="24"/>
          <w:szCs w:val="24"/>
        </w:rPr>
        <w:t>”“风险消除</w:t>
      </w:r>
      <w:r>
        <w:rPr>
          <w:rFonts w:ascii="FangSong" w:eastAsia="FangSong" w:hAnsi="FangSong" w:cs="FangSong"/>
          <w:spacing w:val="-88"/>
          <w:sz w:val="24"/>
          <w:szCs w:val="24"/>
        </w:rPr>
        <w:t xml:space="preserve"> </w:t>
      </w:r>
      <w:r>
        <w:rPr>
          <w:rFonts w:ascii="FangSong" w:eastAsia="FangSong" w:hAnsi="FangSong" w:cs="FangSong"/>
          <w:spacing w:val="-10"/>
          <w:sz w:val="24"/>
          <w:szCs w:val="24"/>
        </w:rPr>
        <w:t>”“风险预防</w:t>
      </w:r>
      <w:r>
        <w:rPr>
          <w:rFonts w:ascii="FangSong" w:eastAsia="FangSong" w:hAnsi="FangSong" w:cs="FangSong"/>
          <w:spacing w:val="-88"/>
          <w:sz w:val="24"/>
          <w:szCs w:val="24"/>
        </w:rPr>
        <w:t xml:space="preserve"> </w:t>
      </w:r>
      <w:r>
        <w:rPr>
          <w:rFonts w:ascii="FangSong" w:eastAsia="FangSong" w:hAnsi="FangSong" w:cs="FangSong"/>
          <w:spacing w:val="-10"/>
          <w:sz w:val="24"/>
          <w:szCs w:val="24"/>
        </w:rPr>
        <w:t>”“风</w:t>
      </w:r>
      <w:r>
        <w:rPr>
          <w:rFonts w:ascii="FangSong" w:eastAsia="FangSong" w:hAnsi="FangSong" w:cs="FangSong"/>
          <w:sz w:val="24"/>
          <w:szCs w:val="24"/>
        </w:rPr>
        <w:t xml:space="preserve"> </w:t>
      </w:r>
      <w:r>
        <w:rPr>
          <w:rFonts w:ascii="FangSong" w:eastAsia="FangSong" w:hAnsi="FangSong" w:cs="FangSong"/>
          <w:spacing w:val="-10"/>
          <w:sz w:val="24"/>
          <w:szCs w:val="24"/>
        </w:rPr>
        <w:t>险降低</w:t>
      </w:r>
      <w:r>
        <w:rPr>
          <w:rFonts w:ascii="FangSong" w:eastAsia="FangSong" w:hAnsi="FangSong" w:cs="FangSong"/>
          <w:spacing w:val="-89"/>
          <w:sz w:val="24"/>
          <w:szCs w:val="24"/>
        </w:rPr>
        <w:t xml:space="preserve"> </w:t>
      </w:r>
      <w:r>
        <w:rPr>
          <w:rFonts w:ascii="FangSong" w:eastAsia="FangSong" w:hAnsi="FangSong" w:cs="FangSong"/>
          <w:spacing w:val="-10"/>
          <w:sz w:val="24"/>
          <w:szCs w:val="24"/>
        </w:rPr>
        <w:t>”等。</w:t>
      </w:r>
    </w:p>
    <w:p>
      <w:pPr>
        <w:spacing w:before="98" w:line="392" w:lineRule="exact"/>
        <w:ind w:left="502"/>
        <w:rPr>
          <w:rFonts w:ascii="FangSong" w:eastAsia="FangSong" w:hAnsi="FangSong" w:cs="FangSong"/>
          <w:sz w:val="24"/>
          <w:szCs w:val="24"/>
        </w:rPr>
      </w:pPr>
      <w:r>
        <w:rPr>
          <w:rFonts w:ascii="FangSong" w:eastAsia="FangSong" w:hAnsi="FangSong" w:cs="FangSong"/>
          <w:spacing w:val="-2"/>
          <w:position w:val="10"/>
          <w:sz w:val="24"/>
          <w:szCs w:val="24"/>
        </w:rPr>
        <w:t>注</w:t>
      </w:r>
      <w:r>
        <w:rPr>
          <w:rFonts w:ascii="FangSong" w:eastAsia="FangSong" w:hAnsi="FangSong" w:cs="FangSong"/>
          <w:spacing w:val="-38"/>
          <w:position w:val="10"/>
          <w:sz w:val="24"/>
          <w:szCs w:val="24"/>
        </w:rPr>
        <w:t xml:space="preserve"> </w:t>
      </w:r>
      <w:r>
        <w:rPr>
          <w:rFonts w:ascii="FangSong" w:eastAsia="FangSong" w:hAnsi="FangSong" w:cs="FangSong"/>
          <w:spacing w:val="-2"/>
          <w:position w:val="10"/>
          <w:sz w:val="24"/>
          <w:szCs w:val="24"/>
        </w:rPr>
        <w:t>3：风险应对可能产生新的风险或改变现有风险。</w:t>
      </w:r>
    </w:p>
    <w:p>
      <w:pPr>
        <w:pStyle w:val="BodyText"/>
        <w:spacing w:line="210" w:lineRule="auto"/>
        <w:ind w:left="500"/>
        <w:rPr>
          <w:rFonts w:ascii="Times New Roman" w:eastAsia="Times New Roman" w:hAnsi="Times New Roman" w:cs="Times New Roman"/>
        </w:rPr>
      </w:pPr>
      <w:r>
        <w:rPr>
          <w:rFonts w:ascii="Times New Roman" w:eastAsia="Times New Roman" w:hAnsi="Times New Roman" w:cs="Times New Roman"/>
          <w:spacing w:val="-2"/>
        </w:rPr>
        <w:t>[</w:t>
      </w:r>
      <w:r>
        <w:rPr>
          <w:spacing w:val="-2"/>
        </w:rPr>
        <w:t>来源：</w:t>
      </w:r>
      <w:r>
        <w:rPr>
          <w:rFonts w:ascii="Times New Roman" w:eastAsia="Times New Roman" w:hAnsi="Times New Roman" w:cs="Times New Roman"/>
          <w:spacing w:val="-2"/>
        </w:rPr>
        <w:t>GB/T 23694-2013, 4.8.</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p>
    <w:p>
      <w:pPr>
        <w:pStyle w:val="BodyText"/>
        <w:spacing w:before="212" w:line="527" w:lineRule="exact"/>
        <w:ind w:left="5"/>
        <w:rPr>
          <w:sz w:val="28"/>
          <w:szCs w:val="28"/>
        </w:rPr>
      </w:pPr>
      <w:r>
        <w:rPr>
          <w:rFonts w:ascii="Arial" w:eastAsia="Arial" w:hAnsi="Arial" w:cs="Arial"/>
          <w:b/>
          <w:bCs/>
          <w:spacing w:val="-2"/>
          <w:position w:val="18"/>
          <w:sz w:val="28"/>
          <w:szCs w:val="28"/>
        </w:rPr>
        <w:t>4</w:t>
      </w:r>
      <w:r>
        <w:rPr>
          <w:rFonts w:ascii="Arial" w:eastAsia="Arial" w:hAnsi="Arial" w:cs="Arial"/>
          <w:b/>
          <w:bCs/>
          <w:spacing w:val="76"/>
          <w:position w:val="18"/>
          <w:sz w:val="28"/>
          <w:szCs w:val="28"/>
        </w:rPr>
        <w:t xml:space="preserve"> </w:t>
      </w:r>
      <w:r>
        <w:rPr>
          <w:spacing w:val="-2"/>
          <w:position w:val="18"/>
          <w:sz w:val="28"/>
          <w:szCs w:val="28"/>
          <w14:textOutline w14:w="5103" w14:cap="sq">
            <w14:solidFill>
              <w14:srgbClr w14:val="000000"/>
            </w14:solidFill>
            <w14:prstDash w14:val="solid"/>
            <w14:bevel/>
          </w14:textOutline>
        </w:rPr>
        <w:t>风险管理过程</w:t>
      </w:r>
    </w:p>
    <w:p>
      <w:pPr>
        <w:pStyle w:val="BodyText"/>
        <w:spacing w:before="1" w:line="219" w:lineRule="auto"/>
        <w:ind w:left="4"/>
      </w:pPr>
      <w:r>
        <w:rPr>
          <w:rFonts w:ascii="Arial" w:eastAsia="Arial" w:hAnsi="Arial" w:cs="Arial"/>
          <w:b/>
          <w:bCs/>
          <w:spacing w:val="-3"/>
        </w:rPr>
        <w:t>4.1</w:t>
      </w:r>
      <w:r>
        <w:rPr>
          <w:rFonts w:ascii="Arial" w:eastAsia="Arial" w:hAnsi="Arial" w:cs="Arial"/>
          <w:b/>
          <w:bCs/>
          <w:spacing w:val="63"/>
        </w:rPr>
        <w:t xml:space="preserve"> </w:t>
      </w:r>
      <w:r>
        <w:rPr>
          <w:spacing w:val="-3"/>
          <w14:textOutline w14:w="4358" w14:cap="sq">
            <w14:solidFill>
              <w14:srgbClr w14:val="000000"/>
            </w14:solidFill>
            <w14:prstDash w14:val="solid"/>
            <w14:bevel/>
          </w14:textOutline>
        </w:rPr>
        <w:t>概述</w:t>
      </w:r>
    </w:p>
    <w:p>
      <w:pPr>
        <w:pStyle w:val="BodyText"/>
        <w:spacing w:before="144" w:line="468" w:lineRule="exact"/>
        <w:jc w:val="right"/>
      </w:pPr>
      <w:r>
        <w:rPr>
          <w:spacing w:val="-6"/>
          <w:position w:val="17"/>
        </w:rPr>
        <w:t>实验室宜界定风险管理范围，包括但不限于主要活动场所、设施和环境、</w:t>
      </w:r>
      <w:r>
        <w:rPr>
          <w:spacing w:val="-7"/>
          <w:position w:val="17"/>
        </w:rPr>
        <w:t>测量设备、</w:t>
      </w:r>
    </w:p>
    <w:p>
      <w:pPr>
        <w:pStyle w:val="BodyText"/>
        <w:spacing w:before="1" w:line="219" w:lineRule="auto"/>
        <w:ind w:left="12"/>
      </w:pPr>
      <w:r>
        <w:rPr>
          <w:spacing w:val="-1"/>
        </w:rPr>
        <w:t>组织结构、人员能力、合同关系等内容。</w:t>
      </w:r>
    </w:p>
    <w:p>
      <w:pPr>
        <w:pStyle w:val="BodyText"/>
        <w:spacing w:before="145" w:line="219" w:lineRule="auto"/>
        <w:ind w:left="4"/>
        <w:outlineLvl w:val="0"/>
      </w:pPr>
      <w:r>
        <w:rPr>
          <w:rFonts w:ascii="Arial" w:eastAsia="Arial" w:hAnsi="Arial" w:cs="Arial"/>
          <w:b/>
          <w:bCs/>
          <w:spacing w:val="-1"/>
        </w:rPr>
        <w:t xml:space="preserve">4.2  </w:t>
      </w:r>
      <w:r>
        <w:rPr>
          <w:spacing w:val="-1"/>
          <w14:textOutline w14:w="4358" w14:cap="sq">
            <w14:solidFill>
              <w14:srgbClr w14:val="000000"/>
            </w14:solidFill>
            <w14:prstDash w14:val="solid"/>
            <w14:bevel/>
          </w14:textOutline>
        </w:rPr>
        <w:t>明确内外部环境信息</w:t>
      </w:r>
    </w:p>
    <w:p>
      <w:pPr>
        <w:pStyle w:val="BodyText"/>
        <w:spacing w:before="142" w:line="468" w:lineRule="exact"/>
        <w:ind w:left="495"/>
      </w:pPr>
      <w:r>
        <w:rPr>
          <w:spacing w:val="-2"/>
          <w:position w:val="17"/>
        </w:rPr>
        <w:t>实验室宜充分考虑内外部利益相关者的活动目标和核心关注点，审视并了解实验室</w:t>
      </w:r>
    </w:p>
    <w:p>
      <w:pPr>
        <w:pStyle w:val="BodyText"/>
        <w:spacing w:line="219" w:lineRule="auto"/>
        <w:ind w:left="38"/>
      </w:pPr>
      <w:r>
        <w:rPr>
          <w:spacing w:val="-5"/>
        </w:rPr>
        <w:t>内外部环境信息。</w:t>
      </w:r>
    </w:p>
    <w:p>
      <w:pPr>
        <w:pStyle w:val="BodyText"/>
        <w:spacing w:before="183" w:line="219" w:lineRule="auto"/>
        <w:ind w:left="494"/>
      </w:pPr>
      <w:r>
        <w:rPr>
          <w:spacing w:val="-2"/>
        </w:rPr>
        <w:t>外部环境信息宜包括但不限于：</w:t>
      </w:r>
    </w:p>
    <w:p>
      <w:pPr>
        <w:pStyle w:val="BodyText"/>
        <w:spacing w:before="183" w:line="468" w:lineRule="exact"/>
        <w:ind w:right="33"/>
        <w:jc w:val="right"/>
      </w:pPr>
      <w:r>
        <w:rPr>
          <w:rFonts w:ascii="Times New Roman" w:eastAsia="Times New Roman" w:hAnsi="Times New Roman" w:cs="Times New Roman"/>
          <w:spacing w:val="-1"/>
          <w:position w:val="17"/>
        </w:rPr>
        <w:t>——</w:t>
      </w:r>
      <w:r>
        <w:rPr>
          <w:rFonts w:ascii="Times New Roman" w:eastAsia="Times New Roman" w:hAnsi="Times New Roman" w:cs="Times New Roman"/>
          <w:spacing w:val="-24"/>
          <w:position w:val="17"/>
        </w:rPr>
        <w:t xml:space="preserve"> </w:t>
      </w:r>
      <w:r>
        <w:rPr>
          <w:spacing w:val="-1"/>
          <w:position w:val="17"/>
        </w:rPr>
        <w:t>国际、国家计量有关的法律法规，部门规章、属地管理规定、认可规范文件；</w:t>
      </w:r>
    </w:p>
    <w:p>
      <w:pPr>
        <w:pStyle w:val="BodyText"/>
        <w:spacing w:before="1" w:line="219" w:lineRule="auto"/>
        <w:ind w:left="478"/>
      </w:pPr>
      <w:r>
        <w:rPr>
          <w:rFonts w:ascii="Times New Roman" w:eastAsia="Times New Roman" w:hAnsi="Times New Roman" w:cs="Times New Roman"/>
        </w:rPr>
        <w:t>——</w:t>
      </w:r>
      <w:r>
        <w:t>对实验室目标产生影响的关键驱动因素和趋势；</w:t>
      </w:r>
    </w:p>
    <w:p>
      <w:pPr>
        <w:pStyle w:val="BodyText"/>
        <w:spacing w:before="183" w:line="468" w:lineRule="exact"/>
        <w:ind w:left="478"/>
      </w:pPr>
      <w:r>
        <w:rPr>
          <w:rFonts w:ascii="Times New Roman" w:eastAsia="Times New Roman" w:hAnsi="Times New Roman" w:cs="Times New Roman"/>
          <w:spacing w:val="-1"/>
          <w:position w:val="17"/>
        </w:rPr>
        <w:t>——</w:t>
      </w:r>
      <w:r>
        <w:rPr>
          <w:spacing w:val="-1"/>
          <w:position w:val="17"/>
        </w:rPr>
        <w:t>与外部利益相关者（实验室物业服务方、仪器</w:t>
      </w:r>
      <w:r>
        <w:rPr>
          <w:spacing w:val="-2"/>
          <w:position w:val="17"/>
        </w:rPr>
        <w:t>设备供应商）的关系，以及他们</w:t>
      </w:r>
    </w:p>
    <w:p>
      <w:pPr>
        <w:pStyle w:val="BodyText"/>
        <w:spacing w:line="220" w:lineRule="auto"/>
        <w:ind w:left="29"/>
      </w:pPr>
      <w:r>
        <w:rPr>
          <w:spacing w:val="-3"/>
        </w:rPr>
        <w:t>的认知、需求和期望；</w:t>
      </w:r>
    </w:p>
    <w:p>
      <w:pPr>
        <w:pStyle w:val="BodyText"/>
        <w:spacing w:before="182" w:line="219" w:lineRule="auto"/>
        <w:ind w:left="478"/>
      </w:pPr>
      <w:r>
        <w:rPr>
          <w:rFonts w:ascii="Times New Roman" w:eastAsia="Times New Roman" w:hAnsi="Times New Roman" w:cs="Times New Roman"/>
        </w:rPr>
        <w:t>——</w:t>
      </w:r>
      <w:r>
        <w:t>合同关系和承诺；</w:t>
      </w:r>
    </w:p>
    <w:p>
      <w:pPr>
        <w:pStyle w:val="BodyText"/>
        <w:spacing w:before="183" w:line="468" w:lineRule="exact"/>
        <w:ind w:left="478"/>
      </w:pPr>
      <w:r>
        <w:rPr>
          <w:rFonts w:ascii="Times New Roman" w:eastAsia="Times New Roman" w:hAnsi="Times New Roman" w:cs="Times New Roman"/>
          <w:position w:val="17"/>
        </w:rPr>
        <w:t>——</w:t>
      </w:r>
      <w:r>
        <w:rPr>
          <w:position w:val="17"/>
        </w:rPr>
        <w:t>实验室所处组织结构的复杂性和依赖关系。</w:t>
      </w:r>
    </w:p>
    <w:p>
      <w:pPr>
        <w:pStyle w:val="BodyText"/>
        <w:spacing w:line="219" w:lineRule="auto"/>
        <w:ind w:left="518"/>
      </w:pPr>
      <w:r>
        <w:rPr>
          <w:spacing w:val="-3"/>
        </w:rPr>
        <w:t>内部环境信息宜包括但不限于：</w:t>
      </w:r>
    </w:p>
    <w:p>
      <w:pPr>
        <w:pStyle w:val="BodyText"/>
        <w:spacing w:before="183" w:line="218" w:lineRule="auto"/>
        <w:ind w:left="478"/>
      </w:pPr>
      <w:r>
        <w:rPr>
          <w:rFonts w:ascii="Times New Roman" w:eastAsia="Times New Roman" w:hAnsi="Times New Roman" w:cs="Times New Roman"/>
        </w:rPr>
        <w:t>——</w:t>
      </w:r>
      <w:r>
        <w:t>实验室的愿景、发展目标和价值观；</w:t>
      </w:r>
    </w:p>
    <w:p>
      <w:pPr>
        <w:pStyle w:val="BodyText"/>
        <w:spacing w:before="185" w:line="468" w:lineRule="exact"/>
        <w:ind w:left="478"/>
      </w:pPr>
      <w:r>
        <w:rPr>
          <w:rFonts w:ascii="Times New Roman" w:eastAsia="Times New Roman" w:hAnsi="Times New Roman" w:cs="Times New Roman"/>
          <w:position w:val="17"/>
        </w:rPr>
        <w:t>——</w:t>
      </w:r>
      <w:r>
        <w:rPr>
          <w:position w:val="17"/>
        </w:rPr>
        <w:t>管理方式、组织结构、职责权限和绩效考核；</w:t>
      </w:r>
    </w:p>
    <w:p>
      <w:pPr>
        <w:pStyle w:val="BodyText"/>
        <w:spacing w:line="220" w:lineRule="auto"/>
        <w:ind w:left="478"/>
      </w:pPr>
      <w:r>
        <w:rPr>
          <w:rFonts w:ascii="Times New Roman" w:eastAsia="Times New Roman" w:hAnsi="Times New Roman" w:cs="Times New Roman"/>
        </w:rPr>
        <w:t>——</w:t>
      </w:r>
      <w:r>
        <w:t>实验室的文化建设；</w:t>
      </w:r>
    </w:p>
    <w:p>
      <w:pPr>
        <w:pStyle w:val="BodyText"/>
        <w:spacing w:before="182" w:line="468" w:lineRule="exact"/>
        <w:ind w:right="68"/>
        <w:jc w:val="right"/>
        <w:sectPr>
          <w:headerReference w:type="default" r:id="rId12"/>
          <w:footerReference w:type="default" r:id="rId13"/>
          <w:pgSz w:w="11906" w:h="16839"/>
          <w:pgMar w:top="1091" w:right="1334" w:bottom="1260" w:left="1418" w:header="779" w:footer="983" w:gutter="0"/>
          <w:pgNumType w:start="5"/>
          <w:cols w:space="708"/>
        </w:sectPr>
      </w:pPr>
      <w:r>
        <w:rPr>
          <w:rFonts w:ascii="Times New Roman" w:eastAsia="Times New Roman" w:hAnsi="Times New Roman" w:cs="Times New Roman"/>
          <w:spacing w:val="-1"/>
          <w:position w:val="17"/>
        </w:rPr>
        <w:t>——</w:t>
      </w:r>
      <w:r>
        <w:rPr>
          <w:spacing w:val="-1"/>
          <w:position w:val="17"/>
        </w:rPr>
        <w:t>实验室在资源和知识方面所具备的能力（即资本、时间、人力、技术能力、管</w:t>
      </w:r>
    </w:p>
    <w:p>
      <w:pPr>
        <w:pStyle w:val="BodyText"/>
        <w:spacing w:line="219" w:lineRule="auto"/>
        <w:ind w:left="12"/>
      </w:pPr>
      <w:r>
        <w:rPr>
          <w:spacing w:val="-2"/>
        </w:rPr>
        <w:t>理和业务程序等</w:t>
      </w:r>
      <w:r>
        <w:t>）；</w:t>
      </w:r>
    </w:p>
    <w:p>
      <w:pPr>
        <w:pStyle w:val="BodyText"/>
        <w:spacing w:before="183" w:line="468" w:lineRule="exact"/>
        <w:ind w:left="478"/>
      </w:pPr>
      <w:r>
        <w:rPr>
          <w:rFonts w:ascii="Times New Roman" w:eastAsia="Times New Roman" w:hAnsi="Times New Roman" w:cs="Times New Roman"/>
          <w:position w:val="17"/>
        </w:rPr>
        <w:t>——</w:t>
      </w:r>
      <w:r>
        <w:rPr>
          <w:position w:val="17"/>
        </w:rPr>
        <w:t>实验室数据、信息系统和信息流；</w:t>
      </w:r>
    </w:p>
    <w:p>
      <w:pPr>
        <w:pStyle w:val="BodyText"/>
        <w:spacing w:before="1" w:line="218" w:lineRule="auto"/>
        <w:ind w:left="478"/>
      </w:pPr>
      <w:r>
        <w:rPr>
          <w:rFonts w:ascii="Times New Roman" w:eastAsia="Times New Roman" w:hAnsi="Times New Roman" w:cs="Times New Roman"/>
        </w:rPr>
        <w:t>——</w:t>
      </w:r>
      <w:r>
        <w:t>实验室采用的标准、指南和模型；</w:t>
      </w:r>
    </w:p>
    <w:p>
      <w:pPr>
        <w:pStyle w:val="BodyText"/>
        <w:spacing w:before="184" w:line="218" w:lineRule="auto"/>
        <w:ind w:left="478"/>
      </w:pPr>
      <w:r>
        <w:rPr>
          <w:rFonts w:ascii="Times New Roman" w:eastAsia="Times New Roman" w:hAnsi="Times New Roman" w:cs="Times New Roman"/>
        </w:rPr>
        <w:t>——</w:t>
      </w:r>
      <w:r>
        <w:t>与内部利益相关者的关系，充分考虑其认知和价值取向；</w:t>
      </w:r>
    </w:p>
    <w:p>
      <w:pPr>
        <w:spacing w:line="218" w:lineRule="auto"/>
        <w:sectPr>
          <w:headerReference w:type="default" r:id="rId14"/>
          <w:footerReference w:type="default" r:id="rId15"/>
          <w:type w:val="nextPage"/>
          <w:pgSz w:w="11906" w:h="16839"/>
          <w:pgMar w:top="1091" w:right="1334" w:bottom="1260" w:left="1418" w:header="779" w:footer="983" w:gutter="0"/>
          <w:pgNumType w:start="6"/>
          <w:cols w:space="708"/>
          <w:titlePg w:val="0"/>
        </w:sectPr>
      </w:pPr>
    </w:p>
    <w:p>
      <w:pPr>
        <w:spacing w:line="250" w:lineRule="auto"/>
        <w:rPr>
          <w:rFonts w:ascii="Arial"/>
          <w:sz w:val="21"/>
        </w:rPr>
      </w:pPr>
    </w:p>
    <w:p>
      <w:pPr>
        <w:spacing w:line="251" w:lineRule="auto"/>
        <w:rPr>
          <w:rFonts w:ascii="Arial"/>
          <w:sz w:val="21"/>
        </w:rPr>
      </w:pPr>
    </w:p>
    <w:p>
      <w:pPr>
        <w:pStyle w:val="BodyText"/>
        <w:spacing w:before="78" w:line="219" w:lineRule="auto"/>
        <w:ind w:left="478"/>
      </w:pPr>
      <w:r>
        <w:rPr>
          <w:rFonts w:ascii="Times New Roman" w:eastAsia="Times New Roman" w:hAnsi="Times New Roman" w:cs="Times New Roman"/>
        </w:rPr>
        <w:t>——</w:t>
      </w:r>
      <w:r>
        <w:t>合同关系和承诺。</w:t>
      </w:r>
    </w:p>
    <w:p>
      <w:pPr>
        <w:pStyle w:val="BodyText"/>
        <w:spacing w:before="144" w:line="220" w:lineRule="auto"/>
        <w:ind w:left="4"/>
        <w:outlineLvl w:val="0"/>
      </w:pPr>
      <w:r>
        <w:rPr>
          <w:rFonts w:ascii="Arial" w:eastAsia="Arial" w:hAnsi="Arial" w:cs="Arial"/>
          <w:b/>
          <w:bCs/>
          <w:spacing w:val="-2"/>
        </w:rPr>
        <w:t xml:space="preserve">4.3  </w:t>
      </w:r>
      <w:r>
        <w:rPr>
          <w:spacing w:val="-2"/>
          <w14:textOutline w14:w="4358" w14:cap="sq">
            <w14:solidFill>
              <w14:srgbClr w14:val="000000"/>
            </w14:solidFill>
            <w14:prstDash w14:val="solid"/>
            <w14:bevel/>
          </w14:textOutline>
        </w:rPr>
        <w:t>界定风险准则</w:t>
      </w:r>
    </w:p>
    <w:p>
      <w:pPr>
        <w:pStyle w:val="BodyText"/>
        <w:spacing w:before="141" w:line="360" w:lineRule="auto"/>
        <w:ind w:left="9" w:right="72" w:firstLine="485"/>
      </w:pPr>
      <w:r>
        <w:rPr>
          <w:spacing w:val="-2"/>
        </w:rPr>
        <w:t>实验室宜基于其目标，确定其所能承受的风险数量和类型，开展风险评估前根据风</w:t>
      </w:r>
      <w:r>
        <w:rPr>
          <w:spacing w:val="5"/>
        </w:rPr>
        <w:t xml:space="preserve"> </w:t>
      </w:r>
      <w:r>
        <w:rPr>
          <w:spacing w:val="-1"/>
        </w:rPr>
        <w:t>险事件危害程度、后果预期界定风险准则。界定风险准则</w:t>
      </w:r>
      <w:r>
        <w:rPr>
          <w:spacing w:val="-2"/>
        </w:rPr>
        <w:t>时，宜考虑校准活动的特性、</w:t>
      </w:r>
      <w:r>
        <w:t xml:space="preserve"> </w:t>
      </w:r>
      <w:r>
        <w:rPr>
          <w:spacing w:val="-2"/>
        </w:rPr>
        <w:t>所在国家或地区的发展状况，实验室的可接受程度等要素，对危害程度分级标准、事件</w:t>
      </w:r>
    </w:p>
    <w:p>
      <w:pPr>
        <w:pStyle w:val="BodyText"/>
        <w:spacing w:line="220" w:lineRule="auto"/>
        <w:ind w:left="13"/>
      </w:pPr>
      <w:r>
        <w:rPr>
          <w:spacing w:val="-1"/>
        </w:rPr>
        <w:t>发生的可能性大小、后果严重程度判定标准作出定性或定量描述。</w:t>
      </w:r>
    </w:p>
    <w:p>
      <w:pPr>
        <w:pStyle w:val="BodyText"/>
        <w:spacing w:before="181" w:line="468" w:lineRule="exact"/>
        <w:jc w:val="right"/>
      </w:pPr>
      <w:r>
        <w:rPr>
          <w:spacing w:val="-7"/>
          <w:position w:val="17"/>
        </w:rPr>
        <w:t>风险准则宜反映实验室的价值观、目标和资源，并与实验室的风险管理政策相一致，</w:t>
      </w:r>
    </w:p>
    <w:p>
      <w:pPr>
        <w:pStyle w:val="BodyText"/>
        <w:spacing w:before="1" w:line="218" w:lineRule="auto"/>
        <w:ind w:left="8"/>
      </w:pPr>
      <w:r>
        <w:rPr>
          <w:spacing w:val="-1"/>
        </w:rPr>
        <w:t>在界定风险准则时宜考虑实验室的义务和利益相关者的意见。</w:t>
      </w:r>
    </w:p>
    <w:p>
      <w:pPr>
        <w:pStyle w:val="BodyText"/>
        <w:spacing w:before="184" w:line="468" w:lineRule="exact"/>
        <w:ind w:left="501"/>
      </w:pPr>
      <w:r>
        <w:rPr>
          <w:spacing w:val="-2"/>
          <w:position w:val="17"/>
        </w:rPr>
        <w:t>虽然风险准则可在风险评估过程之初确定，但它是动态变化的，可根据实验室校准</w:t>
      </w:r>
    </w:p>
    <w:p>
      <w:pPr>
        <w:pStyle w:val="BodyText"/>
        <w:spacing w:line="219" w:lineRule="auto"/>
        <w:ind w:left="19"/>
      </w:pPr>
      <w:r>
        <w:rPr>
          <w:spacing w:val="-1"/>
        </w:rPr>
        <w:t>能力变化以及实验室对管理的目标和承诺进行调整，宜持续审视并于必要时进行修改。</w:t>
      </w:r>
    </w:p>
    <w:p>
      <w:pPr>
        <w:pStyle w:val="BodyText"/>
        <w:spacing w:before="183" w:line="219" w:lineRule="auto"/>
        <w:ind w:left="488"/>
      </w:pPr>
      <w:r>
        <w:rPr>
          <w:spacing w:val="-1"/>
        </w:rPr>
        <w:t>在设定风险准则时，宜考虑但不限于以下因素：</w:t>
      </w:r>
    </w:p>
    <w:p>
      <w:pPr>
        <w:pStyle w:val="BodyText"/>
        <w:spacing w:before="184" w:line="219" w:lineRule="auto"/>
        <w:ind w:left="478"/>
      </w:pPr>
      <w:r>
        <w:rPr>
          <w:rFonts w:ascii="Times New Roman" w:eastAsia="Times New Roman" w:hAnsi="Times New Roman" w:cs="Times New Roman"/>
        </w:rPr>
        <w:t>——</w:t>
      </w:r>
      <w:r>
        <w:t>如何界定和度量后果（包括正面的和负面的）发生的可能性；</w:t>
      </w:r>
    </w:p>
    <w:p>
      <w:pPr>
        <w:pStyle w:val="BodyText"/>
        <w:spacing w:before="183" w:line="468" w:lineRule="exact"/>
        <w:ind w:left="478"/>
      </w:pPr>
      <w:r>
        <w:rPr>
          <w:rFonts w:ascii="Times New Roman" w:eastAsia="Times New Roman" w:hAnsi="Times New Roman" w:cs="Times New Roman"/>
          <w:position w:val="17"/>
        </w:rPr>
        <w:t>——</w:t>
      </w:r>
      <w:r>
        <w:rPr>
          <w:position w:val="17"/>
        </w:rPr>
        <w:t>地域、时间相关因素；</w:t>
      </w:r>
    </w:p>
    <w:p>
      <w:pPr>
        <w:pStyle w:val="BodyText"/>
        <w:spacing w:line="218" w:lineRule="auto"/>
        <w:ind w:left="478"/>
      </w:pPr>
      <w:r>
        <w:rPr>
          <w:rFonts w:ascii="Times New Roman" w:eastAsia="Times New Roman" w:hAnsi="Times New Roman" w:cs="Times New Roman"/>
        </w:rPr>
        <w:t>——</w:t>
      </w:r>
      <w:r>
        <w:t>采用标准的一致性；</w:t>
      </w:r>
    </w:p>
    <w:p>
      <w:pPr>
        <w:pStyle w:val="BodyText"/>
        <w:spacing w:before="185" w:line="219" w:lineRule="auto"/>
        <w:ind w:left="478"/>
      </w:pPr>
      <w:r>
        <w:rPr>
          <w:rFonts w:ascii="Times New Roman" w:eastAsia="Times New Roman" w:hAnsi="Times New Roman" w:cs="Times New Roman"/>
        </w:rPr>
        <w:t>——</w:t>
      </w:r>
      <w:r>
        <w:t>如何确定风险等级；</w:t>
      </w:r>
    </w:p>
    <w:p>
      <w:pPr>
        <w:pStyle w:val="BodyText"/>
        <w:spacing w:before="183" w:line="468" w:lineRule="exact"/>
        <w:ind w:left="478"/>
      </w:pPr>
      <w:r>
        <w:rPr>
          <w:rFonts w:ascii="Times New Roman" w:eastAsia="Times New Roman" w:hAnsi="Times New Roman" w:cs="Times New Roman"/>
          <w:position w:val="17"/>
        </w:rPr>
        <w:t>——</w:t>
      </w:r>
      <w:r>
        <w:rPr>
          <w:position w:val="17"/>
        </w:rPr>
        <w:t>如何考虑多项风险的组合及顺序；</w:t>
      </w:r>
    </w:p>
    <w:p>
      <w:pPr>
        <w:pStyle w:val="BodyText"/>
        <w:spacing w:line="219" w:lineRule="auto"/>
        <w:ind w:left="478"/>
      </w:pPr>
      <w:r>
        <w:rPr>
          <w:rFonts w:ascii="Times New Roman" w:eastAsia="Times New Roman" w:hAnsi="Times New Roman" w:cs="Times New Roman"/>
        </w:rPr>
        <w:t>——</w:t>
      </w:r>
      <w:r>
        <w:t>实验室的能力水平。</w:t>
      </w:r>
    </w:p>
    <w:p>
      <w:pPr>
        <w:pStyle w:val="BodyText"/>
        <w:spacing w:before="144" w:line="218" w:lineRule="auto"/>
        <w:ind w:left="4"/>
        <w:outlineLvl w:val="0"/>
      </w:pPr>
      <w:r>
        <w:rPr>
          <w:rFonts w:ascii="Arial" w:eastAsia="Arial" w:hAnsi="Arial" w:cs="Arial"/>
          <w:b/>
          <w:bCs/>
          <w:spacing w:val="-2"/>
        </w:rPr>
        <w:t>4.4</w:t>
      </w:r>
      <w:r>
        <w:rPr>
          <w:rFonts w:ascii="Arial" w:eastAsia="Arial" w:hAnsi="Arial" w:cs="Arial"/>
          <w:b/>
          <w:bCs/>
          <w:spacing w:val="64"/>
        </w:rPr>
        <w:t xml:space="preserve"> </w:t>
      </w:r>
      <w:r>
        <w:rPr>
          <w:spacing w:val="-2"/>
          <w14:textOutline w14:w="4358" w14:cap="sq">
            <w14:solidFill>
              <w14:srgbClr w14:val="000000"/>
            </w14:solidFill>
            <w14:prstDash w14:val="solid"/>
            <w14:bevel/>
          </w14:textOutline>
        </w:rPr>
        <w:t>风险评估</w:t>
      </w:r>
    </w:p>
    <w:p>
      <w:pPr>
        <w:pStyle w:val="BodyText"/>
        <w:spacing w:before="108" w:line="259" w:lineRule="auto"/>
        <w:ind w:left="9" w:right="83" w:firstLine="480"/>
      </w:pPr>
      <w:r>
        <w:rPr>
          <w:spacing w:val="-2"/>
        </w:rPr>
        <w:t>风险评估是风险识别、风险分析和风险评价的整个过程，风险评估宜系统地、循环</w:t>
      </w:r>
      <w:r>
        <w:rPr>
          <w:spacing w:val="10"/>
        </w:rPr>
        <w:t xml:space="preserve"> </w:t>
      </w:r>
      <w:r>
        <w:rPr>
          <w:spacing w:val="-1"/>
        </w:rPr>
        <w:t>地、协作性地开展，并充分考虑利益相关者的观点。</w:t>
      </w:r>
    </w:p>
    <w:p>
      <w:pPr>
        <w:pStyle w:val="BodyText"/>
        <w:spacing w:before="107" w:line="220" w:lineRule="auto"/>
        <w:ind w:left="3"/>
      </w:pPr>
      <w:r>
        <w:rPr>
          <w:rFonts w:ascii="Arial" w:eastAsia="Arial" w:hAnsi="Arial" w:cs="Arial"/>
          <w:spacing w:val="-5"/>
        </w:rPr>
        <w:t>4.4.</w:t>
      </w:r>
      <w:r>
        <w:rPr>
          <w:rFonts w:ascii="Arial" w:eastAsia="Arial" w:hAnsi="Arial" w:cs="Arial"/>
          <w:spacing w:val="-36"/>
        </w:rPr>
        <w:t xml:space="preserve"> </w:t>
      </w:r>
      <w:r>
        <w:rPr>
          <w:rFonts w:ascii="Arial" w:eastAsia="Arial" w:hAnsi="Arial" w:cs="Arial"/>
          <w:spacing w:val="-5"/>
        </w:rPr>
        <w:t>1</w:t>
      </w:r>
      <w:r>
        <w:rPr>
          <w:rFonts w:ascii="Arial" w:eastAsia="Arial" w:hAnsi="Arial" w:cs="Arial"/>
          <w:spacing w:val="62"/>
        </w:rPr>
        <w:t xml:space="preserve"> </w:t>
      </w:r>
      <w:r>
        <w:rPr>
          <w:spacing w:val="-5"/>
        </w:rPr>
        <w:t>风险识别</w:t>
      </w:r>
    </w:p>
    <w:p>
      <w:pPr>
        <w:pStyle w:val="BodyText"/>
        <w:spacing w:before="141" w:line="360" w:lineRule="auto"/>
        <w:ind w:left="11" w:right="83" w:firstLine="483"/>
        <w:jc w:val="both"/>
      </w:pPr>
      <w:r>
        <w:rPr>
          <w:spacing w:val="-2"/>
        </w:rPr>
        <w:t>实验室可使用一系列技术来识别可能影响实验室目标的不确定性，并对其特性进行</w:t>
      </w:r>
      <w:r>
        <w:rPr>
          <w:spacing w:val="5"/>
        </w:rPr>
        <w:t xml:space="preserve"> </w:t>
      </w:r>
      <w:r>
        <w:rPr>
          <w:spacing w:val="1"/>
        </w:rPr>
        <w:t>定性描述，生成风险清单或风险列表。实验室宜参照</w:t>
      </w:r>
      <w:r>
        <w:rPr>
          <w:spacing w:val="-45"/>
        </w:rPr>
        <w:t xml:space="preserve"> </w:t>
      </w:r>
      <w:r>
        <w:rPr>
          <w:rFonts w:ascii="Times New Roman" w:eastAsia="Times New Roman" w:hAnsi="Times New Roman" w:cs="Times New Roman"/>
        </w:rPr>
        <w:t>CNAS</w:t>
      </w:r>
      <w:r>
        <w:rPr>
          <w:rFonts w:ascii="Times New Roman" w:eastAsia="Times New Roman" w:hAnsi="Times New Roman" w:cs="Times New Roman"/>
          <w:spacing w:val="1"/>
        </w:rPr>
        <w:t>-</w:t>
      </w:r>
      <w:r>
        <w:rPr>
          <w:rFonts w:ascii="Times New Roman" w:eastAsia="Times New Roman" w:hAnsi="Times New Roman" w:cs="Times New Roman"/>
        </w:rPr>
        <w:t>CL</w:t>
      </w:r>
      <w:r>
        <w:rPr>
          <w:rFonts w:ascii="Times New Roman" w:eastAsia="Times New Roman" w:hAnsi="Times New Roman" w:cs="Times New Roman"/>
          <w:spacing w:val="1"/>
        </w:rPr>
        <w:t>01</w:t>
      </w:r>
      <w:r>
        <w:rPr>
          <w:spacing w:val="1"/>
        </w:rPr>
        <w:t>《检测和校准实验室</w:t>
      </w:r>
      <w:r>
        <w:t xml:space="preserve"> </w:t>
      </w:r>
      <w:r>
        <w:rPr>
          <w:spacing w:val="-2"/>
        </w:rPr>
        <w:t>能力认可准则》和</w:t>
      </w:r>
      <w:r>
        <w:rPr>
          <w:spacing w:val="-51"/>
        </w:rPr>
        <w:t xml:space="preserve"> </w:t>
      </w:r>
      <w:r>
        <w:rPr>
          <w:rFonts w:ascii="Times New Roman" w:eastAsia="Times New Roman" w:hAnsi="Times New Roman" w:cs="Times New Roman"/>
          <w:spacing w:val="-2"/>
        </w:rPr>
        <w:t>CNAS-CL01-A025</w:t>
      </w:r>
      <w:r>
        <w:rPr>
          <w:spacing w:val="-2"/>
        </w:rPr>
        <w:t>《检测和校准实验室能力认可准则在校准</w:t>
      </w:r>
      <w:r>
        <w:rPr>
          <w:spacing w:val="-3"/>
        </w:rPr>
        <w:t>领域的应</w:t>
      </w:r>
      <w:r>
        <w:t xml:space="preserve"> </w:t>
      </w:r>
      <w:r>
        <w:rPr>
          <w:spacing w:val="-2"/>
        </w:rPr>
        <w:t>用说明》，主要从通用要求、结构要求、资源要求、过程要求、管理体系要求、其他要</w:t>
      </w:r>
    </w:p>
    <w:p>
      <w:pPr>
        <w:pStyle w:val="BodyText"/>
        <w:spacing w:before="1" w:line="218" w:lineRule="auto"/>
        <w:ind w:left="11"/>
        <w:sectPr>
          <w:headerReference w:type="default" r:id="rId16"/>
          <w:footerReference w:type="default" r:id="rId17"/>
          <w:pgSz w:w="11906" w:h="16839"/>
          <w:pgMar w:top="1091" w:right="1334" w:bottom="1260" w:left="1418" w:header="779" w:footer="983" w:gutter="0"/>
          <w:pgNumType w:start="7"/>
          <w:cols w:space="708"/>
        </w:sectPr>
      </w:pPr>
      <w:r>
        <w:rPr>
          <w:spacing w:val="-1"/>
        </w:rPr>
        <w:t>求等</w:t>
      </w:r>
      <w:r>
        <w:rPr>
          <w:spacing w:val="-49"/>
        </w:rPr>
        <w:t xml:space="preserve"> </w:t>
      </w:r>
      <w:r>
        <w:rPr>
          <w:rFonts w:ascii="Times New Roman" w:eastAsia="Times New Roman" w:hAnsi="Times New Roman" w:cs="Times New Roman"/>
          <w:spacing w:val="-1"/>
        </w:rPr>
        <w:t xml:space="preserve">6 </w:t>
      </w:r>
      <w:r>
        <w:rPr>
          <w:spacing w:val="-1"/>
        </w:rPr>
        <w:t>个方面识别风险源，考虑但不限于以下要素：</w:t>
      </w:r>
    </w:p>
    <w:p>
      <w:pPr>
        <w:pStyle w:val="BodyText"/>
        <w:spacing w:before="184" w:line="360" w:lineRule="auto"/>
        <w:ind w:left="28" w:right="83" w:firstLine="459"/>
        <w:jc w:val="both"/>
      </w:pPr>
      <w:r>
        <w:rPr>
          <w:spacing w:val="-2"/>
        </w:rPr>
        <w:t>——通用要求，如：组织结构、竞争压力引发的公正性风险；校准人员人为提高或</w:t>
      </w:r>
      <w:r>
        <w:rPr>
          <w:spacing w:val="13"/>
        </w:rPr>
        <w:t xml:space="preserve"> </w:t>
      </w:r>
      <w:r>
        <w:rPr>
          <w:spacing w:val="-2"/>
        </w:rPr>
        <w:t>降低校准结果不确定度，影响符合性判定；校准人员在校准仪器设备生产公司</w:t>
      </w:r>
      <w:r>
        <w:rPr>
          <w:spacing w:val="-3"/>
        </w:rPr>
        <w:t>或代理机</w:t>
      </w:r>
    </w:p>
    <w:p>
      <w:pPr>
        <w:pStyle w:val="BodyText"/>
        <w:spacing w:line="219" w:lineRule="auto"/>
        <w:ind w:left="12"/>
      </w:pPr>
      <w:r>
        <w:t>构兼职引发的公正性风险；校准人员使用相关校准数</w:t>
      </w:r>
      <w:r>
        <w:rPr>
          <w:spacing w:val="-1"/>
        </w:rPr>
        <w:t>据发表论文引发的保密性风险；</w:t>
      </w:r>
    </w:p>
    <w:p>
      <w:pPr>
        <w:pStyle w:val="BodyText"/>
        <w:spacing w:before="183" w:line="219" w:lineRule="auto"/>
        <w:ind w:left="487"/>
      </w:pPr>
      <w:r>
        <w:rPr>
          <w:spacing w:val="-2"/>
        </w:rPr>
        <w:t>——结构要求，如：法律地位是否明确；岗位职责分配的合理性；一人兼任质量负</w:t>
      </w:r>
    </w:p>
    <w:p>
      <w:pPr>
        <w:spacing w:line="219" w:lineRule="auto"/>
        <w:sectPr>
          <w:headerReference w:type="default" r:id="rId18"/>
          <w:footerReference w:type="default" r:id="rId19"/>
          <w:type w:val="nextPage"/>
          <w:pgSz w:w="11906" w:h="16839"/>
          <w:pgMar w:top="1091" w:right="1334" w:bottom="1260" w:left="1418" w:header="779" w:footer="983" w:gutter="0"/>
          <w:pgNumType w:start="8"/>
          <w:cols w:space="708"/>
          <w:titlePg w:val="0"/>
        </w:sectPr>
      </w:pPr>
    </w:p>
    <w:p>
      <w:pPr>
        <w:spacing w:line="250" w:lineRule="auto"/>
        <w:rPr>
          <w:rFonts w:ascii="Arial"/>
          <w:sz w:val="21"/>
        </w:rPr>
      </w:pPr>
    </w:p>
    <w:p>
      <w:pPr>
        <w:spacing w:line="251" w:lineRule="auto"/>
        <w:rPr>
          <w:rFonts w:ascii="Arial"/>
          <w:sz w:val="21"/>
        </w:rPr>
      </w:pPr>
    </w:p>
    <w:p>
      <w:pPr>
        <w:pStyle w:val="BodyText"/>
        <w:spacing w:before="78" w:line="219" w:lineRule="auto"/>
        <w:ind w:left="18"/>
      </w:pPr>
      <w:r>
        <w:rPr>
          <w:spacing w:val="-1"/>
        </w:rPr>
        <w:t>责人和技术负责人引发的岗位职责风险；</w:t>
      </w:r>
    </w:p>
    <w:p>
      <w:pPr>
        <w:pStyle w:val="BodyText"/>
        <w:spacing w:before="182" w:line="360" w:lineRule="auto"/>
        <w:ind w:left="8" w:right="83" w:firstLine="479"/>
      </w:pPr>
      <w:r>
        <w:rPr>
          <w:spacing w:val="-2"/>
        </w:rPr>
        <w:t>——资源要求，如：环境设施、仪器设备租赁合同的权属关系；校准业务人力储备</w:t>
      </w:r>
      <w:r>
        <w:rPr>
          <w:spacing w:val="13"/>
        </w:rPr>
        <w:t xml:space="preserve"> </w:t>
      </w:r>
      <w:r>
        <w:rPr>
          <w:spacing w:val="-2"/>
        </w:rPr>
        <w:t>与校准项目数量相匹配情况；操作超常规样品数量的校准工作；授权签字人授权多个领</w:t>
      </w:r>
      <w:r>
        <w:rPr>
          <w:spacing w:val="16"/>
        </w:rPr>
        <w:t xml:space="preserve"> </w:t>
      </w:r>
      <w:r>
        <w:rPr>
          <w:spacing w:val="-2"/>
        </w:rPr>
        <w:t>域，对新发布实施校准方法的熟悉程度；校准人员对新领域或多个新项目岗位资格的培</w:t>
      </w:r>
      <w:r>
        <w:rPr>
          <w:spacing w:val="16"/>
        </w:rPr>
        <w:t xml:space="preserve"> </w:t>
      </w:r>
      <w:r>
        <w:rPr>
          <w:spacing w:val="-2"/>
        </w:rPr>
        <w:t>训效果；医学、电离辐射等校准领域对职业健康安全、应急能力的培训效果；未采用自</w:t>
      </w:r>
      <w:r>
        <w:rPr>
          <w:spacing w:val="16"/>
        </w:rPr>
        <w:t xml:space="preserve"> </w:t>
      </w:r>
      <w:r>
        <w:rPr>
          <w:spacing w:val="-3"/>
        </w:rPr>
        <w:t>动监测</w:t>
      </w:r>
      <w:r>
        <w:rPr>
          <w:rFonts w:ascii="Times New Roman" w:eastAsia="Times New Roman" w:hAnsi="Times New Roman" w:cs="Times New Roman"/>
          <w:spacing w:val="-3"/>
        </w:rPr>
        <w:t>/</w:t>
      </w:r>
      <w:r>
        <w:rPr>
          <w:spacing w:val="-3"/>
        </w:rPr>
        <w:t>记录装置监测和记录环境条件的时间间隔；防止测量设备</w:t>
      </w:r>
      <w:r>
        <w:rPr>
          <w:spacing w:val="-4"/>
        </w:rPr>
        <w:t>被意外调整的措施的可</w:t>
      </w:r>
      <w:r>
        <w:t xml:space="preserve"> </w:t>
      </w:r>
      <w:r>
        <w:rPr>
          <w:spacing w:val="-2"/>
        </w:rPr>
        <w:t>操作性、合理性；校准高准确度等级测量设备时，参考值或修正因子的更新与应用；选</w:t>
      </w:r>
      <w:r>
        <w:rPr>
          <w:spacing w:val="16"/>
        </w:rPr>
        <w:t xml:space="preserve"> </w:t>
      </w:r>
      <w:r>
        <w:rPr>
          <w:spacing w:val="-2"/>
        </w:rPr>
        <w:t>择多参数、高准确度等级测量设备校准服务供应商的适宜性；确认校准证书真伪方式的</w:t>
      </w:r>
    </w:p>
    <w:p>
      <w:pPr>
        <w:pStyle w:val="BodyText"/>
        <w:spacing w:line="219" w:lineRule="auto"/>
        <w:ind w:left="11"/>
      </w:pPr>
      <w:r>
        <w:rPr>
          <w:spacing w:val="-2"/>
        </w:rPr>
        <w:t>可操作性、时效性；</w:t>
      </w:r>
    </w:p>
    <w:p>
      <w:pPr>
        <w:pStyle w:val="BodyText"/>
        <w:spacing w:before="183" w:line="360" w:lineRule="auto"/>
        <w:ind w:left="8" w:right="83" w:firstLine="479"/>
      </w:pPr>
      <w:r>
        <w:rPr>
          <w:spacing w:val="-2"/>
        </w:rPr>
        <w:t>——过程要求，如：与客户签订合同的变更、偏离、违约等约定事项；技术负责人</w:t>
      </w:r>
      <w:r>
        <w:rPr>
          <w:spacing w:val="13"/>
        </w:rPr>
        <w:t xml:space="preserve"> </w:t>
      </w:r>
      <w:r>
        <w:rPr>
          <w:spacing w:val="-2"/>
        </w:rPr>
        <w:t>或授权签字人对校准方法偏离的熟悉程度，特别是现场校准；校准方法查新及校准方法</w:t>
      </w:r>
      <w:r>
        <w:rPr>
          <w:spacing w:val="16"/>
        </w:rPr>
        <w:t xml:space="preserve"> </w:t>
      </w:r>
      <w:r>
        <w:rPr>
          <w:spacing w:val="-2"/>
        </w:rPr>
        <w:t>控制清单更新的时间间隔；获取部门、行业或地方校准方法查新的路径；校准作业指导</w:t>
      </w:r>
      <w:r>
        <w:rPr>
          <w:spacing w:val="16"/>
        </w:rPr>
        <w:t xml:space="preserve"> </w:t>
      </w:r>
      <w:r>
        <w:rPr>
          <w:spacing w:val="-2"/>
        </w:rPr>
        <w:t>书或校准细则的制定及详细程度，特别是现场校准；校准方法验证的全面性和有效性；</w:t>
      </w:r>
      <w:r>
        <w:rPr>
          <w:spacing w:val="16"/>
        </w:rPr>
        <w:t xml:space="preserve"> </w:t>
      </w:r>
      <w:r>
        <w:rPr>
          <w:spacing w:val="-2"/>
        </w:rPr>
        <w:t>校准结果的不确定度评定，特别是现场校准；数字化信息管理系统及数据的安全性、可</w:t>
      </w:r>
      <w:r>
        <w:rPr>
          <w:spacing w:val="16"/>
        </w:rPr>
        <w:t xml:space="preserve"> </w:t>
      </w:r>
      <w:r>
        <w:rPr>
          <w:spacing w:val="-2"/>
        </w:rPr>
        <w:t>靠性；制定期间核查方案的合理性；选择参加能力验证活动的适宜性；校准证书符合性</w:t>
      </w:r>
    </w:p>
    <w:p>
      <w:pPr>
        <w:pStyle w:val="BodyText"/>
        <w:spacing w:line="218" w:lineRule="auto"/>
        <w:ind w:left="14"/>
      </w:pPr>
      <w:r>
        <w:rPr>
          <w:spacing w:val="-1"/>
        </w:rPr>
        <w:t>声明采用判定规则的合理性；实验室间比对采用的比对方案的合理性；</w:t>
      </w:r>
    </w:p>
    <w:p>
      <w:pPr>
        <w:pStyle w:val="BodyText"/>
        <w:spacing w:before="184" w:line="360" w:lineRule="auto"/>
        <w:ind w:left="13" w:right="83" w:firstLine="474"/>
      </w:pPr>
      <w:r>
        <w:rPr>
          <w:spacing w:val="-2"/>
        </w:rPr>
        <w:t>——管理体系要求，如：质量目标的合理性和可实现性；内部审核策划的合理性及</w:t>
      </w:r>
      <w:r>
        <w:rPr>
          <w:spacing w:val="13"/>
        </w:rPr>
        <w:t xml:space="preserve"> </w:t>
      </w:r>
      <w:r>
        <w:rPr>
          <w:spacing w:val="-2"/>
        </w:rPr>
        <w:t>发现不符合项的能力；内审员兼任多岗位引发的内部审核工作的独立性风险；管理评审</w:t>
      </w:r>
    </w:p>
    <w:p>
      <w:pPr>
        <w:pStyle w:val="BodyText"/>
        <w:spacing w:before="1" w:line="219" w:lineRule="auto"/>
        <w:ind w:left="11"/>
      </w:pPr>
      <w:r>
        <w:t>策划的合理性及输入的完整性、有效性；现场校准管理体</w:t>
      </w:r>
      <w:r>
        <w:rPr>
          <w:spacing w:val="-1"/>
        </w:rPr>
        <w:t>系文件的全面性、可操作性；</w:t>
      </w:r>
    </w:p>
    <w:p>
      <w:pPr>
        <w:pStyle w:val="BodyText"/>
        <w:spacing w:before="183" w:line="360" w:lineRule="auto"/>
        <w:ind w:left="7" w:right="83" w:firstLine="480"/>
      </w:pPr>
      <w:r>
        <w:rPr>
          <w:spacing w:val="-3"/>
        </w:rPr>
        <w:t>——其他要求，如：向</w:t>
      </w:r>
      <w:r>
        <w:rPr>
          <w:spacing w:val="-46"/>
        </w:rPr>
        <w:t xml:space="preserve"> </w:t>
      </w:r>
      <w:r>
        <w:rPr>
          <w:rFonts w:ascii="Times New Roman" w:eastAsia="Times New Roman" w:hAnsi="Times New Roman" w:cs="Times New Roman"/>
          <w:spacing w:val="-3"/>
        </w:rPr>
        <w:t xml:space="preserve">CNAS </w:t>
      </w:r>
      <w:r>
        <w:rPr>
          <w:spacing w:val="-3"/>
        </w:rPr>
        <w:t>秘书处提出实验室名称、地址、授权签字人等变更申</w:t>
      </w:r>
      <w:r>
        <w:t xml:space="preserve"> </w:t>
      </w:r>
      <w:r>
        <w:rPr>
          <w:spacing w:val="-1"/>
        </w:rPr>
        <w:t>请的及时性；填报</w:t>
      </w:r>
      <w:r>
        <w:rPr>
          <w:spacing w:val="-37"/>
        </w:rPr>
        <w:t xml:space="preserve"> </w:t>
      </w:r>
      <w:r>
        <w:rPr>
          <w:rFonts w:ascii="Times New Roman" w:eastAsia="Times New Roman" w:hAnsi="Times New Roman" w:cs="Times New Roman"/>
          <w:spacing w:val="-1"/>
        </w:rPr>
        <w:t xml:space="preserve">CNAS-AL06 </w:t>
      </w:r>
      <w:r>
        <w:rPr>
          <w:spacing w:val="-1"/>
        </w:rPr>
        <w:t>领域代码与申请技术能力的符合性；遇极端天气等，评</w:t>
      </w:r>
      <w:r>
        <w:t xml:space="preserve"> </w:t>
      </w:r>
      <w:r>
        <w:rPr>
          <w:spacing w:val="-2"/>
        </w:rPr>
        <w:t>审组不能参加现场评审，实验室筹备远程评审的情况；对于固定场所已获认可、但现场</w:t>
      </w:r>
    </w:p>
    <w:p>
      <w:pPr>
        <w:pStyle w:val="BodyText"/>
        <w:spacing w:line="219" w:lineRule="auto"/>
        <w:ind w:left="10"/>
      </w:pPr>
      <w:r>
        <w:t>校准未获认可的校准项目，实验室开展现场校准时引</w:t>
      </w:r>
      <w:r>
        <w:rPr>
          <w:spacing w:val="-1"/>
        </w:rPr>
        <w:t>发的误用认可标识的风险；</w:t>
      </w:r>
    </w:p>
    <w:p>
      <w:pPr>
        <w:pStyle w:val="BodyText"/>
        <w:spacing w:before="183" w:line="468" w:lineRule="exact"/>
        <w:ind w:left="493"/>
      </w:pPr>
      <w:r>
        <w:rPr>
          <w:spacing w:val="-2"/>
          <w:position w:val="17"/>
        </w:rPr>
        <w:t>不管风险源是否在实验室控制范围内，都宜对风险进行识别，识别时要掌握相关的</w:t>
      </w:r>
    </w:p>
    <w:p>
      <w:pPr>
        <w:pStyle w:val="BodyText"/>
        <w:spacing w:line="219" w:lineRule="auto"/>
        <w:ind w:left="10"/>
      </w:pPr>
      <w:r>
        <w:t>和最新的信息，关注已经发生的风险事件，特</w:t>
      </w:r>
      <w:r>
        <w:rPr>
          <w:spacing w:val="-1"/>
        </w:rPr>
        <w:t>别是新近发生的风险事件。</w:t>
      </w:r>
    </w:p>
    <w:p>
      <w:pPr>
        <w:pStyle w:val="BodyText"/>
        <w:spacing w:before="145" w:line="220" w:lineRule="auto"/>
        <w:ind w:left="3"/>
        <w:sectPr>
          <w:headerReference w:type="default" r:id="rId20"/>
          <w:footerReference w:type="default" r:id="rId21"/>
          <w:pgSz w:w="11906" w:h="16839"/>
          <w:pgMar w:top="1091" w:right="1334" w:bottom="1260" w:left="1418" w:header="779" w:footer="983" w:gutter="0"/>
          <w:pgNumType w:start="9"/>
          <w:cols w:space="708"/>
        </w:sectPr>
      </w:pPr>
      <w:r>
        <w:rPr>
          <w:rFonts w:ascii="Arial" w:eastAsia="Arial" w:hAnsi="Arial" w:cs="Arial"/>
          <w:spacing w:val="-2"/>
        </w:rPr>
        <w:t>4.4.2</w:t>
      </w:r>
      <w:r>
        <w:rPr>
          <w:rFonts w:ascii="Arial" w:eastAsia="Arial" w:hAnsi="Arial" w:cs="Arial"/>
          <w:spacing w:val="68"/>
        </w:rPr>
        <w:t xml:space="preserve"> </w:t>
      </w:r>
      <w:r>
        <w:rPr>
          <w:spacing w:val="-2"/>
          <w14:textOutline w14:w="4358" w14:cap="sq">
            <w14:solidFill>
              <w14:srgbClr w14:val="000000"/>
            </w14:solidFill>
            <w14:prstDash w14:val="solid"/>
            <w14:bevel/>
          </w14:textOutline>
        </w:rPr>
        <w:t>风险分析</w:t>
      </w:r>
    </w:p>
    <w:p>
      <w:pPr>
        <w:pStyle w:val="BodyText"/>
        <w:spacing w:before="141" w:line="360" w:lineRule="auto"/>
        <w:ind w:left="13" w:right="72" w:firstLine="477"/>
        <w:jc w:val="both"/>
      </w:pPr>
      <w:r>
        <w:rPr>
          <w:spacing w:val="-2"/>
        </w:rPr>
        <w:t>风险分析的目的是了解风险性质极其特征，必要时包括风险等级。风险分析包括对</w:t>
      </w:r>
      <w:r>
        <w:rPr>
          <w:spacing w:val="10"/>
        </w:rPr>
        <w:t xml:space="preserve"> </w:t>
      </w:r>
      <w:r>
        <w:rPr>
          <w:spacing w:val="-1"/>
        </w:rPr>
        <w:t>不确定性、风险源、后果、可能性、事件、情境</w:t>
      </w:r>
      <w:r>
        <w:rPr>
          <w:spacing w:val="-2"/>
        </w:rPr>
        <w:t>、控制措施及其有效性进行详尽考虑。</w:t>
      </w:r>
    </w:p>
    <w:p>
      <w:pPr>
        <w:pStyle w:val="BodyText"/>
        <w:spacing w:line="219" w:lineRule="auto"/>
        <w:ind w:left="13"/>
      </w:pPr>
      <w:r>
        <w:rPr>
          <w:spacing w:val="-1"/>
        </w:rPr>
        <w:t>一个事件可能有多种原因和后果，可能影响多个目标。</w:t>
      </w:r>
    </w:p>
    <w:p>
      <w:pPr>
        <w:spacing w:line="219" w:lineRule="auto"/>
        <w:sectPr>
          <w:headerReference w:type="default" r:id="rId22"/>
          <w:footerReference w:type="default" r:id="rId23"/>
          <w:type w:val="nextPage"/>
          <w:pgSz w:w="11906" w:h="16839"/>
          <w:pgMar w:top="1091" w:right="1334" w:bottom="1260" w:left="1418" w:header="779" w:footer="983" w:gutter="0"/>
          <w:pgNumType w:start="10"/>
          <w:cols w:space="708"/>
          <w:titlePg w:val="0"/>
        </w:sectPr>
      </w:pPr>
    </w:p>
    <w:p>
      <w:pPr>
        <w:spacing w:line="250" w:lineRule="auto"/>
        <w:rPr>
          <w:rFonts w:ascii="Arial"/>
          <w:sz w:val="21"/>
        </w:rPr>
      </w:pPr>
    </w:p>
    <w:p>
      <w:pPr>
        <w:spacing w:line="251" w:lineRule="auto"/>
        <w:rPr>
          <w:rFonts w:ascii="Arial"/>
          <w:sz w:val="21"/>
        </w:rPr>
      </w:pPr>
    </w:p>
    <w:p>
      <w:pPr>
        <w:pStyle w:val="BodyText"/>
        <w:spacing w:before="78" w:line="360" w:lineRule="auto"/>
        <w:ind w:left="12" w:right="22" w:firstLine="478"/>
      </w:pPr>
      <w:r>
        <w:rPr>
          <w:spacing w:val="-2"/>
        </w:rPr>
        <w:t>开展风险分析的细致和复杂程度可有所不同，具体取决于分析目的、信息的可获得</w:t>
      </w:r>
      <w:r>
        <w:rPr>
          <w:spacing w:val="10"/>
        </w:rPr>
        <w:t xml:space="preserve"> </w:t>
      </w:r>
      <w:r>
        <w:rPr>
          <w:spacing w:val="-6"/>
        </w:rPr>
        <w:t>性和可靠性以及可用的资源。分析技术可以是定性的、定量的或者定</w:t>
      </w:r>
      <w:r>
        <w:rPr>
          <w:spacing w:val="-7"/>
        </w:rPr>
        <w:t>量和定性相结合的，</w:t>
      </w:r>
    </w:p>
    <w:p>
      <w:pPr>
        <w:pStyle w:val="BodyText"/>
        <w:spacing w:line="220" w:lineRule="auto"/>
        <w:ind w:left="14"/>
      </w:pPr>
      <w:r>
        <w:rPr>
          <w:spacing w:val="-2"/>
        </w:rPr>
        <w:t>具体视情况和预期用途而定。</w:t>
      </w:r>
    </w:p>
    <w:p>
      <w:pPr>
        <w:pStyle w:val="BodyText"/>
        <w:spacing w:before="181" w:line="360" w:lineRule="auto"/>
        <w:ind w:left="9" w:right="83" w:firstLine="480"/>
      </w:pPr>
      <w:r>
        <w:rPr>
          <w:spacing w:val="-2"/>
        </w:rPr>
        <w:t>风险分析可为风险评价提供信息输入，也可为是否需要和如何应对风险，及采取最</w:t>
      </w:r>
      <w:r>
        <w:rPr>
          <w:spacing w:val="10"/>
        </w:rPr>
        <w:t xml:space="preserve"> </w:t>
      </w:r>
      <w:r>
        <w:rPr>
          <w:spacing w:val="-2"/>
        </w:rPr>
        <w:t>适宜的策略和方法提供信息支撑。当面对不同类别和不同等级的风险需要做出抉择时，</w:t>
      </w:r>
    </w:p>
    <w:p>
      <w:pPr>
        <w:pStyle w:val="BodyText"/>
        <w:spacing w:line="218" w:lineRule="auto"/>
        <w:ind w:left="10"/>
      </w:pPr>
      <w:r>
        <w:rPr>
          <w:spacing w:val="-1"/>
        </w:rPr>
        <w:t>风险分析结果可为决策提供深刻见解。</w:t>
      </w:r>
    </w:p>
    <w:p>
      <w:pPr>
        <w:pStyle w:val="BodyText"/>
        <w:spacing w:before="145" w:line="218" w:lineRule="auto"/>
        <w:ind w:left="3"/>
      </w:pPr>
      <w:r>
        <w:rPr>
          <w:rFonts w:ascii="Arial" w:eastAsia="Arial" w:hAnsi="Arial" w:cs="Arial"/>
          <w:spacing w:val="-2"/>
        </w:rPr>
        <w:t>4.4.3</w:t>
      </w:r>
      <w:r>
        <w:rPr>
          <w:rFonts w:ascii="Arial" w:eastAsia="Arial" w:hAnsi="Arial" w:cs="Arial"/>
          <w:spacing w:val="68"/>
        </w:rPr>
        <w:t xml:space="preserve"> </w:t>
      </w:r>
      <w:r>
        <w:rPr>
          <w:spacing w:val="-2"/>
          <w14:textOutline w14:w="4358" w14:cap="sq">
            <w14:solidFill>
              <w14:srgbClr w14:val="000000"/>
            </w14:solidFill>
            <w14:prstDash w14:val="solid"/>
            <w14:bevel/>
          </w14:textOutline>
        </w:rPr>
        <w:t>风险评价</w:t>
      </w:r>
    </w:p>
    <w:p>
      <w:pPr>
        <w:pStyle w:val="BodyText"/>
        <w:spacing w:before="144" w:line="360" w:lineRule="auto"/>
        <w:ind w:left="36" w:right="83" w:firstLine="453"/>
      </w:pPr>
      <w:r>
        <w:rPr>
          <w:spacing w:val="-2"/>
        </w:rPr>
        <w:t>风险评价的目的是支持决策。风险评价是将风险分析结果和既定风险准则相比较，</w:t>
      </w:r>
      <w:r>
        <w:rPr>
          <w:spacing w:val="10"/>
        </w:rPr>
        <w:t xml:space="preserve"> </w:t>
      </w:r>
      <w:r>
        <w:rPr>
          <w:spacing w:val="-2"/>
        </w:rPr>
        <w:t>以确定是否需要采取进一步行动。风险准则的确定需要基于</w:t>
      </w:r>
      <w:r>
        <w:rPr>
          <w:spacing w:val="-3"/>
        </w:rPr>
        <w:t>计量有关的法律法规、校准</w:t>
      </w:r>
    </w:p>
    <w:p>
      <w:pPr>
        <w:pStyle w:val="BodyText"/>
        <w:spacing w:line="219" w:lineRule="auto"/>
        <w:ind w:left="10"/>
      </w:pPr>
      <w:r>
        <w:t>方法、风险管理目标、风险偏好、实验室和利益</w:t>
      </w:r>
      <w:r>
        <w:rPr>
          <w:spacing w:val="-1"/>
        </w:rPr>
        <w:t>相关者的承受能力等方面。</w:t>
      </w:r>
    </w:p>
    <w:p>
      <w:pPr>
        <w:pStyle w:val="BodyText"/>
        <w:spacing w:before="183" w:line="360" w:lineRule="auto"/>
        <w:ind w:left="11" w:right="83" w:firstLine="479"/>
      </w:pPr>
      <w:r>
        <w:rPr>
          <w:spacing w:val="-2"/>
        </w:rPr>
        <w:t>风险评价需要明确可以接受的风险、需要处理的问题以及优先顺序和策略。当风险</w:t>
      </w:r>
      <w:r>
        <w:rPr>
          <w:spacing w:val="10"/>
        </w:rPr>
        <w:t xml:space="preserve"> </w:t>
      </w:r>
      <w:r>
        <w:rPr>
          <w:spacing w:val="-2"/>
        </w:rPr>
        <w:t>可接受时，应保持或改进已有的安全措施；当风险不可接受时，应采取风险应对措施以</w:t>
      </w:r>
      <w:r>
        <w:rPr>
          <w:spacing w:val="13"/>
        </w:rPr>
        <w:t xml:space="preserve"> </w:t>
      </w:r>
      <w:r>
        <w:rPr>
          <w:spacing w:val="-2"/>
        </w:rPr>
        <w:t>消除、降低或控制风险。当风险涉及安全与健康时，若在技术上和经济上可行，宜尽可</w:t>
      </w:r>
    </w:p>
    <w:p>
      <w:pPr>
        <w:pStyle w:val="BodyText"/>
        <w:spacing w:before="1" w:line="218" w:lineRule="auto"/>
        <w:ind w:left="19"/>
      </w:pPr>
      <w:r>
        <w:rPr>
          <w:spacing w:val="-2"/>
        </w:rPr>
        <w:t>能考虑将风险降至最低水平。</w:t>
      </w:r>
    </w:p>
    <w:p>
      <w:pPr>
        <w:pStyle w:val="BodyText"/>
        <w:spacing w:before="184" w:line="218" w:lineRule="auto"/>
        <w:ind w:left="490"/>
      </w:pPr>
      <w:r>
        <w:rPr>
          <w:spacing w:val="-1"/>
        </w:rPr>
        <w:t>风险评价的结果宜予以记录、沟通，然后在适当层级予以确认。</w:t>
      </w:r>
    </w:p>
    <w:p>
      <w:pPr>
        <w:pStyle w:val="BodyText"/>
        <w:spacing w:before="146" w:line="220" w:lineRule="auto"/>
        <w:ind w:left="4"/>
        <w:outlineLvl w:val="0"/>
      </w:pPr>
      <w:r>
        <w:rPr>
          <w:rFonts w:ascii="Arial" w:eastAsia="Arial" w:hAnsi="Arial" w:cs="Arial"/>
          <w:b/>
          <w:bCs/>
          <w:spacing w:val="-2"/>
        </w:rPr>
        <w:t>4.5</w:t>
      </w:r>
      <w:r>
        <w:rPr>
          <w:rFonts w:ascii="Arial" w:eastAsia="Arial" w:hAnsi="Arial" w:cs="Arial"/>
          <w:b/>
          <w:bCs/>
          <w:spacing w:val="64"/>
        </w:rPr>
        <w:t xml:space="preserve"> </w:t>
      </w:r>
      <w:r>
        <w:rPr>
          <w:spacing w:val="-2"/>
          <w14:textOutline w14:w="4358" w14:cap="sq">
            <w14:solidFill>
              <w14:srgbClr w14:val="000000"/>
            </w14:solidFill>
            <w14:prstDash w14:val="solid"/>
            <w14:bevel/>
          </w14:textOutline>
        </w:rPr>
        <w:t>风险应对</w:t>
      </w:r>
    </w:p>
    <w:p>
      <w:pPr>
        <w:pStyle w:val="BodyText"/>
        <w:spacing w:before="106" w:line="219" w:lineRule="auto"/>
        <w:ind w:left="3"/>
      </w:pPr>
      <w:r>
        <w:rPr>
          <w:rFonts w:ascii="Arial" w:eastAsia="Arial" w:hAnsi="Arial" w:cs="Arial"/>
          <w:spacing w:val="-6"/>
        </w:rPr>
        <w:t>4.5.</w:t>
      </w:r>
      <w:r>
        <w:rPr>
          <w:rFonts w:ascii="Arial" w:eastAsia="Arial" w:hAnsi="Arial" w:cs="Arial"/>
          <w:spacing w:val="-38"/>
        </w:rPr>
        <w:t xml:space="preserve"> </w:t>
      </w:r>
      <w:r>
        <w:rPr>
          <w:rFonts w:ascii="Arial" w:eastAsia="Arial" w:hAnsi="Arial" w:cs="Arial"/>
          <w:spacing w:val="-6"/>
        </w:rPr>
        <w:t>1</w:t>
      </w:r>
      <w:r>
        <w:rPr>
          <w:rFonts w:ascii="Arial" w:eastAsia="Arial" w:hAnsi="Arial" w:cs="Arial"/>
          <w:spacing w:val="61"/>
        </w:rPr>
        <w:t xml:space="preserve"> </w:t>
      </w:r>
      <w:r>
        <w:rPr>
          <w:spacing w:val="-6"/>
        </w:rPr>
        <w:t>概述</w:t>
      </w:r>
    </w:p>
    <w:p>
      <w:pPr>
        <w:pStyle w:val="BodyText"/>
        <w:spacing w:before="142" w:line="468" w:lineRule="exact"/>
        <w:ind w:left="488"/>
      </w:pPr>
      <w:r>
        <w:rPr>
          <w:spacing w:val="-2"/>
          <w:position w:val="17"/>
        </w:rPr>
        <w:t>选择最合适的风险应对措施，可在实现目标获得的潜在收益和付出的成本、耗费的</w:t>
      </w:r>
    </w:p>
    <w:p>
      <w:pPr>
        <w:pStyle w:val="BodyText"/>
        <w:spacing w:before="1" w:line="218" w:lineRule="auto"/>
        <w:ind w:left="9"/>
      </w:pPr>
      <w:r>
        <w:rPr>
          <w:spacing w:val="-1"/>
        </w:rPr>
        <w:t>精力或由此引发的不利后果之间进行权衡。</w:t>
      </w:r>
    </w:p>
    <w:p>
      <w:pPr>
        <w:pStyle w:val="BodyText"/>
        <w:spacing w:before="183" w:line="360" w:lineRule="auto"/>
        <w:ind w:left="12" w:right="3" w:firstLine="478"/>
      </w:pPr>
      <w:r>
        <w:rPr>
          <w:spacing w:val="-2"/>
        </w:rPr>
        <w:t>风险应对是选择并执行一种或多种改变风险的措施，包括改变风险</w:t>
      </w:r>
      <w:r>
        <w:rPr>
          <w:spacing w:val="-3"/>
        </w:rPr>
        <w:t xml:space="preserve">事件发生的可能 </w:t>
      </w:r>
      <w:r>
        <w:rPr>
          <w:spacing w:val="-6"/>
        </w:rPr>
        <w:t>性或后果的措施。采取风险应对的理由不仅考虑经济因素，还宜考虑所有的实验室义务、</w:t>
      </w:r>
      <w:r>
        <w:rPr>
          <w:spacing w:val="10"/>
        </w:rPr>
        <w:t xml:space="preserve"> </w:t>
      </w:r>
      <w:r>
        <w:rPr>
          <w:spacing w:val="-2"/>
        </w:rPr>
        <w:t>自愿性承诺和利益相关者的观点。可依据实验室目标、风险准则和可用资源选择风险应</w:t>
      </w:r>
    </w:p>
    <w:p>
      <w:pPr>
        <w:pStyle w:val="BodyText"/>
        <w:spacing w:before="1" w:line="220" w:lineRule="auto"/>
        <w:ind w:left="8"/>
      </w:pPr>
      <w:r>
        <w:rPr>
          <w:spacing w:val="-3"/>
        </w:rPr>
        <w:t>对措施。</w:t>
      </w:r>
    </w:p>
    <w:p>
      <w:pPr>
        <w:pStyle w:val="BodyText"/>
        <w:spacing w:before="181" w:line="468" w:lineRule="exact"/>
        <w:ind w:left="488"/>
      </w:pPr>
      <w:r>
        <w:rPr>
          <w:spacing w:val="-1"/>
          <w:position w:val="17"/>
        </w:rPr>
        <w:t>选择风险应对措施时，考虑的因素包括但不限于：</w:t>
      </w:r>
    </w:p>
    <w:p>
      <w:pPr>
        <w:pStyle w:val="BodyText"/>
        <w:spacing w:before="1" w:line="219" w:lineRule="auto"/>
        <w:ind w:left="478"/>
      </w:pPr>
      <w:r>
        <w:rPr>
          <w:rFonts w:ascii="Times New Roman" w:eastAsia="Times New Roman" w:hAnsi="Times New Roman" w:cs="Times New Roman"/>
        </w:rPr>
        <w:t>——</w:t>
      </w:r>
      <w:r>
        <w:t>法律法规、校准方法、认可规范文件的要求；</w:t>
      </w:r>
    </w:p>
    <w:p>
      <w:pPr>
        <w:pStyle w:val="BodyText"/>
        <w:spacing w:before="183" w:line="468" w:lineRule="exact"/>
        <w:ind w:left="478"/>
        <w:sectPr>
          <w:headerReference w:type="default" r:id="rId24"/>
          <w:footerReference w:type="default" r:id="rId25"/>
          <w:pgSz w:w="11906" w:h="16839"/>
          <w:pgMar w:top="1091" w:right="1334" w:bottom="1260" w:left="1418" w:header="779" w:footer="983" w:gutter="0"/>
          <w:pgNumType w:start="11"/>
          <w:cols w:space="708"/>
        </w:sectPr>
      </w:pPr>
      <w:r>
        <w:rPr>
          <w:rFonts w:ascii="Times New Roman" w:eastAsia="Times New Roman" w:hAnsi="Times New Roman" w:cs="Times New Roman"/>
          <w:position w:val="17"/>
        </w:rPr>
        <w:t>——</w:t>
      </w:r>
      <w:r>
        <w:rPr>
          <w:position w:val="17"/>
        </w:rPr>
        <w:t>实验室近年认可评审基本情况；</w:t>
      </w:r>
    </w:p>
    <w:p>
      <w:pPr>
        <w:pStyle w:val="BodyText"/>
        <w:spacing w:line="219" w:lineRule="auto"/>
        <w:ind w:left="478"/>
      </w:pPr>
      <w:r>
        <w:rPr>
          <w:rFonts w:ascii="Times New Roman" w:eastAsia="Times New Roman" w:hAnsi="Times New Roman" w:cs="Times New Roman"/>
        </w:rPr>
        <w:t>——</w:t>
      </w:r>
      <w:r>
        <w:t>确定的风险指数和风险等级；</w:t>
      </w:r>
    </w:p>
    <w:p>
      <w:pPr>
        <w:pStyle w:val="BodyText"/>
        <w:spacing w:before="183" w:line="468" w:lineRule="exact"/>
        <w:ind w:left="478"/>
      </w:pPr>
      <w:r>
        <w:rPr>
          <w:rFonts w:ascii="Times New Roman" w:eastAsia="Times New Roman" w:hAnsi="Times New Roman" w:cs="Times New Roman"/>
          <w:position w:val="17"/>
        </w:rPr>
        <w:t>——</w:t>
      </w:r>
      <w:r>
        <w:rPr>
          <w:position w:val="17"/>
        </w:rPr>
        <w:t>风险应对措施的实施成本与预期效果；</w:t>
      </w:r>
    </w:p>
    <w:p>
      <w:pPr>
        <w:pStyle w:val="BodyText"/>
        <w:spacing w:line="220" w:lineRule="auto"/>
        <w:ind w:left="478"/>
      </w:pPr>
      <w:r>
        <w:rPr>
          <w:rFonts w:ascii="Times New Roman" w:eastAsia="Times New Roman" w:hAnsi="Times New Roman" w:cs="Times New Roman"/>
        </w:rPr>
        <w:t>——</w:t>
      </w:r>
      <w:r>
        <w:t>风险应对措施引入的风险；</w:t>
      </w:r>
    </w:p>
    <w:p>
      <w:pPr>
        <w:spacing w:line="220" w:lineRule="auto"/>
        <w:sectPr>
          <w:headerReference w:type="default" r:id="rId26"/>
          <w:footerReference w:type="default" r:id="rId27"/>
          <w:type w:val="nextPage"/>
          <w:pgSz w:w="11906" w:h="16839"/>
          <w:pgMar w:top="1091" w:right="1334" w:bottom="1260" w:left="1418" w:header="779" w:footer="983" w:gutter="0"/>
          <w:pgNumType w:start="12"/>
          <w:cols w:space="708"/>
          <w:titlePg w:val="0"/>
        </w:sectPr>
      </w:pPr>
    </w:p>
    <w:p>
      <w:pPr>
        <w:spacing w:line="250" w:lineRule="auto"/>
        <w:rPr>
          <w:rFonts w:ascii="Arial"/>
          <w:sz w:val="21"/>
        </w:rPr>
      </w:pPr>
    </w:p>
    <w:p>
      <w:pPr>
        <w:spacing w:line="251" w:lineRule="auto"/>
        <w:rPr>
          <w:rFonts w:ascii="Arial"/>
          <w:sz w:val="21"/>
        </w:rPr>
      </w:pPr>
    </w:p>
    <w:p>
      <w:pPr>
        <w:pStyle w:val="BodyText"/>
        <w:spacing w:before="78" w:line="220" w:lineRule="auto"/>
        <w:ind w:left="478"/>
      </w:pPr>
      <w:r>
        <w:rPr>
          <w:rFonts w:ascii="Times New Roman" w:eastAsia="Times New Roman" w:hAnsi="Times New Roman" w:cs="Times New Roman"/>
        </w:rPr>
        <w:t>——</w:t>
      </w:r>
      <w:r>
        <w:t>风险应对措施的可靠性、失效的可能性。</w:t>
      </w:r>
    </w:p>
    <w:p>
      <w:pPr>
        <w:pStyle w:val="BodyText"/>
        <w:spacing w:before="143" w:line="220" w:lineRule="auto"/>
        <w:ind w:left="3"/>
      </w:pPr>
      <w:r>
        <w:rPr>
          <w:rFonts w:ascii="Arial" w:eastAsia="Arial" w:hAnsi="Arial" w:cs="Arial"/>
          <w:spacing w:val="-2"/>
        </w:rPr>
        <w:t>4.5.2</w:t>
      </w:r>
      <w:r>
        <w:rPr>
          <w:rFonts w:ascii="Arial" w:eastAsia="Arial" w:hAnsi="Arial" w:cs="Arial"/>
          <w:spacing w:val="70"/>
        </w:rPr>
        <w:t xml:space="preserve"> </w:t>
      </w:r>
      <w:r>
        <w:rPr>
          <w:spacing w:val="-2"/>
        </w:rPr>
        <w:t>风险应对措施</w:t>
      </w:r>
    </w:p>
    <w:p>
      <w:pPr>
        <w:pStyle w:val="BodyText"/>
        <w:spacing w:before="141" w:line="360" w:lineRule="auto"/>
        <w:ind w:left="8" w:right="83" w:firstLine="486"/>
      </w:pPr>
      <w:r>
        <w:rPr>
          <w:spacing w:val="5"/>
        </w:rPr>
        <w:t>实验室管理层和其他利益相关者宜了解在采取风险应对措施后剩余风险的性</w:t>
      </w:r>
      <w:r>
        <w:rPr>
          <w:spacing w:val="4"/>
        </w:rPr>
        <w:t>质和</w:t>
      </w:r>
      <w:r>
        <w:t xml:space="preserve"> </w:t>
      </w:r>
      <w:r>
        <w:rPr>
          <w:spacing w:val="-2"/>
        </w:rPr>
        <w:t>程度。实验室可记录剩余风险，对其进行监督和检查，并适时采取进一步应对措施，直</w:t>
      </w:r>
    </w:p>
    <w:p>
      <w:pPr>
        <w:pStyle w:val="BodyText"/>
        <w:spacing w:line="219" w:lineRule="auto"/>
        <w:ind w:left="16"/>
      </w:pPr>
      <w:r>
        <w:rPr>
          <w:spacing w:val="-2"/>
        </w:rPr>
        <w:t>到剩余风险可以承受。</w:t>
      </w:r>
    </w:p>
    <w:p>
      <w:pPr>
        <w:pStyle w:val="BodyText"/>
        <w:spacing w:before="182" w:line="220" w:lineRule="auto"/>
        <w:ind w:left="495"/>
      </w:pPr>
      <w:r>
        <w:rPr>
          <w:spacing w:val="-1"/>
        </w:rPr>
        <w:t>实验室的风险应对措施，一般包括但不限于：</w:t>
      </w:r>
    </w:p>
    <w:p>
      <w:pPr>
        <w:pStyle w:val="BodyText"/>
        <w:spacing w:before="182" w:line="219" w:lineRule="auto"/>
        <w:ind w:left="478"/>
      </w:pPr>
      <w:r>
        <w:rPr>
          <w:rFonts w:ascii="Times New Roman" w:eastAsia="Times New Roman" w:hAnsi="Times New Roman" w:cs="Times New Roman"/>
          <w:spacing w:val="-1"/>
        </w:rPr>
        <w:t>——</w:t>
      </w:r>
      <w:r>
        <w:rPr>
          <w:rFonts w:ascii="Times New Roman" w:eastAsia="Times New Roman" w:hAnsi="Times New Roman" w:cs="Times New Roman"/>
          <w:spacing w:val="-33"/>
        </w:rPr>
        <w:t xml:space="preserve"> </w:t>
      </w:r>
      <w:r>
        <w:rPr>
          <w:spacing w:val="-1"/>
        </w:rPr>
        <w:t>决定不开始或退出会导致风险的校准活动，以规避风险；</w:t>
      </w:r>
    </w:p>
    <w:p>
      <w:pPr>
        <w:pStyle w:val="BodyText"/>
        <w:spacing w:before="184" w:line="219" w:lineRule="auto"/>
        <w:ind w:left="478"/>
      </w:pPr>
      <w:r>
        <w:rPr>
          <w:rFonts w:ascii="Times New Roman" w:eastAsia="Times New Roman" w:hAnsi="Times New Roman" w:cs="Times New Roman"/>
        </w:rPr>
        <w:t>——</w:t>
      </w:r>
      <w:r>
        <w:t>消除具有负面影响的风险源；</w:t>
      </w:r>
    </w:p>
    <w:p>
      <w:pPr>
        <w:pStyle w:val="BodyText"/>
        <w:spacing w:before="182" w:line="219" w:lineRule="auto"/>
        <w:ind w:left="478"/>
      </w:pPr>
      <w:r>
        <w:rPr>
          <w:rFonts w:ascii="Times New Roman" w:eastAsia="Times New Roman" w:hAnsi="Times New Roman" w:cs="Times New Roman"/>
          <w:spacing w:val="-2"/>
        </w:rPr>
        <w:t>——</w:t>
      </w:r>
      <w:r>
        <w:rPr>
          <w:rFonts w:ascii="Times New Roman" w:eastAsia="Times New Roman" w:hAnsi="Times New Roman" w:cs="Times New Roman"/>
          <w:spacing w:val="-22"/>
        </w:rPr>
        <w:t xml:space="preserve"> </w:t>
      </w:r>
      <w:r>
        <w:rPr>
          <w:spacing w:val="-2"/>
        </w:rPr>
        <w:t>降低风险事件发生的可能性及其分布；</w:t>
      </w:r>
    </w:p>
    <w:p>
      <w:pPr>
        <w:pStyle w:val="BodyText"/>
        <w:spacing w:before="184" w:line="219" w:lineRule="auto"/>
        <w:ind w:left="478"/>
      </w:pPr>
      <w:r>
        <w:rPr>
          <w:rFonts w:ascii="Times New Roman" w:eastAsia="Times New Roman" w:hAnsi="Times New Roman" w:cs="Times New Roman"/>
          <w:spacing w:val="-1"/>
        </w:rPr>
        <w:t>——</w:t>
      </w:r>
      <w:r>
        <w:rPr>
          <w:rFonts w:ascii="Times New Roman" w:eastAsia="Times New Roman" w:hAnsi="Times New Roman" w:cs="Times New Roman"/>
          <w:spacing w:val="-41"/>
        </w:rPr>
        <w:t xml:space="preserve"> </w:t>
      </w:r>
      <w:r>
        <w:rPr>
          <w:spacing w:val="-1"/>
        </w:rPr>
        <w:t>改变风险事件发生后可能导致的后果；</w:t>
      </w:r>
    </w:p>
    <w:p>
      <w:pPr>
        <w:pStyle w:val="BodyText"/>
        <w:spacing w:before="183" w:line="220" w:lineRule="auto"/>
        <w:ind w:left="478"/>
      </w:pPr>
      <w:r>
        <w:rPr>
          <w:rFonts w:ascii="Times New Roman" w:eastAsia="Times New Roman" w:hAnsi="Times New Roman" w:cs="Times New Roman"/>
        </w:rPr>
        <w:t>——</w:t>
      </w:r>
      <w:r>
        <w:t>分担风险（如通过签订合同，购买保险）；</w:t>
      </w:r>
    </w:p>
    <w:p>
      <w:pPr>
        <w:pStyle w:val="BodyText"/>
        <w:spacing w:before="182" w:line="219" w:lineRule="auto"/>
        <w:ind w:left="478"/>
      </w:pPr>
      <w:r>
        <w:rPr>
          <w:rFonts w:ascii="Times New Roman" w:eastAsia="Times New Roman" w:hAnsi="Times New Roman" w:cs="Times New Roman"/>
        </w:rPr>
        <w:t>——</w:t>
      </w:r>
      <w:r>
        <w:t>承担或增加风险，以寻求机会。</w:t>
      </w:r>
    </w:p>
    <w:p>
      <w:pPr>
        <w:pStyle w:val="BodyText"/>
        <w:spacing w:before="184" w:line="468" w:lineRule="exact"/>
        <w:ind w:left="490"/>
      </w:pPr>
      <w:r>
        <w:rPr>
          <w:spacing w:val="-2"/>
          <w:position w:val="17"/>
        </w:rPr>
        <w:t>本文件提供了实验室的认可评审严重不符合项示例、问题发现与可预见风险源的示</w:t>
      </w:r>
    </w:p>
    <w:p>
      <w:pPr>
        <w:pStyle w:val="BodyText"/>
        <w:spacing w:before="1" w:line="217" w:lineRule="auto"/>
        <w:jc w:val="right"/>
      </w:pPr>
      <w:r>
        <w:rPr>
          <w:spacing w:val="-6"/>
        </w:rPr>
        <w:t>例、风险评估和风险应对实施示例，以提高实验室风险管理的实际应用能力，详见附录。</w:t>
      </w:r>
    </w:p>
    <w:p>
      <w:pPr>
        <w:spacing w:line="217" w:lineRule="auto"/>
        <w:sectPr>
          <w:headerReference w:type="default" r:id="rId28"/>
          <w:footerReference w:type="default" r:id="rId29"/>
          <w:pgSz w:w="11906" w:h="16839"/>
          <w:pgMar w:top="1091" w:right="1334" w:bottom="1260" w:left="1418" w:header="779" w:footer="983" w:gutter="0"/>
          <w:pgNumType w:start="13"/>
          <w:cols w:space="708"/>
        </w:sectPr>
      </w:pPr>
    </w:p>
    <w:p>
      <w:pPr>
        <w:spacing w:line="264" w:lineRule="auto"/>
        <w:rPr>
          <w:rFonts w:ascii="Arial"/>
          <w:sz w:val="21"/>
        </w:rPr>
      </w:pPr>
    </w:p>
    <w:p>
      <w:pPr>
        <w:spacing w:line="264" w:lineRule="auto"/>
        <w:rPr>
          <w:rFonts w:ascii="Arial"/>
          <w:sz w:val="21"/>
        </w:rPr>
      </w:pPr>
    </w:p>
    <w:p>
      <w:pPr>
        <w:spacing w:before="97" w:line="222" w:lineRule="auto"/>
        <w:ind w:left="28"/>
        <w:rPr>
          <w:rFonts w:ascii="SimHei" w:eastAsia="SimHei" w:hAnsi="SimHei" w:cs="SimHei"/>
          <w:sz w:val="28"/>
          <w:szCs w:val="28"/>
        </w:rPr>
      </w:pPr>
      <w:r>
        <w:rPr>
          <w:rFonts w:ascii="SimHei" w:eastAsia="SimHei" w:hAnsi="SimHei" w:cs="SimHei"/>
          <w:spacing w:val="-3"/>
          <w:sz w:val="30"/>
          <w:szCs w:val="30"/>
          <w14:textOutline w14:w="5448" w14:cap="sq">
            <w14:solidFill>
              <w14:srgbClr w14:val="000000"/>
            </w14:solidFill>
            <w14:prstDash w14:val="solid"/>
            <w14:bevel/>
          </w14:textOutline>
        </w:rPr>
        <w:t>附录</w:t>
      </w:r>
      <w:r>
        <w:rPr>
          <w:rFonts w:ascii="SimHei" w:eastAsia="SimHei" w:hAnsi="SimHei" w:cs="SimHei"/>
          <w:spacing w:val="-3"/>
          <w:sz w:val="28"/>
          <w:szCs w:val="28"/>
          <w14:textOutline w14:w="5103" w14:cap="sq">
            <w14:solidFill>
              <w14:srgbClr w14:val="000000"/>
            </w14:solidFill>
            <w14:prstDash w14:val="solid"/>
            <w14:bevel/>
          </w14:textOutline>
        </w:rPr>
        <w:t>（资料性附录）</w:t>
      </w:r>
    </w:p>
    <w:p>
      <w:pPr>
        <w:spacing w:before="254" w:line="227" w:lineRule="auto"/>
        <w:ind w:left="1987"/>
        <w:rPr>
          <w:rFonts w:ascii="SimHei" w:eastAsia="SimHei" w:hAnsi="SimHei" w:cs="SimHei"/>
          <w:sz w:val="31"/>
          <w:szCs w:val="31"/>
        </w:rPr>
      </w:pPr>
      <w:r>
        <w:rPr>
          <w:rFonts w:ascii="SimHei" w:eastAsia="SimHei" w:hAnsi="SimHei" w:cs="SimHei"/>
          <w:spacing w:val="9"/>
          <w:sz w:val="31"/>
          <w:szCs w:val="31"/>
          <w14:textOutline w14:w="5793" w14:cap="sq">
            <w14:solidFill>
              <w14:srgbClr w14:val="000000"/>
            </w14:solidFill>
            <w14:prstDash w14:val="solid"/>
            <w14:bevel/>
          </w14:textOutline>
        </w:rPr>
        <w:t>实验室风险评估和风险应对实施示例</w:t>
      </w:r>
    </w:p>
    <w:p>
      <w:pPr>
        <w:pStyle w:val="BodyText"/>
        <w:spacing w:before="164" w:line="280" w:lineRule="auto"/>
        <w:ind w:left="10" w:right="83" w:firstLine="484"/>
      </w:pPr>
      <w:r>
        <w:rPr>
          <w:spacing w:val="-3"/>
        </w:rPr>
        <w:t>结合实验室认可评审中存在的典型问题，表</w:t>
      </w:r>
      <w:r>
        <w:rPr>
          <w:spacing w:val="-18"/>
        </w:rPr>
        <w:t xml:space="preserve"> </w:t>
      </w:r>
      <w:r>
        <w:rPr>
          <w:rFonts w:ascii="Times New Roman" w:eastAsia="Times New Roman" w:hAnsi="Times New Roman" w:cs="Times New Roman"/>
          <w:spacing w:val="-3"/>
        </w:rPr>
        <w:t xml:space="preserve">1 </w:t>
      </w:r>
      <w:r>
        <w:rPr>
          <w:spacing w:val="-3"/>
        </w:rPr>
        <w:t>给出了严重不符合项示例。表</w:t>
      </w:r>
      <w:r>
        <w:rPr>
          <w:spacing w:val="-55"/>
        </w:rPr>
        <w:t xml:space="preserve"> </w:t>
      </w:r>
      <w:r>
        <w:rPr>
          <w:rFonts w:ascii="Times New Roman" w:eastAsia="Times New Roman" w:hAnsi="Times New Roman" w:cs="Times New Roman"/>
          <w:spacing w:val="-3"/>
        </w:rPr>
        <w:t xml:space="preserve">2 </w:t>
      </w:r>
      <w:r>
        <w:rPr>
          <w:spacing w:val="-3"/>
        </w:rPr>
        <w:t>举例</w:t>
      </w:r>
      <w:r>
        <w:t xml:space="preserve"> </w:t>
      </w:r>
      <w:r>
        <w:rPr>
          <w:spacing w:val="-2"/>
        </w:rPr>
        <w:t>说明了问题发现与可预见风险源之间的关系，该列表并不详尽，旨在展示需要考虑的不</w:t>
      </w:r>
      <w:r>
        <w:rPr>
          <w:spacing w:val="14"/>
        </w:rPr>
        <w:t xml:space="preserve"> </w:t>
      </w:r>
      <w:r>
        <w:rPr>
          <w:spacing w:val="-2"/>
        </w:rPr>
        <w:t>同方面的风险源。从通用要求、结构要求、资源要求、过程要求、管理体系要求、其他</w:t>
      </w:r>
      <w:r>
        <w:rPr>
          <w:spacing w:val="14"/>
        </w:rPr>
        <w:t xml:space="preserve"> </w:t>
      </w:r>
      <w:r>
        <w:rPr>
          <w:spacing w:val="-1"/>
        </w:rPr>
        <w:t>要求等</w:t>
      </w:r>
      <w:r>
        <w:rPr>
          <w:spacing w:val="-50"/>
        </w:rPr>
        <w:t xml:space="preserve"> </w:t>
      </w:r>
      <w:r>
        <w:rPr>
          <w:rFonts w:ascii="Times New Roman" w:eastAsia="Times New Roman" w:hAnsi="Times New Roman" w:cs="Times New Roman"/>
          <w:spacing w:val="-1"/>
        </w:rPr>
        <w:t xml:space="preserve">6 </w:t>
      </w:r>
      <w:r>
        <w:rPr>
          <w:spacing w:val="-1"/>
        </w:rPr>
        <w:t>个方面识别风险源，表</w:t>
      </w:r>
      <w:r>
        <w:rPr>
          <w:spacing w:val="-50"/>
        </w:rPr>
        <w:t xml:space="preserve"> </w:t>
      </w:r>
      <w:r>
        <w:rPr>
          <w:rFonts w:ascii="Times New Roman" w:eastAsia="Times New Roman" w:hAnsi="Times New Roman" w:cs="Times New Roman"/>
          <w:spacing w:val="-1"/>
        </w:rPr>
        <w:t xml:space="preserve">3 </w:t>
      </w:r>
      <w:r>
        <w:rPr>
          <w:spacing w:val="-1"/>
        </w:rPr>
        <w:t>给出了风险识别过程</w:t>
      </w:r>
      <w:r>
        <w:rPr>
          <w:spacing w:val="-2"/>
        </w:rPr>
        <w:t>示例。</w:t>
      </w:r>
    </w:p>
    <w:p>
      <w:pPr>
        <w:pStyle w:val="BodyText"/>
        <w:spacing w:before="105" w:line="273" w:lineRule="auto"/>
        <w:ind w:left="8" w:right="83" w:firstLine="480"/>
      </w:pPr>
      <w:r>
        <w:rPr>
          <w:spacing w:val="-2"/>
        </w:rPr>
        <w:t>根据表</w:t>
      </w:r>
      <w:r>
        <w:rPr>
          <w:spacing w:val="-49"/>
        </w:rPr>
        <w:t xml:space="preserve"> </w:t>
      </w:r>
      <w:r>
        <w:rPr>
          <w:rFonts w:ascii="Times New Roman" w:eastAsia="Times New Roman" w:hAnsi="Times New Roman" w:cs="Times New Roman"/>
          <w:spacing w:val="-2"/>
        </w:rPr>
        <w:t xml:space="preserve">3 </w:t>
      </w:r>
      <w:r>
        <w:rPr>
          <w:spacing w:val="-2"/>
        </w:rPr>
        <w:t>给出的示例，表</w:t>
      </w:r>
      <w:r>
        <w:rPr>
          <w:spacing w:val="-56"/>
        </w:rPr>
        <w:t xml:space="preserve"> </w:t>
      </w:r>
      <w:r>
        <w:rPr>
          <w:rFonts w:ascii="Times New Roman" w:eastAsia="Times New Roman" w:hAnsi="Times New Roman" w:cs="Times New Roman"/>
          <w:spacing w:val="-2"/>
        </w:rPr>
        <w:t xml:space="preserve">4 </w:t>
      </w:r>
      <w:r>
        <w:rPr>
          <w:spacing w:val="-2"/>
        </w:rPr>
        <w:t>给出了对应的风险评价和风险应对措施过程示例。风险</w:t>
      </w:r>
      <w:r>
        <w:t xml:space="preserve"> </w:t>
      </w:r>
      <w:r>
        <w:rPr>
          <w:spacing w:val="-2"/>
        </w:rPr>
        <w:t>评估有很多种技术，总体来说，所选技术方法的数量和类型，宜与实验室管理层决策的</w:t>
      </w:r>
      <w:r>
        <w:rPr>
          <w:spacing w:val="16"/>
        </w:rPr>
        <w:t xml:space="preserve"> </w:t>
      </w:r>
      <w:r>
        <w:rPr>
          <w:spacing w:val="-1"/>
        </w:rPr>
        <w:t>重要程度相符，并考虑时间和其他资源的限制以及机会成本。</w:t>
      </w:r>
    </w:p>
    <w:p>
      <w:pPr>
        <w:pStyle w:val="BodyText"/>
        <w:spacing w:before="105" w:line="260" w:lineRule="auto"/>
        <w:ind w:left="9" w:right="85" w:firstLine="481"/>
      </w:pPr>
      <w:r>
        <w:t>参考</w:t>
      </w:r>
      <w:r>
        <w:rPr>
          <w:spacing w:val="-51"/>
        </w:rPr>
        <w:t xml:space="preserve"> </w:t>
      </w:r>
      <w:r>
        <w:rPr>
          <w:rFonts w:ascii="Times New Roman" w:eastAsia="Times New Roman" w:hAnsi="Times New Roman" w:cs="Times New Roman"/>
        </w:rPr>
        <w:t>GB/T 27921</w:t>
      </w:r>
      <w:r>
        <w:t>《风险管理 风险</w:t>
      </w:r>
      <w:r>
        <w:rPr>
          <w:spacing w:val="-1"/>
        </w:rPr>
        <w:t>评估技术》，以风险指数矩阵法为示例，实验室</w:t>
      </w:r>
      <w:r>
        <w:t xml:space="preserve"> </w:t>
      </w:r>
      <w:r>
        <w:rPr>
          <w:spacing w:val="-2"/>
        </w:rPr>
        <w:t>全面识别风险源、风险事件，将相关信息填入风险识别表</w:t>
      </w:r>
      <w:r>
        <w:rPr>
          <w:spacing w:val="-47"/>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32"/>
          <w:w w:val="101"/>
        </w:rPr>
        <w:t xml:space="preserve"> </w:t>
      </w:r>
      <w:r>
        <w:rPr>
          <w:spacing w:val="-2"/>
        </w:rPr>
        <w:t>中。</w:t>
      </w:r>
    </w:p>
    <w:p>
      <w:pPr>
        <w:pStyle w:val="BodyText"/>
        <w:spacing w:before="104" w:line="273" w:lineRule="auto"/>
        <w:ind w:left="7" w:right="22" w:firstLine="480"/>
      </w:pPr>
      <w:r>
        <w:rPr>
          <w:spacing w:val="-4"/>
        </w:rPr>
        <w:t>将风险严重程度</w:t>
      </w:r>
      <w:r>
        <w:rPr>
          <w:spacing w:val="-45"/>
        </w:rPr>
        <w:t xml:space="preserve"> </w:t>
      </w:r>
      <w:r>
        <w:rPr>
          <w:rFonts w:ascii="Times New Roman" w:eastAsia="Times New Roman" w:hAnsi="Times New Roman" w:cs="Times New Roman"/>
          <w:spacing w:val="-4"/>
        </w:rPr>
        <w:t xml:space="preserve">S1 </w:t>
      </w:r>
      <w:r>
        <w:rPr>
          <w:spacing w:val="-4"/>
        </w:rPr>
        <w:t>或</w:t>
      </w:r>
      <w:r>
        <w:rPr>
          <w:spacing w:val="-45"/>
        </w:rPr>
        <w:t xml:space="preserve"> </w:t>
      </w:r>
      <w:r>
        <w:rPr>
          <w:rFonts w:ascii="Times New Roman" w:eastAsia="Times New Roman" w:hAnsi="Times New Roman" w:cs="Times New Roman"/>
          <w:spacing w:val="-4"/>
        </w:rPr>
        <w:t xml:space="preserve">S2 </w:t>
      </w:r>
      <w:r>
        <w:rPr>
          <w:spacing w:val="-4"/>
        </w:rPr>
        <w:t>或</w:t>
      </w:r>
      <w:r>
        <w:rPr>
          <w:spacing w:val="-45"/>
        </w:rPr>
        <w:t xml:space="preserve"> </w:t>
      </w:r>
      <w:r>
        <w:rPr>
          <w:rFonts w:ascii="Times New Roman" w:eastAsia="Times New Roman" w:hAnsi="Times New Roman" w:cs="Times New Roman"/>
          <w:spacing w:val="-4"/>
        </w:rPr>
        <w:t>S3</w:t>
      </w:r>
      <w:r>
        <w:rPr>
          <w:spacing w:val="-4"/>
        </w:rPr>
        <w:t>，发</w:t>
      </w:r>
      <w:r>
        <w:rPr>
          <w:spacing w:val="-5"/>
        </w:rPr>
        <w:t>生的频率</w:t>
      </w:r>
      <w:r>
        <w:rPr>
          <w:spacing w:val="-56"/>
        </w:rPr>
        <w:t xml:space="preserve"> </w:t>
      </w:r>
      <w:r>
        <w:rPr>
          <w:rFonts w:ascii="Times New Roman" w:eastAsia="Times New Roman" w:hAnsi="Times New Roman" w:cs="Times New Roman"/>
          <w:spacing w:val="-5"/>
        </w:rPr>
        <w:t>F1</w:t>
      </w:r>
      <w:r>
        <w:rPr>
          <w:rFonts w:ascii="Times New Roman" w:eastAsia="Times New Roman" w:hAnsi="Times New Roman" w:cs="Times New Roman"/>
          <w:spacing w:val="14"/>
        </w:rPr>
        <w:t xml:space="preserve"> </w:t>
      </w:r>
      <w:r>
        <w:rPr>
          <w:spacing w:val="-5"/>
        </w:rPr>
        <w:t>或</w:t>
      </w:r>
      <w:r>
        <w:rPr>
          <w:spacing w:val="-56"/>
        </w:rPr>
        <w:t xml:space="preserve"> </w:t>
      </w:r>
      <w:r>
        <w:rPr>
          <w:rFonts w:ascii="Times New Roman" w:eastAsia="Times New Roman" w:hAnsi="Times New Roman" w:cs="Times New Roman"/>
          <w:spacing w:val="-5"/>
        </w:rPr>
        <w:t>F2</w:t>
      </w:r>
      <w:r>
        <w:rPr>
          <w:spacing w:val="-5"/>
        </w:rPr>
        <w:t>，事件的发生概率</w:t>
      </w:r>
      <w:r>
        <w:rPr>
          <w:spacing w:val="-51"/>
        </w:rPr>
        <w:t xml:space="preserve"> </w:t>
      </w:r>
      <w:r>
        <w:rPr>
          <w:rFonts w:ascii="Times New Roman" w:eastAsia="Times New Roman" w:hAnsi="Times New Roman" w:cs="Times New Roman"/>
          <w:spacing w:val="-5"/>
        </w:rPr>
        <w:t xml:space="preserve">O1 </w:t>
      </w:r>
      <w:r>
        <w:rPr>
          <w:spacing w:val="-5"/>
        </w:rPr>
        <w:t>或</w:t>
      </w:r>
      <w:r>
        <w:rPr>
          <w:spacing w:val="-52"/>
        </w:rPr>
        <w:t xml:space="preserve"> </w:t>
      </w:r>
      <w:r>
        <w:rPr>
          <w:rFonts w:ascii="Times New Roman" w:eastAsia="Times New Roman" w:hAnsi="Times New Roman" w:cs="Times New Roman"/>
          <w:spacing w:val="-5"/>
        </w:rPr>
        <w:t>O2</w:t>
      </w:r>
      <w:r>
        <w:rPr>
          <w:spacing w:val="-5"/>
        </w:rPr>
        <w:t>，</w:t>
      </w:r>
      <w:r>
        <w:t xml:space="preserve"> </w:t>
      </w:r>
      <w:r>
        <w:rPr>
          <w:spacing w:val="-3"/>
        </w:rPr>
        <w:t>避免的可能性</w:t>
      </w:r>
      <w:r>
        <w:rPr>
          <w:spacing w:val="-56"/>
        </w:rPr>
        <w:t xml:space="preserve"> </w:t>
      </w:r>
      <w:r>
        <w:rPr>
          <w:rFonts w:ascii="Times New Roman" w:eastAsia="Times New Roman" w:hAnsi="Times New Roman" w:cs="Times New Roman"/>
          <w:spacing w:val="-3"/>
        </w:rPr>
        <w:t xml:space="preserve">P1 </w:t>
      </w:r>
      <w:r>
        <w:rPr>
          <w:spacing w:val="-3"/>
        </w:rPr>
        <w:t>或</w:t>
      </w:r>
      <w:r>
        <w:rPr>
          <w:spacing w:val="-56"/>
        </w:rPr>
        <w:t xml:space="preserve"> </w:t>
      </w:r>
      <w:r>
        <w:rPr>
          <w:rFonts w:ascii="Times New Roman" w:eastAsia="Times New Roman" w:hAnsi="Times New Roman" w:cs="Times New Roman"/>
          <w:spacing w:val="-3"/>
        </w:rPr>
        <w:t xml:space="preserve">P2 </w:t>
      </w:r>
      <w:r>
        <w:rPr>
          <w:spacing w:val="-3"/>
        </w:rPr>
        <w:t>填入等效风险指数矩阵图（图</w:t>
      </w:r>
      <w:r>
        <w:rPr>
          <w:spacing w:val="-32"/>
        </w:rPr>
        <w:t xml:space="preserve"> </w:t>
      </w:r>
      <w:r>
        <w:rPr>
          <w:rFonts w:ascii="Times New Roman" w:eastAsia="Times New Roman" w:hAnsi="Times New Roman" w:cs="Times New Roman"/>
          <w:spacing w:val="-3"/>
        </w:rPr>
        <w:t>1</w:t>
      </w:r>
      <w:r>
        <w:rPr>
          <w:spacing w:val="-3"/>
        </w:rPr>
        <w:t>）中，得到风险指数</w:t>
      </w:r>
      <w:r>
        <w:rPr>
          <w:spacing w:val="-56"/>
        </w:rPr>
        <w:t xml:space="preserve"> </w:t>
      </w:r>
      <w:r>
        <w:rPr>
          <w:rFonts w:ascii="Times New Roman" w:eastAsia="Times New Roman" w:hAnsi="Times New Roman" w:cs="Times New Roman"/>
          <w:spacing w:val="-3"/>
        </w:rPr>
        <w:t>RI</w:t>
      </w:r>
      <w:r>
        <w:rPr>
          <w:spacing w:val="-3"/>
        </w:rPr>
        <w:t>，每个风</w:t>
      </w:r>
      <w:r>
        <w:t xml:space="preserve"> </w:t>
      </w:r>
      <w:r>
        <w:rPr>
          <w:spacing w:val="-1"/>
        </w:rPr>
        <w:t>险处境都配一个风险指数。</w:t>
      </w:r>
    </w:p>
    <w:p>
      <w:pPr>
        <w:pStyle w:val="BodyText"/>
        <w:spacing w:before="107" w:line="258" w:lineRule="auto"/>
        <w:ind w:left="4" w:right="3" w:firstLine="486"/>
      </w:pPr>
      <w:r>
        <w:rPr>
          <w:spacing w:val="-7"/>
        </w:rPr>
        <w:t>风险指数</w:t>
      </w:r>
      <w:r>
        <w:rPr>
          <w:spacing w:val="-56"/>
        </w:rPr>
        <w:t xml:space="preserve"> </w:t>
      </w:r>
      <w:r>
        <w:rPr>
          <w:rFonts w:ascii="Times New Roman" w:eastAsia="Times New Roman" w:hAnsi="Times New Roman" w:cs="Times New Roman"/>
          <w:spacing w:val="-7"/>
        </w:rPr>
        <w:t xml:space="preserve">RI </w:t>
      </w:r>
      <w:r>
        <w:rPr>
          <w:spacing w:val="-7"/>
        </w:rPr>
        <w:t>是</w:t>
      </w:r>
      <w:r>
        <w:rPr>
          <w:spacing w:val="-45"/>
        </w:rPr>
        <w:t xml:space="preserve"> </w:t>
      </w:r>
      <w:r>
        <w:rPr>
          <w:rFonts w:ascii="Times New Roman" w:eastAsia="Times New Roman" w:hAnsi="Times New Roman" w:cs="Times New Roman"/>
          <w:spacing w:val="-7"/>
        </w:rPr>
        <w:t>S</w:t>
      </w:r>
      <w:r>
        <w:rPr>
          <w:rFonts w:ascii="Times New Roman" w:eastAsia="Times New Roman" w:hAnsi="Times New Roman" w:cs="Times New Roman"/>
          <w:spacing w:val="-35"/>
        </w:rPr>
        <w:t xml:space="preserve"> </w:t>
      </w:r>
      <w:r>
        <w:rPr>
          <w:spacing w:val="-7"/>
        </w:rPr>
        <w:t>、</w:t>
      </w:r>
      <w:r>
        <w:rPr>
          <w:rFonts w:ascii="Times New Roman" w:eastAsia="Times New Roman" w:hAnsi="Times New Roman" w:cs="Times New Roman"/>
          <w:spacing w:val="-7"/>
        </w:rPr>
        <w:t>F</w:t>
      </w:r>
      <w:r>
        <w:rPr>
          <w:rFonts w:ascii="Times New Roman" w:eastAsia="Times New Roman" w:hAnsi="Times New Roman" w:cs="Times New Roman"/>
          <w:spacing w:val="-35"/>
        </w:rPr>
        <w:t xml:space="preserve"> </w:t>
      </w:r>
      <w:r>
        <w:rPr>
          <w:spacing w:val="-7"/>
        </w:rPr>
        <w:t>、</w:t>
      </w:r>
      <w:r>
        <w:rPr>
          <w:rFonts w:ascii="Times New Roman" w:eastAsia="Times New Roman" w:hAnsi="Times New Roman" w:cs="Times New Roman"/>
          <w:spacing w:val="-7"/>
        </w:rPr>
        <w:t>O</w:t>
      </w:r>
      <w:r>
        <w:rPr>
          <w:rFonts w:ascii="Times New Roman" w:eastAsia="Times New Roman" w:hAnsi="Times New Roman" w:cs="Times New Roman"/>
          <w:spacing w:val="-35"/>
        </w:rPr>
        <w:t xml:space="preserve"> </w:t>
      </w:r>
      <w:r>
        <w:rPr>
          <w:spacing w:val="-7"/>
        </w:rPr>
        <w:t>、</w:t>
      </w:r>
      <w:r>
        <w:rPr>
          <w:rFonts w:ascii="Times New Roman" w:eastAsia="Times New Roman" w:hAnsi="Times New Roman" w:cs="Times New Roman"/>
          <w:spacing w:val="-7"/>
        </w:rPr>
        <w:t>P</w:t>
      </w:r>
      <w:r>
        <w:rPr>
          <w:rFonts w:ascii="Times New Roman" w:eastAsia="Times New Roman" w:hAnsi="Times New Roman" w:cs="Times New Roman"/>
          <w:spacing w:val="30"/>
          <w:w w:val="101"/>
        </w:rPr>
        <w:t xml:space="preserve"> </w:t>
      </w:r>
      <w:r>
        <w:rPr>
          <w:spacing w:val="-7"/>
        </w:rPr>
        <w:t>的综合评价结果。宜采用最保守的假设，对</w:t>
      </w:r>
      <w:r>
        <w:rPr>
          <w:spacing w:val="-45"/>
        </w:rPr>
        <w:t xml:space="preserve"> </w:t>
      </w:r>
      <w:r>
        <w:rPr>
          <w:rFonts w:ascii="Times New Roman" w:eastAsia="Times New Roman" w:hAnsi="Times New Roman" w:cs="Times New Roman"/>
          <w:spacing w:val="-7"/>
        </w:rPr>
        <w:t>S</w:t>
      </w:r>
      <w:r>
        <w:rPr>
          <w:rFonts w:ascii="Times New Roman" w:eastAsia="Times New Roman" w:hAnsi="Times New Roman" w:cs="Times New Roman"/>
          <w:spacing w:val="-35"/>
        </w:rPr>
        <w:t xml:space="preserve"> </w:t>
      </w:r>
      <w:r>
        <w:rPr>
          <w:spacing w:val="-8"/>
        </w:rPr>
        <w:t>、</w:t>
      </w:r>
      <w:r>
        <w:rPr>
          <w:rFonts w:ascii="Times New Roman" w:eastAsia="Times New Roman" w:hAnsi="Times New Roman" w:cs="Times New Roman"/>
          <w:spacing w:val="-8"/>
        </w:rPr>
        <w:t>F</w:t>
      </w:r>
      <w:r>
        <w:rPr>
          <w:rFonts w:ascii="Times New Roman" w:eastAsia="Times New Roman" w:hAnsi="Times New Roman" w:cs="Times New Roman"/>
          <w:spacing w:val="-36"/>
        </w:rPr>
        <w:t xml:space="preserve"> </w:t>
      </w:r>
      <w:r>
        <w:rPr>
          <w:spacing w:val="-8"/>
        </w:rPr>
        <w:t>、</w:t>
      </w:r>
      <w:r>
        <w:rPr>
          <w:rFonts w:ascii="Times New Roman" w:eastAsia="Times New Roman" w:hAnsi="Times New Roman" w:cs="Times New Roman"/>
          <w:spacing w:val="-8"/>
        </w:rPr>
        <w:t>O</w:t>
      </w:r>
      <w:r>
        <w:rPr>
          <w:spacing w:val="-8"/>
        </w:rPr>
        <w:t>、</w:t>
      </w:r>
      <w:r>
        <w:t xml:space="preserve"> </w:t>
      </w:r>
      <w:r>
        <w:rPr>
          <w:rFonts w:ascii="Times New Roman" w:eastAsia="Times New Roman" w:hAnsi="Times New Roman" w:cs="Times New Roman"/>
          <w:spacing w:val="-1"/>
        </w:rPr>
        <w:t xml:space="preserve">P </w:t>
      </w:r>
      <w:r>
        <w:rPr>
          <w:spacing w:val="-1"/>
        </w:rPr>
        <w:t>进行独立评价。</w:t>
      </w:r>
    </w:p>
    <w:p>
      <w:pPr>
        <w:pStyle w:val="BodyText"/>
        <w:spacing w:before="109" w:line="219" w:lineRule="auto"/>
        <w:ind w:left="490"/>
      </w:pPr>
      <w:r>
        <w:rPr>
          <w:spacing w:val="-2"/>
        </w:rPr>
        <w:t>风险严重程度</w:t>
      </w:r>
      <w:r>
        <w:rPr>
          <w:spacing w:val="-42"/>
        </w:rPr>
        <w:t xml:space="preserve"> </w:t>
      </w:r>
      <w:r>
        <w:rPr>
          <w:rFonts w:ascii="Times New Roman" w:eastAsia="Times New Roman" w:hAnsi="Times New Roman" w:cs="Times New Roman"/>
          <w:spacing w:val="-2"/>
        </w:rPr>
        <w:t>SI</w:t>
      </w:r>
      <w:r>
        <w:rPr>
          <w:spacing w:val="-2"/>
        </w:rPr>
        <w:t>：</w:t>
      </w:r>
      <w:r>
        <w:rPr>
          <w:rFonts w:ascii="Times New Roman" w:eastAsia="Times New Roman" w:hAnsi="Times New Roman" w:cs="Times New Roman"/>
          <w:spacing w:val="-2"/>
        </w:rPr>
        <w:t xml:space="preserve">S1 </w:t>
      </w:r>
      <w:r>
        <w:rPr>
          <w:spacing w:val="-2"/>
        </w:rPr>
        <w:t>轻度风险，</w:t>
      </w:r>
      <w:r>
        <w:rPr>
          <w:rFonts w:ascii="Times New Roman" w:eastAsia="Times New Roman" w:hAnsi="Times New Roman" w:cs="Times New Roman"/>
          <w:spacing w:val="-2"/>
        </w:rPr>
        <w:t>S2</w:t>
      </w:r>
      <w:r>
        <w:rPr>
          <w:rFonts w:ascii="Times New Roman" w:eastAsia="Times New Roman" w:hAnsi="Times New Roman" w:cs="Times New Roman"/>
          <w:spacing w:val="32"/>
          <w:w w:val="101"/>
        </w:rPr>
        <w:t xml:space="preserve"> </w:t>
      </w:r>
      <w:r>
        <w:rPr>
          <w:spacing w:val="-2"/>
        </w:rPr>
        <w:t>中度风险，</w:t>
      </w:r>
      <w:r>
        <w:rPr>
          <w:rFonts w:ascii="Times New Roman" w:eastAsia="Times New Roman" w:hAnsi="Times New Roman" w:cs="Times New Roman"/>
          <w:spacing w:val="-2"/>
        </w:rPr>
        <w:t xml:space="preserve">S3 </w:t>
      </w:r>
      <w:r>
        <w:rPr>
          <w:spacing w:val="-2"/>
        </w:rPr>
        <w:t>重度风险。</w:t>
      </w:r>
    </w:p>
    <w:p>
      <w:pPr>
        <w:pStyle w:val="BodyText"/>
        <w:spacing w:before="104" w:line="219" w:lineRule="auto"/>
        <w:ind w:left="490"/>
      </w:pPr>
      <w:r>
        <w:rPr>
          <w:spacing w:val="-1"/>
        </w:rPr>
        <w:t>风险发生的频率</w:t>
      </w:r>
      <w:r>
        <w:rPr>
          <w:spacing w:val="-46"/>
        </w:rPr>
        <w:t xml:space="preserve"> </w:t>
      </w:r>
      <w:r>
        <w:rPr>
          <w:rFonts w:ascii="Times New Roman" w:eastAsia="Times New Roman" w:hAnsi="Times New Roman" w:cs="Times New Roman"/>
          <w:spacing w:val="-1"/>
        </w:rPr>
        <w:t>FI</w:t>
      </w:r>
      <w:r>
        <w:rPr>
          <w:spacing w:val="-1"/>
        </w:rPr>
        <w:t>：</w:t>
      </w:r>
      <w:r>
        <w:rPr>
          <w:rFonts w:ascii="Times New Roman" w:eastAsia="Times New Roman" w:hAnsi="Times New Roman" w:cs="Times New Roman"/>
          <w:spacing w:val="-1"/>
        </w:rPr>
        <w:t xml:space="preserve">F1 </w:t>
      </w:r>
      <w:r>
        <w:rPr>
          <w:spacing w:val="-1"/>
        </w:rPr>
        <w:t>频率较低，</w:t>
      </w:r>
      <w:r>
        <w:rPr>
          <w:rFonts w:ascii="Times New Roman" w:eastAsia="Times New Roman" w:hAnsi="Times New Roman" w:cs="Times New Roman"/>
          <w:spacing w:val="-1"/>
        </w:rPr>
        <w:t xml:space="preserve">F2 </w:t>
      </w:r>
      <w:r>
        <w:rPr>
          <w:spacing w:val="-1"/>
        </w:rPr>
        <w:t>频率较高。</w:t>
      </w:r>
    </w:p>
    <w:p>
      <w:pPr>
        <w:pStyle w:val="BodyText"/>
        <w:spacing w:before="106" w:line="219" w:lineRule="auto"/>
        <w:ind w:left="489"/>
      </w:pPr>
      <w:r>
        <w:rPr>
          <w:spacing w:val="-1"/>
        </w:rPr>
        <w:t>事件发生的概率</w:t>
      </w:r>
      <w:r>
        <w:rPr>
          <w:spacing w:val="-47"/>
        </w:rPr>
        <w:t xml:space="preserve"> </w:t>
      </w:r>
      <w:r>
        <w:rPr>
          <w:rFonts w:ascii="Times New Roman" w:eastAsia="Times New Roman" w:hAnsi="Times New Roman" w:cs="Times New Roman"/>
          <w:spacing w:val="-1"/>
        </w:rPr>
        <w:t>OI</w:t>
      </w:r>
      <w:r>
        <w:rPr>
          <w:spacing w:val="-1"/>
        </w:rPr>
        <w:t>：</w:t>
      </w:r>
      <w:r>
        <w:rPr>
          <w:rFonts w:ascii="Times New Roman" w:eastAsia="Times New Roman" w:hAnsi="Times New Roman" w:cs="Times New Roman"/>
          <w:spacing w:val="-1"/>
        </w:rPr>
        <w:t xml:space="preserve">O1 </w:t>
      </w:r>
      <w:r>
        <w:rPr>
          <w:spacing w:val="-1"/>
        </w:rPr>
        <w:t>概率较小，</w:t>
      </w:r>
      <w:r>
        <w:rPr>
          <w:rFonts w:ascii="Times New Roman" w:eastAsia="Times New Roman" w:hAnsi="Times New Roman" w:cs="Times New Roman"/>
          <w:spacing w:val="-1"/>
        </w:rPr>
        <w:t xml:space="preserve">O2 </w:t>
      </w:r>
      <w:r>
        <w:rPr>
          <w:spacing w:val="-1"/>
        </w:rPr>
        <w:t>概率较大。</w:t>
      </w:r>
    </w:p>
    <w:p>
      <w:pPr>
        <w:pStyle w:val="BodyText"/>
        <w:spacing w:before="104" w:line="220" w:lineRule="auto"/>
        <w:ind w:left="490"/>
      </w:pPr>
      <w:r>
        <w:rPr>
          <w:spacing w:val="-1"/>
        </w:rPr>
        <w:t>风险避免可能性</w:t>
      </w:r>
      <w:r>
        <w:rPr>
          <w:spacing w:val="-44"/>
        </w:rPr>
        <w:t xml:space="preserve"> </w:t>
      </w:r>
      <w:r>
        <w:rPr>
          <w:rFonts w:ascii="Times New Roman" w:eastAsia="Times New Roman" w:hAnsi="Times New Roman" w:cs="Times New Roman"/>
          <w:spacing w:val="-1"/>
        </w:rPr>
        <w:t>PI</w:t>
      </w:r>
      <w:r>
        <w:rPr>
          <w:spacing w:val="-1"/>
        </w:rPr>
        <w:t>：</w:t>
      </w:r>
      <w:r>
        <w:rPr>
          <w:rFonts w:ascii="Times New Roman" w:eastAsia="Times New Roman" w:hAnsi="Times New Roman" w:cs="Times New Roman"/>
          <w:spacing w:val="-1"/>
        </w:rPr>
        <w:t xml:space="preserve">P1 </w:t>
      </w:r>
      <w:r>
        <w:rPr>
          <w:spacing w:val="-1"/>
        </w:rPr>
        <w:t>可能避免，</w:t>
      </w:r>
      <w:r>
        <w:rPr>
          <w:rFonts w:ascii="Times New Roman" w:eastAsia="Times New Roman" w:hAnsi="Times New Roman" w:cs="Times New Roman"/>
          <w:spacing w:val="-1"/>
        </w:rPr>
        <w:t xml:space="preserve">P2 </w:t>
      </w:r>
      <w:r>
        <w:rPr>
          <w:spacing w:val="-1"/>
        </w:rPr>
        <w:t>不大可能避免。</w:t>
      </w:r>
    </w:p>
    <w:p>
      <w:pPr>
        <w:pStyle w:val="BodyText"/>
        <w:spacing w:before="106" w:line="219" w:lineRule="auto"/>
        <w:ind w:left="490"/>
      </w:pPr>
      <w:r>
        <w:rPr>
          <w:spacing w:val="-3"/>
        </w:rPr>
        <w:t>风险指数</w:t>
      </w:r>
      <w:r>
        <w:rPr>
          <w:spacing w:val="-51"/>
        </w:rPr>
        <w:t xml:space="preserve"> </w:t>
      </w:r>
      <w:r>
        <w:rPr>
          <w:rFonts w:ascii="Times New Roman" w:eastAsia="Times New Roman" w:hAnsi="Times New Roman" w:cs="Times New Roman"/>
          <w:spacing w:val="-3"/>
        </w:rPr>
        <w:t>RI</w:t>
      </w:r>
      <w:r>
        <w:rPr>
          <w:spacing w:val="-3"/>
        </w:rPr>
        <w:t>：从</w:t>
      </w:r>
      <w:r>
        <w:rPr>
          <w:spacing w:val="-32"/>
        </w:rPr>
        <w:t xml:space="preserve"> </w:t>
      </w:r>
      <w:r>
        <w:rPr>
          <w:rFonts w:ascii="Times New Roman" w:eastAsia="Times New Roman" w:hAnsi="Times New Roman" w:cs="Times New Roman"/>
          <w:spacing w:val="-3"/>
        </w:rPr>
        <w:t>1</w:t>
      </w:r>
      <w:r>
        <w:rPr>
          <w:spacing w:val="-3"/>
        </w:rPr>
        <w:t>（最小）到</w:t>
      </w:r>
      <w:r>
        <w:rPr>
          <w:spacing w:val="-49"/>
        </w:rPr>
        <w:t xml:space="preserve"> </w:t>
      </w:r>
      <w:r>
        <w:rPr>
          <w:rFonts w:ascii="Times New Roman" w:eastAsia="Times New Roman" w:hAnsi="Times New Roman" w:cs="Times New Roman"/>
          <w:spacing w:val="-3"/>
        </w:rPr>
        <w:t>5</w:t>
      </w:r>
      <w:r>
        <w:rPr>
          <w:spacing w:val="-3"/>
        </w:rPr>
        <w:t>（最大）。</w:t>
      </w:r>
    </w:p>
    <w:p>
      <w:pPr>
        <w:pStyle w:val="BodyText"/>
        <w:spacing w:before="104" w:line="260" w:lineRule="auto"/>
        <w:ind w:left="8" w:right="83" w:firstLine="481"/>
      </w:pPr>
      <w:r>
        <w:rPr>
          <w:spacing w:val="-2"/>
        </w:rPr>
        <w:t>风险指数的确定，可根据校准活动各专业的特点作出适当调整，编制等效风险指数</w:t>
      </w:r>
      <w:r>
        <w:rPr>
          <w:spacing w:val="10"/>
        </w:rPr>
        <w:t xml:space="preserve"> </w:t>
      </w:r>
      <w:r>
        <w:rPr>
          <w:spacing w:val="-1"/>
        </w:rPr>
        <w:t>矩阵图来确定风险指数。</w:t>
      </w:r>
    </w:p>
    <w:tbl>
      <w:tblPr>
        <w:tblStyle w:val="TableNormal12"/>
        <w:tblW w:w="8526" w:type="dxa"/>
        <w:tblInd w:w="2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3"/>
        <w:gridCol w:w="1419"/>
        <w:gridCol w:w="1419"/>
        <w:gridCol w:w="1420"/>
        <w:gridCol w:w="1420"/>
        <w:gridCol w:w="1425"/>
      </w:tblGrid>
      <w:tr>
        <w:tblPrEx>
          <w:tblW w:w="8526" w:type="dxa"/>
          <w:tblInd w:w="2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9"/>
        </w:trPr>
        <w:tc>
          <w:tcPr>
            <w:tcW w:w="1423" w:type="dxa"/>
            <w:vAlign w:val="top"/>
          </w:tcPr>
          <w:p>
            <w:pPr>
              <w:rPr>
                <w:rFonts w:ascii="Arial"/>
                <w:sz w:val="21"/>
              </w:rPr>
            </w:pPr>
          </w:p>
        </w:tc>
        <w:tc>
          <w:tcPr>
            <w:tcW w:w="1419" w:type="dxa"/>
            <w:vAlign w:val="top"/>
          </w:tcPr>
          <w:p>
            <w:pPr>
              <w:rPr>
                <w:rFonts w:ascii="Arial"/>
                <w:sz w:val="21"/>
              </w:rPr>
            </w:pPr>
          </w:p>
        </w:tc>
        <w:tc>
          <w:tcPr>
            <w:tcW w:w="2839" w:type="dxa"/>
            <w:gridSpan w:val="2"/>
            <w:vAlign w:val="top"/>
          </w:tcPr>
          <w:p>
            <w:pPr>
              <w:spacing w:before="130" w:line="195" w:lineRule="auto"/>
              <w:ind w:left="12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O1</w:t>
            </w:r>
          </w:p>
        </w:tc>
        <w:tc>
          <w:tcPr>
            <w:tcW w:w="2845" w:type="dxa"/>
            <w:gridSpan w:val="2"/>
            <w:vAlign w:val="top"/>
          </w:tcPr>
          <w:p>
            <w:pPr>
              <w:spacing w:before="130" w:line="195" w:lineRule="auto"/>
              <w:ind w:left="12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O2</w:t>
            </w:r>
          </w:p>
        </w:tc>
      </w:tr>
      <w:tr>
        <w:tblPrEx>
          <w:tblW w:w="8526" w:type="dxa"/>
          <w:tblInd w:w="271" w:type="dxa"/>
          <w:tblLayout w:type="fixed"/>
        </w:tblPrEx>
        <w:trPr>
          <w:trHeight w:val="394"/>
        </w:trPr>
        <w:tc>
          <w:tcPr>
            <w:tcW w:w="1423" w:type="dxa"/>
            <w:vAlign w:val="top"/>
          </w:tcPr>
          <w:p>
            <w:pPr>
              <w:rPr>
                <w:rFonts w:ascii="Arial"/>
                <w:sz w:val="21"/>
              </w:rPr>
            </w:pPr>
          </w:p>
        </w:tc>
        <w:tc>
          <w:tcPr>
            <w:tcW w:w="1419" w:type="dxa"/>
            <w:vAlign w:val="top"/>
          </w:tcPr>
          <w:p>
            <w:pPr>
              <w:rPr>
                <w:rFonts w:ascii="Arial"/>
                <w:sz w:val="21"/>
              </w:rPr>
            </w:pPr>
          </w:p>
        </w:tc>
        <w:tc>
          <w:tcPr>
            <w:tcW w:w="1419" w:type="dxa"/>
            <w:vAlign w:val="top"/>
          </w:tcPr>
          <w:p>
            <w:pPr>
              <w:spacing w:before="127"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P1</w:t>
            </w:r>
          </w:p>
        </w:tc>
        <w:tc>
          <w:tcPr>
            <w:tcW w:w="1420" w:type="dxa"/>
            <w:vAlign w:val="top"/>
          </w:tcPr>
          <w:p>
            <w:pPr>
              <w:spacing w:before="127" w:line="195"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P2</w:t>
            </w:r>
          </w:p>
        </w:tc>
        <w:tc>
          <w:tcPr>
            <w:tcW w:w="1420" w:type="dxa"/>
            <w:vAlign w:val="top"/>
          </w:tcPr>
          <w:p>
            <w:pPr>
              <w:spacing w:before="127" w:line="195" w:lineRule="auto"/>
              <w:ind w:left="6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P1</w:t>
            </w:r>
          </w:p>
        </w:tc>
        <w:tc>
          <w:tcPr>
            <w:tcW w:w="1425" w:type="dxa"/>
            <w:vAlign w:val="top"/>
          </w:tcPr>
          <w:p>
            <w:pPr>
              <w:spacing w:before="127"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P2</w:t>
            </w:r>
          </w:p>
        </w:tc>
      </w:tr>
      <w:tr>
        <w:tblPrEx>
          <w:tblW w:w="8526" w:type="dxa"/>
          <w:tblInd w:w="271" w:type="dxa"/>
          <w:tblLayout w:type="fixed"/>
        </w:tblPrEx>
        <w:trPr>
          <w:trHeight w:val="394"/>
        </w:trPr>
        <w:tc>
          <w:tcPr>
            <w:tcW w:w="1423" w:type="dxa"/>
            <w:vMerge w:val="restart"/>
            <w:tcBorders>
              <w:bottom w:val="nil"/>
            </w:tcBorders>
            <w:vAlign w:val="top"/>
          </w:tcPr>
          <w:p>
            <w:pPr>
              <w:spacing w:line="269" w:lineRule="auto"/>
              <w:rPr>
                <w:rFonts w:ascii="Arial"/>
                <w:sz w:val="21"/>
              </w:rPr>
            </w:pPr>
          </w:p>
          <w:p>
            <w:pPr>
              <w:spacing w:before="57" w:line="195" w:lineRule="auto"/>
              <w:ind w:left="6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S1</w:t>
            </w:r>
          </w:p>
        </w:tc>
        <w:tc>
          <w:tcPr>
            <w:tcW w:w="1419" w:type="dxa"/>
            <w:vAlign w:val="top"/>
          </w:tcPr>
          <w:p>
            <w:pPr>
              <w:spacing w:before="129"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F1</w:t>
            </w:r>
          </w:p>
        </w:tc>
        <w:tc>
          <w:tcPr>
            <w:tcW w:w="5684" w:type="dxa"/>
            <w:gridSpan w:val="4"/>
            <w:vAlign w:val="top"/>
          </w:tcPr>
          <w:p>
            <w:pPr>
              <w:spacing w:before="129" w:line="195" w:lineRule="auto"/>
              <w:ind w:left="2810"/>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26" w:type="dxa"/>
          <w:tblInd w:w="271" w:type="dxa"/>
          <w:tblLayout w:type="fixed"/>
        </w:tblPrEx>
        <w:trPr>
          <w:trHeight w:val="394"/>
        </w:trPr>
        <w:tc>
          <w:tcPr>
            <w:tcW w:w="1423" w:type="dxa"/>
            <w:vMerge/>
            <w:tcBorders>
              <w:top w:val="nil"/>
            </w:tcBorders>
            <w:vAlign w:val="top"/>
          </w:tcPr>
          <w:p>
            <w:pPr>
              <w:rPr>
                <w:rFonts w:ascii="Arial"/>
                <w:sz w:val="21"/>
              </w:rPr>
            </w:pPr>
          </w:p>
        </w:tc>
        <w:tc>
          <w:tcPr>
            <w:tcW w:w="1419" w:type="dxa"/>
            <w:vAlign w:val="top"/>
          </w:tcPr>
          <w:p>
            <w:pPr>
              <w:spacing w:before="128"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F2</w:t>
            </w:r>
          </w:p>
        </w:tc>
        <w:tc>
          <w:tcPr>
            <w:tcW w:w="4259" w:type="dxa"/>
            <w:gridSpan w:val="3"/>
            <w:vAlign w:val="top"/>
          </w:tcPr>
          <w:p>
            <w:pPr>
              <w:spacing w:before="128" w:line="195" w:lineRule="auto"/>
              <w:ind w:left="207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25" w:type="dxa"/>
            <w:vAlign w:val="top"/>
          </w:tcPr>
          <w:p>
            <w:pPr>
              <w:spacing w:before="128" w:line="195" w:lineRule="auto"/>
              <w:ind w:left="666"/>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r>
      <w:tr>
        <w:tblPrEx>
          <w:tblW w:w="8526" w:type="dxa"/>
          <w:tblInd w:w="271" w:type="dxa"/>
          <w:tblLayout w:type="fixed"/>
        </w:tblPrEx>
        <w:trPr>
          <w:trHeight w:val="394"/>
        </w:trPr>
        <w:tc>
          <w:tcPr>
            <w:tcW w:w="1423" w:type="dxa"/>
            <w:vMerge w:val="restart"/>
            <w:tcBorders>
              <w:bottom w:val="nil"/>
            </w:tcBorders>
            <w:vAlign w:val="top"/>
          </w:tcPr>
          <w:p>
            <w:pPr>
              <w:spacing w:line="270" w:lineRule="auto"/>
              <w:rPr>
                <w:rFonts w:ascii="Arial"/>
                <w:sz w:val="21"/>
              </w:rPr>
            </w:pPr>
          </w:p>
          <w:p>
            <w:pPr>
              <w:spacing w:before="57" w:line="195" w:lineRule="auto"/>
              <w:ind w:left="6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S2</w:t>
            </w:r>
          </w:p>
        </w:tc>
        <w:tc>
          <w:tcPr>
            <w:tcW w:w="1419" w:type="dxa"/>
            <w:vAlign w:val="top"/>
          </w:tcPr>
          <w:p>
            <w:pPr>
              <w:spacing w:before="130"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F1</w:t>
            </w:r>
          </w:p>
        </w:tc>
        <w:tc>
          <w:tcPr>
            <w:tcW w:w="4259" w:type="dxa"/>
            <w:gridSpan w:val="3"/>
            <w:vAlign w:val="top"/>
          </w:tcPr>
          <w:p>
            <w:pPr>
              <w:spacing w:before="130" w:line="195" w:lineRule="auto"/>
              <w:ind w:left="208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425" w:type="dxa"/>
            <w:vAlign w:val="top"/>
          </w:tcPr>
          <w:p>
            <w:pPr>
              <w:spacing w:before="130" w:line="195" w:lineRule="auto"/>
              <w:ind w:left="66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526" w:type="dxa"/>
          <w:tblInd w:w="271" w:type="dxa"/>
          <w:tblLayout w:type="fixed"/>
        </w:tblPrEx>
        <w:trPr>
          <w:trHeight w:val="395"/>
        </w:trPr>
        <w:tc>
          <w:tcPr>
            <w:tcW w:w="1423" w:type="dxa"/>
            <w:vMerge/>
            <w:tcBorders>
              <w:top w:val="nil"/>
            </w:tcBorders>
            <w:vAlign w:val="top"/>
          </w:tcPr>
          <w:p>
            <w:pPr>
              <w:rPr>
                <w:rFonts w:ascii="Arial"/>
                <w:sz w:val="21"/>
              </w:rPr>
            </w:pPr>
          </w:p>
        </w:tc>
        <w:tc>
          <w:tcPr>
            <w:tcW w:w="1419" w:type="dxa"/>
            <w:vAlign w:val="top"/>
          </w:tcPr>
          <w:p>
            <w:pPr>
              <w:spacing w:before="132" w:line="195" w:lineRule="auto"/>
              <w:ind w:left="59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F2</w:t>
            </w:r>
          </w:p>
        </w:tc>
        <w:tc>
          <w:tcPr>
            <w:tcW w:w="4259" w:type="dxa"/>
            <w:gridSpan w:val="3"/>
            <w:vAlign w:val="top"/>
          </w:tcPr>
          <w:p>
            <w:pPr>
              <w:spacing w:before="132" w:line="195" w:lineRule="auto"/>
              <w:ind w:left="20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425" w:type="dxa"/>
            <w:vAlign w:val="top"/>
          </w:tcPr>
          <w:p>
            <w:pPr>
              <w:spacing w:before="135" w:line="192" w:lineRule="auto"/>
              <w:ind w:left="66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pPr>
        <w:sectPr>
          <w:headerReference w:type="default" r:id="rId30"/>
          <w:footerReference w:type="default" r:id="rId31"/>
          <w:pgSz w:w="11906" w:h="16839"/>
          <w:pgMar w:top="1091" w:right="1334" w:bottom="1260" w:left="1418" w:header="779" w:footer="983" w:gutter="0"/>
          <w:pgNumType w:start="14"/>
          <w:cols w:space="708"/>
        </w:sectPr>
      </w:pPr>
    </w:p>
    <w:tbl>
      <w:tblPr>
        <w:tblStyle w:val="TableNormal13"/>
        <w:tblW w:w="8526" w:type="dxa"/>
        <w:tblInd w:w="2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23"/>
        <w:gridCol w:w="1419"/>
        <w:gridCol w:w="5684"/>
      </w:tblGrid>
      <w:tr>
        <w:tblPrEx>
          <w:tblW w:w="8526" w:type="dxa"/>
          <w:tblInd w:w="2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9"/>
        </w:trPr>
        <w:tc>
          <w:tcPr>
            <w:tcW w:w="1423" w:type="dxa"/>
            <w:vAlign w:val="top"/>
          </w:tcPr>
          <w:p>
            <w:pPr>
              <w:spacing w:before="130" w:line="195" w:lineRule="auto"/>
              <w:ind w:left="6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S3</w:t>
            </w:r>
          </w:p>
        </w:tc>
        <w:tc>
          <w:tcPr>
            <w:tcW w:w="1419" w:type="dxa"/>
            <w:vAlign w:val="top"/>
          </w:tcPr>
          <w:p>
            <w:pPr>
              <w:spacing w:before="219" w:line="96" w:lineRule="exact"/>
              <w:ind w:left="598"/>
              <w:rPr>
                <w:rFonts w:ascii="Times New Roman" w:eastAsia="Times New Roman" w:hAnsi="Times New Roman" w:cs="Times New Roman"/>
                <w:sz w:val="20"/>
                <w:szCs w:val="20"/>
              </w:rPr>
            </w:pPr>
            <w:r>
              <w:rPr>
                <w:rFonts w:ascii="Times New Roman" w:eastAsia="Times New Roman" w:hAnsi="Times New Roman" w:cs="Times New Roman"/>
                <w:spacing w:val="12"/>
                <w:position w:val="-2"/>
                <w:sz w:val="20"/>
                <w:szCs w:val="20"/>
              </w:rPr>
              <w:t>—</w:t>
            </w:r>
          </w:p>
        </w:tc>
        <w:tc>
          <w:tcPr>
            <w:tcW w:w="5684" w:type="dxa"/>
            <w:vAlign w:val="top"/>
          </w:tcPr>
          <w:p>
            <w:pPr>
              <w:spacing w:before="133" w:line="192" w:lineRule="auto"/>
              <w:ind w:left="279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bl>
    <w:p>
      <w:pPr>
        <w:spacing w:before="76" w:line="221" w:lineRule="auto"/>
        <w:ind w:left="3224"/>
        <w:rPr>
          <w:rFonts w:ascii="FangSong" w:eastAsia="FangSong" w:hAnsi="FangSong" w:cs="FangSong"/>
          <w:sz w:val="24"/>
          <w:szCs w:val="24"/>
        </w:rPr>
      </w:pPr>
      <w:r>
        <w:rPr>
          <w:rFonts w:ascii="FangSong" w:eastAsia="FangSong" w:hAnsi="FangSong" w:cs="FangSong"/>
          <w:spacing w:val="-9"/>
          <w:sz w:val="24"/>
          <w:szCs w:val="24"/>
        </w:rPr>
        <w:t>图</w:t>
      </w:r>
      <w:r>
        <w:rPr>
          <w:rFonts w:ascii="FangSong" w:eastAsia="FangSong" w:hAnsi="FangSong" w:cs="FangSong"/>
          <w:spacing w:val="-26"/>
          <w:sz w:val="24"/>
          <w:szCs w:val="24"/>
        </w:rPr>
        <w:t xml:space="preserve"> </w:t>
      </w:r>
      <w:r>
        <w:rPr>
          <w:rFonts w:ascii="FangSong" w:eastAsia="FangSong" w:hAnsi="FangSong" w:cs="FangSong"/>
          <w:spacing w:val="-9"/>
          <w:sz w:val="24"/>
          <w:szCs w:val="24"/>
        </w:rPr>
        <w:t>1</w:t>
      </w:r>
      <w:r>
        <w:rPr>
          <w:rFonts w:ascii="FangSong" w:eastAsia="FangSong" w:hAnsi="FangSong" w:cs="FangSong"/>
          <w:spacing w:val="24"/>
          <w:sz w:val="24"/>
          <w:szCs w:val="24"/>
        </w:rPr>
        <w:t xml:space="preserve"> </w:t>
      </w:r>
      <w:r>
        <w:rPr>
          <w:rFonts w:ascii="FangSong" w:eastAsia="FangSong" w:hAnsi="FangSong" w:cs="FangSong"/>
          <w:spacing w:val="-9"/>
          <w:sz w:val="24"/>
          <w:szCs w:val="24"/>
        </w:rPr>
        <w:t>等效风险指数矩阵图</w:t>
      </w:r>
    </w:p>
    <w:p>
      <w:pPr>
        <w:pStyle w:val="BodyText"/>
        <w:spacing w:before="103" w:line="259" w:lineRule="auto"/>
        <w:ind w:left="492" w:right="3" w:hanging="5"/>
      </w:pPr>
      <w:r>
        <w:rPr>
          <w:spacing w:val="-4"/>
        </w:rPr>
        <w:t>将风险评价的结果、风险应对的措施相关信息填入风险评估和风险应对</w:t>
      </w:r>
      <w:r>
        <w:rPr>
          <w:spacing w:val="-5"/>
        </w:rPr>
        <w:t>措施表</w:t>
      </w:r>
      <w:r>
        <w:rPr>
          <w:rFonts w:ascii="Times New Roman" w:eastAsia="Times New Roman" w:hAnsi="Times New Roman" w:cs="Times New Roman"/>
          <w:spacing w:val="-5"/>
        </w:rPr>
        <w:t xml:space="preserve">4 </w:t>
      </w:r>
      <w:r>
        <w:rPr>
          <w:spacing w:val="-5"/>
        </w:rPr>
        <w:t>中。</w:t>
      </w:r>
      <w:r>
        <w:t xml:space="preserve"> </w:t>
      </w:r>
      <w:r>
        <w:rPr>
          <w:spacing w:val="-1"/>
        </w:rPr>
        <w:t>如果风险指数已经被评价为不大于</w:t>
      </w:r>
      <w:r>
        <w:rPr>
          <w:spacing w:val="-58"/>
        </w:rPr>
        <w:t xml:space="preserve"> </w:t>
      </w:r>
      <w:r>
        <w:rPr>
          <w:rFonts w:ascii="Times New Roman" w:eastAsia="Times New Roman" w:hAnsi="Times New Roman" w:cs="Times New Roman"/>
          <w:spacing w:val="-1"/>
        </w:rPr>
        <w:t>2</w:t>
      </w:r>
      <w:r>
        <w:rPr>
          <w:rFonts w:ascii="Times New Roman" w:eastAsia="Times New Roman" w:hAnsi="Times New Roman" w:cs="Times New Roman"/>
          <w:spacing w:val="-31"/>
        </w:rPr>
        <w:t xml:space="preserve"> </w:t>
      </w:r>
      <w:r>
        <w:rPr>
          <w:spacing w:val="-1"/>
        </w:rPr>
        <w:t>，则可认为代表的风险等级不需要进一</w:t>
      </w:r>
      <w:r>
        <w:rPr>
          <w:spacing w:val="-2"/>
        </w:rPr>
        <w:t>步降低</w:t>
      </w:r>
    </w:p>
    <w:p>
      <w:pPr>
        <w:spacing w:line="259" w:lineRule="auto"/>
        <w:sectPr>
          <w:headerReference w:type="default" r:id="rId32"/>
          <w:footerReference w:type="default" r:id="rId33"/>
          <w:type w:val="nextPage"/>
          <w:pgSz w:w="11906" w:h="16839"/>
          <w:pgMar w:top="1091" w:right="1334" w:bottom="1260" w:left="1418" w:header="779" w:footer="983" w:gutter="0"/>
          <w:pgNumType w:start="15"/>
          <w:cols w:space="708"/>
          <w:titlePg w:val="0"/>
        </w:sectPr>
      </w:pPr>
    </w:p>
    <w:p>
      <w:pPr>
        <w:spacing w:line="462" w:lineRule="auto"/>
        <w:rPr>
          <w:rFonts w:ascii="Arial"/>
          <w:sz w:val="21"/>
        </w:rPr>
      </w:pPr>
    </w:p>
    <w:p>
      <w:pPr>
        <w:pStyle w:val="BodyText"/>
        <w:spacing w:before="78" w:line="219" w:lineRule="auto"/>
        <w:ind w:left="10"/>
      </w:pPr>
      <w:r>
        <w:rPr>
          <w:spacing w:val="-3"/>
        </w:rPr>
        <w:t>风险；如果大于</w:t>
      </w:r>
      <w:r>
        <w:rPr>
          <w:spacing w:val="-35"/>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1"/>
        </w:rPr>
        <w:t xml:space="preserve"> </w:t>
      </w:r>
      <w:r>
        <w:rPr>
          <w:spacing w:val="-3"/>
        </w:rPr>
        <w:t>，宜进一步采取措施降低风险。</w:t>
      </w:r>
    </w:p>
    <w:p>
      <w:pPr>
        <w:spacing w:before="106" w:line="273" w:lineRule="auto"/>
        <w:ind w:left="20" w:right="83" w:firstLine="482"/>
        <w:jc w:val="both"/>
        <w:rPr>
          <w:rFonts w:ascii="FangSong" w:eastAsia="FangSong" w:hAnsi="FangSong" w:cs="FangSong"/>
          <w:sz w:val="24"/>
          <w:szCs w:val="24"/>
        </w:rPr>
      </w:pPr>
      <w:r>
        <w:rPr>
          <w:rFonts w:ascii="FangSong" w:eastAsia="FangSong" w:hAnsi="FangSong" w:cs="FangSong"/>
          <w:spacing w:val="-3"/>
          <w:sz w:val="24"/>
          <w:szCs w:val="24"/>
        </w:rPr>
        <w:t>注：当评价的风险指数为</w:t>
      </w:r>
      <w:r>
        <w:rPr>
          <w:rFonts w:ascii="FangSong" w:eastAsia="FangSong" w:hAnsi="FangSong" w:cs="FangSong"/>
          <w:spacing w:val="-46"/>
          <w:sz w:val="24"/>
          <w:szCs w:val="24"/>
        </w:rPr>
        <w:t xml:space="preserve"> </w:t>
      </w:r>
      <w:r>
        <w:rPr>
          <w:rFonts w:ascii="FangSong" w:eastAsia="FangSong" w:hAnsi="FangSong" w:cs="FangSong"/>
          <w:spacing w:val="-3"/>
          <w:sz w:val="24"/>
          <w:szCs w:val="24"/>
        </w:rPr>
        <w:t>3</w:t>
      </w:r>
      <w:r>
        <w:rPr>
          <w:rFonts w:ascii="FangSong" w:eastAsia="FangSong" w:hAnsi="FangSong" w:cs="FangSong"/>
          <w:spacing w:val="-27"/>
          <w:sz w:val="24"/>
          <w:szCs w:val="24"/>
        </w:rPr>
        <w:t xml:space="preserve"> </w:t>
      </w:r>
      <w:r>
        <w:rPr>
          <w:rFonts w:ascii="FangSong" w:eastAsia="FangSong" w:hAnsi="FangSong" w:cs="FangSong"/>
          <w:spacing w:val="-3"/>
          <w:sz w:val="24"/>
          <w:szCs w:val="24"/>
        </w:rPr>
        <w:t>时，一般情况下，需要进</w:t>
      </w:r>
      <w:r>
        <w:rPr>
          <w:rFonts w:ascii="FangSong" w:eastAsia="FangSong" w:hAnsi="FangSong" w:cs="FangSong"/>
          <w:spacing w:val="-4"/>
          <w:sz w:val="24"/>
          <w:szCs w:val="24"/>
        </w:rPr>
        <w:t>一步降低风险，但考虑到当前</w:t>
      </w:r>
      <w:r>
        <w:rPr>
          <w:rFonts w:ascii="FangSong" w:eastAsia="FangSong" w:hAnsi="FangSong" w:cs="FangSong"/>
          <w:sz w:val="24"/>
          <w:szCs w:val="24"/>
        </w:rPr>
        <w:t xml:space="preserve"> </w:t>
      </w:r>
      <w:r>
        <w:rPr>
          <w:rFonts w:ascii="FangSong" w:eastAsia="FangSong" w:hAnsi="FangSong" w:cs="FangSong"/>
          <w:spacing w:val="-2"/>
          <w:sz w:val="24"/>
          <w:szCs w:val="24"/>
        </w:rPr>
        <w:t>实验室技术、经济等因素与安全的权衡，要具体情况具体分析，判定进一步降低风险的</w:t>
      </w:r>
      <w:r>
        <w:rPr>
          <w:rFonts w:ascii="FangSong" w:eastAsia="FangSong" w:hAnsi="FangSong" w:cs="FangSong"/>
          <w:spacing w:val="4"/>
          <w:sz w:val="24"/>
          <w:szCs w:val="24"/>
        </w:rPr>
        <w:t xml:space="preserve"> </w:t>
      </w:r>
      <w:r>
        <w:rPr>
          <w:rFonts w:ascii="FangSong" w:eastAsia="FangSong" w:hAnsi="FangSong" w:cs="FangSong"/>
          <w:spacing w:val="-3"/>
          <w:sz w:val="24"/>
          <w:szCs w:val="24"/>
        </w:rPr>
        <w:t>可能性、必要性。</w:t>
      </w:r>
    </w:p>
    <w:p>
      <w:pPr>
        <w:pStyle w:val="BodyText"/>
        <w:spacing w:before="106" w:line="258" w:lineRule="auto"/>
        <w:ind w:left="9" w:right="22" w:firstLine="483"/>
        <w:jc w:val="both"/>
      </w:pPr>
      <w:r>
        <w:rPr>
          <w:spacing w:val="-7"/>
        </w:rPr>
        <w:t>如果所有发现的风险已能消除、避免或降低，剩余风险可以接受，达到可容许风险，</w:t>
      </w:r>
      <w:r>
        <w:rPr>
          <w:spacing w:val="15"/>
        </w:rPr>
        <w:t xml:space="preserve"> </w:t>
      </w:r>
      <w:r>
        <w:t>且保护措施成熟、可靠，则可认为被评估的实</w:t>
      </w:r>
      <w:r>
        <w:rPr>
          <w:spacing w:val="-1"/>
        </w:rPr>
        <w:t>验室风险是可以接受的。</w:t>
      </w:r>
    </w:p>
    <w:p>
      <w:pPr>
        <w:spacing w:line="258" w:lineRule="auto"/>
        <w:sectPr>
          <w:headerReference w:type="default" r:id="rId34"/>
          <w:footerReference w:type="default" r:id="rId35"/>
          <w:pgSz w:w="11906" w:h="16839"/>
          <w:pgMar w:top="1091" w:right="1334" w:bottom="1260" w:left="1418" w:header="779" w:footer="983" w:gutter="0"/>
          <w:pgNumType w:start="16"/>
          <w:cols w:space="708"/>
        </w:sectPr>
      </w:pPr>
    </w:p>
    <w:p>
      <w:pPr>
        <w:spacing w:line="323" w:lineRule="auto"/>
        <w:rPr>
          <w:rFonts w:ascii="Arial"/>
          <w:sz w:val="21"/>
        </w:rPr>
      </w:pPr>
    </w:p>
    <w:p>
      <w:pPr>
        <w:pStyle w:val="BodyText"/>
        <w:spacing w:before="78" w:line="219" w:lineRule="auto"/>
        <w:ind w:left="156"/>
      </w:pPr>
      <w:r>
        <w:rPr>
          <w:spacing w:val="-2"/>
          <w14:textOutline w14:w="4358" w14:cap="sq">
            <w14:solidFill>
              <w14:srgbClr w14:val="000000"/>
            </w14:solidFill>
            <w14:prstDash w14:val="solid"/>
            <w14:bevel/>
          </w14:textOutline>
        </w:rPr>
        <w:t>表</w:t>
      </w:r>
      <w:r>
        <w:rPr>
          <w:spacing w:val="-41"/>
        </w:rPr>
        <w:t xml:space="preserve"> </w:t>
      </w:r>
      <w:r>
        <w:rPr>
          <w:rFonts w:ascii="Times New Roman" w:eastAsia="Times New Roman" w:hAnsi="Times New Roman" w:cs="Times New Roman"/>
          <w:b/>
          <w:bCs/>
          <w:spacing w:val="-2"/>
        </w:rPr>
        <w:t xml:space="preserve">1 </w:t>
      </w:r>
      <w:r>
        <w:rPr>
          <w:spacing w:val="-2"/>
          <w14:textOutline w14:w="4358" w14:cap="sq">
            <w14:solidFill>
              <w14:srgbClr w14:val="000000"/>
            </w14:solidFill>
            <w14:prstDash w14:val="solid"/>
            <w14:bevel/>
          </w14:textOutline>
        </w:rPr>
        <w:t>严重不符合项示例</w:t>
      </w:r>
    </w:p>
    <w:tbl>
      <w:tblPr>
        <w:tblStyle w:val="TableNormal15"/>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8"/>
        <w:gridCol w:w="910"/>
        <w:gridCol w:w="5036"/>
        <w:gridCol w:w="3703"/>
        <w:gridCol w:w="3904"/>
      </w:tblGrid>
      <w:tr>
        <w:tblPrEx>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4"/>
        </w:trPr>
        <w:tc>
          <w:tcPr>
            <w:tcW w:w="948" w:type="dxa"/>
            <w:shd w:val="clear" w:color="auto" w:fill="D9D9D9"/>
            <w:vAlign w:val="top"/>
          </w:tcPr>
          <w:p>
            <w:pPr>
              <w:pStyle w:val="TableText"/>
              <w:spacing w:before="297" w:line="228" w:lineRule="auto"/>
              <w:ind w:left="269"/>
              <w:rPr>
                <w:sz w:val="20"/>
                <w:szCs w:val="20"/>
              </w:rPr>
            </w:pPr>
            <w:r>
              <w:rPr>
                <w:spacing w:val="5"/>
                <w:sz w:val="20"/>
                <w:szCs w:val="20"/>
                <w14:textOutline w14:w="3795" w14:cap="sq">
                  <w14:solidFill>
                    <w14:srgbClr w14:val="000000"/>
                  </w14:solidFill>
                  <w14:prstDash w14:val="solid"/>
                  <w14:bevel/>
                </w14:textOutline>
              </w:rPr>
              <w:t>要素</w:t>
            </w:r>
          </w:p>
        </w:tc>
        <w:tc>
          <w:tcPr>
            <w:tcW w:w="910" w:type="dxa"/>
            <w:shd w:val="clear" w:color="auto" w:fill="D9D9D9"/>
            <w:vAlign w:val="top"/>
          </w:tcPr>
          <w:p>
            <w:pPr>
              <w:pStyle w:val="TableText"/>
              <w:spacing w:before="297" w:line="228" w:lineRule="auto"/>
              <w:ind w:left="248"/>
              <w:rPr>
                <w:sz w:val="20"/>
                <w:szCs w:val="20"/>
              </w:rPr>
            </w:pPr>
            <w:r>
              <w:rPr>
                <w:spacing w:val="5"/>
                <w:sz w:val="20"/>
                <w:szCs w:val="20"/>
                <w14:textOutline w14:w="3795" w14:cap="sq">
                  <w14:solidFill>
                    <w14:srgbClr w14:val="000000"/>
                  </w14:solidFill>
                  <w14:prstDash w14:val="solid"/>
                  <w14:bevel/>
                </w14:textOutline>
              </w:rPr>
              <w:t>编号</w:t>
            </w:r>
          </w:p>
        </w:tc>
        <w:tc>
          <w:tcPr>
            <w:tcW w:w="5036" w:type="dxa"/>
            <w:shd w:val="clear" w:color="auto" w:fill="D9D9D9"/>
            <w:vAlign w:val="top"/>
          </w:tcPr>
          <w:p>
            <w:pPr>
              <w:pStyle w:val="TableText"/>
              <w:spacing w:before="297" w:line="227" w:lineRule="auto"/>
              <w:ind w:left="1682"/>
              <w:rPr>
                <w:sz w:val="20"/>
                <w:szCs w:val="20"/>
              </w:rPr>
            </w:pPr>
            <w:r>
              <w:rPr>
                <w:spacing w:val="9"/>
                <w:sz w:val="20"/>
                <w:szCs w:val="20"/>
                <w14:textOutline w14:w="3795" w14:cap="sq">
                  <w14:solidFill>
                    <w14:srgbClr w14:val="000000"/>
                  </w14:solidFill>
                  <w14:prstDash w14:val="solid"/>
                  <w14:bevel/>
                </w14:textOutline>
              </w:rPr>
              <w:t>不符合项事实陈述</w:t>
            </w:r>
          </w:p>
        </w:tc>
        <w:tc>
          <w:tcPr>
            <w:tcW w:w="3703" w:type="dxa"/>
            <w:shd w:val="clear" w:color="auto" w:fill="D9D9D9"/>
            <w:vAlign w:val="top"/>
          </w:tcPr>
          <w:p>
            <w:pPr>
              <w:pStyle w:val="TableText"/>
              <w:spacing w:before="297" w:line="228" w:lineRule="auto"/>
              <w:ind w:left="1228"/>
              <w:rPr>
                <w:sz w:val="20"/>
                <w:szCs w:val="20"/>
              </w:rPr>
            </w:pPr>
            <w:r>
              <w:rPr>
                <w:spacing w:val="8"/>
                <w:sz w:val="20"/>
                <w:szCs w:val="20"/>
                <w14:textOutline w14:w="3795" w14:cap="sq">
                  <w14:solidFill>
                    <w14:srgbClr w14:val="000000"/>
                  </w14:solidFill>
                  <w14:prstDash w14:val="solid"/>
                  <w14:bevel/>
                </w14:textOutline>
              </w:rPr>
              <w:t>不符合项分析</w:t>
            </w:r>
          </w:p>
        </w:tc>
        <w:tc>
          <w:tcPr>
            <w:tcW w:w="3904" w:type="dxa"/>
            <w:shd w:val="clear" w:color="auto" w:fill="D9D9D9"/>
            <w:vAlign w:val="top"/>
          </w:tcPr>
          <w:p>
            <w:pPr>
              <w:pStyle w:val="TableText"/>
              <w:spacing w:before="297" w:line="228" w:lineRule="auto"/>
              <w:ind w:left="1535"/>
              <w:rPr>
                <w:sz w:val="20"/>
                <w:szCs w:val="20"/>
              </w:rPr>
            </w:pPr>
            <w:r>
              <w:rPr>
                <w:spacing w:val="8"/>
                <w:sz w:val="20"/>
                <w:szCs w:val="20"/>
                <w14:textOutline w14:w="3795" w14:cap="sq">
                  <w14:solidFill>
                    <w14:srgbClr w14:val="000000"/>
                  </w14:solidFill>
                  <w14:prstDash w14:val="solid"/>
                  <w14:bevel/>
                </w14:textOutline>
              </w:rPr>
              <w:t>整改建议</w:t>
            </w:r>
          </w:p>
        </w:tc>
      </w:tr>
      <w:tr>
        <w:tblPrEx>
          <w:tblW w:w="14501" w:type="dxa"/>
          <w:tblInd w:w="2" w:type="dxa"/>
          <w:tblLayout w:type="fixed"/>
        </w:tblPrEx>
        <w:trPr>
          <w:trHeight w:val="2188"/>
        </w:trPr>
        <w:tc>
          <w:tcPr>
            <w:tcW w:w="948" w:type="dxa"/>
            <w:vAlign w:val="top"/>
          </w:tcPr>
          <w:p>
            <w:pPr>
              <w:spacing w:line="306" w:lineRule="auto"/>
              <w:rPr>
                <w:rFonts w:ascii="Arial"/>
                <w:sz w:val="21"/>
              </w:rPr>
            </w:pPr>
          </w:p>
          <w:p>
            <w:pPr>
              <w:spacing w:line="306" w:lineRule="auto"/>
              <w:rPr>
                <w:rFonts w:ascii="Arial"/>
                <w:sz w:val="21"/>
              </w:rPr>
            </w:pPr>
          </w:p>
          <w:p>
            <w:pPr>
              <w:spacing w:line="306" w:lineRule="auto"/>
              <w:rPr>
                <w:rFonts w:ascii="Arial"/>
                <w:sz w:val="21"/>
              </w:rPr>
            </w:pPr>
          </w:p>
          <w:p>
            <w:pPr>
              <w:pStyle w:val="TableText"/>
              <w:spacing w:before="65" w:line="229" w:lineRule="auto"/>
              <w:ind w:left="171"/>
              <w:rPr>
                <w:sz w:val="20"/>
                <w:szCs w:val="20"/>
              </w:rPr>
            </w:pPr>
            <w:r>
              <w:rPr>
                <w:spacing w:val="4"/>
                <w:sz w:val="20"/>
                <w:szCs w:val="20"/>
              </w:rPr>
              <w:t>公正性</w:t>
            </w:r>
          </w:p>
        </w:tc>
        <w:tc>
          <w:tcPr>
            <w:tcW w:w="910" w:type="dxa"/>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before="58" w:line="195" w:lineRule="auto"/>
              <w:ind w:left="4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5036" w:type="dxa"/>
            <w:vAlign w:val="top"/>
          </w:tcPr>
          <w:p>
            <w:pPr>
              <w:pStyle w:val="TableText"/>
              <w:spacing w:before="56" w:line="279" w:lineRule="auto"/>
              <w:ind w:left="110" w:right="53" w:firstLine="426"/>
              <w:rPr>
                <w:sz w:val="20"/>
                <w:szCs w:val="20"/>
              </w:rPr>
            </w:pPr>
            <w:r>
              <w:rPr>
                <w:spacing w:val="8"/>
                <w:sz w:val="20"/>
                <w:szCs w:val="20"/>
              </w:rPr>
              <w:t>实验室为某企业内部校准室，查阅企业生产部委</w:t>
            </w:r>
            <w:r>
              <w:rPr>
                <w:spacing w:val="17"/>
                <w:sz w:val="20"/>
                <w:szCs w:val="20"/>
              </w:rPr>
              <w:t xml:space="preserve"> </w:t>
            </w:r>
            <w:r>
              <w:rPr>
                <w:spacing w:val="7"/>
                <w:sz w:val="20"/>
                <w:szCs w:val="20"/>
              </w:rPr>
              <w:t>托的</w:t>
            </w:r>
            <w:r>
              <w:rPr>
                <w:spacing w:val="-22"/>
                <w:sz w:val="20"/>
                <w:szCs w:val="20"/>
              </w:rPr>
              <w:t xml:space="preserve"> </w:t>
            </w:r>
            <w:r>
              <w:rPr>
                <w:rFonts w:ascii="Times New Roman" w:eastAsia="Times New Roman" w:hAnsi="Times New Roman" w:cs="Times New Roman"/>
                <w:spacing w:val="7"/>
                <w:sz w:val="20"/>
                <w:szCs w:val="20"/>
              </w:rPr>
              <w:t>500g~</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pacing w:val="7"/>
                <w:sz w:val="20"/>
                <w:szCs w:val="20"/>
              </w:rPr>
              <w:t>1</w:t>
            </w:r>
            <w:r>
              <w:rPr>
                <w:rFonts w:ascii="Times New Roman" w:eastAsia="Times New Roman" w:hAnsi="Times New Roman" w:cs="Times New Roman"/>
                <w:sz w:val="20"/>
                <w:szCs w:val="20"/>
              </w:rPr>
              <w:t>mg</w:t>
            </w:r>
            <w:r>
              <w:rPr>
                <w:rFonts w:ascii="Times New Roman" w:eastAsia="Times New Roman" w:hAnsi="Times New Roman" w:cs="Times New Roman"/>
                <w:spacing w:val="19"/>
                <w:sz w:val="20"/>
                <w:szCs w:val="20"/>
              </w:rPr>
              <w:t xml:space="preserve"> </w:t>
            </w:r>
            <w:r>
              <w:rPr>
                <w:spacing w:val="7"/>
                <w:sz w:val="20"/>
                <w:szCs w:val="20"/>
              </w:rPr>
              <w:t>砝码校准记录，</w:t>
            </w:r>
            <w:r>
              <w:rPr>
                <w:rFonts w:ascii="Times New Roman" w:eastAsia="Times New Roman" w:hAnsi="Times New Roman" w:cs="Times New Roman"/>
                <w:spacing w:val="7"/>
                <w:sz w:val="20"/>
                <w:szCs w:val="20"/>
              </w:rPr>
              <w:t>100g</w:t>
            </w:r>
            <w:r>
              <w:rPr>
                <w:rFonts w:ascii="Times New Roman" w:eastAsia="Times New Roman" w:hAnsi="Times New Roman" w:cs="Times New Roman"/>
                <w:spacing w:val="-21"/>
                <w:sz w:val="20"/>
                <w:szCs w:val="20"/>
              </w:rPr>
              <w:t xml:space="preserve"> </w:t>
            </w:r>
            <w:r>
              <w:rPr>
                <w:spacing w:val="7"/>
                <w:sz w:val="20"/>
                <w:szCs w:val="20"/>
              </w:rPr>
              <w:t>、</w:t>
            </w:r>
            <w:r>
              <w:rPr>
                <w:rFonts w:ascii="Times New Roman" w:eastAsia="Times New Roman" w:hAnsi="Times New Roman" w:cs="Times New Roman"/>
                <w:spacing w:val="7"/>
                <w:sz w:val="20"/>
                <w:szCs w:val="20"/>
              </w:rPr>
              <w:t xml:space="preserve">20g </w:t>
            </w:r>
            <w:r>
              <w:rPr>
                <w:spacing w:val="7"/>
                <w:sz w:val="20"/>
                <w:szCs w:val="20"/>
              </w:rPr>
              <w:t>砝码已严</w:t>
            </w:r>
            <w:r>
              <w:rPr>
                <w:sz w:val="20"/>
                <w:szCs w:val="20"/>
              </w:rPr>
              <w:t xml:space="preserve"> </w:t>
            </w:r>
            <w:r>
              <w:rPr>
                <w:spacing w:val="4"/>
                <w:sz w:val="20"/>
                <w:szCs w:val="20"/>
              </w:rPr>
              <w:t>重超出</w:t>
            </w:r>
            <w:r>
              <w:rPr>
                <w:spacing w:val="-26"/>
                <w:sz w:val="20"/>
                <w:szCs w:val="20"/>
              </w:rPr>
              <w:t xml:space="preserve"> </w:t>
            </w:r>
            <w:r>
              <w:rPr>
                <w:rFonts w:ascii="Times New Roman" w:eastAsia="Times New Roman" w:hAnsi="Times New Roman" w:cs="Times New Roman"/>
                <w:sz w:val="20"/>
                <w:szCs w:val="20"/>
              </w:rPr>
              <w:t>JJG</w:t>
            </w:r>
            <w:r>
              <w:rPr>
                <w:rFonts w:ascii="Times New Roman" w:eastAsia="Times New Roman" w:hAnsi="Times New Roman" w:cs="Times New Roman"/>
                <w:spacing w:val="4"/>
                <w:sz w:val="20"/>
                <w:szCs w:val="20"/>
              </w:rPr>
              <w:t>99</w:t>
            </w:r>
            <w:r>
              <w:rPr>
                <w:spacing w:val="4"/>
                <w:sz w:val="20"/>
                <w:szCs w:val="20"/>
              </w:rPr>
              <w:t>《砝码》检定规程规定的最大允许误差，</w:t>
            </w:r>
            <w:r>
              <w:rPr>
                <w:sz w:val="20"/>
                <w:szCs w:val="20"/>
              </w:rPr>
              <w:t xml:space="preserve"> </w:t>
            </w:r>
            <w:r>
              <w:rPr>
                <w:spacing w:val="8"/>
                <w:sz w:val="20"/>
                <w:szCs w:val="20"/>
              </w:rPr>
              <w:t>但判定为“合格</w:t>
            </w:r>
            <w:r>
              <w:rPr>
                <w:spacing w:val="-70"/>
                <w:sz w:val="20"/>
                <w:szCs w:val="20"/>
              </w:rPr>
              <w:t xml:space="preserve"> </w:t>
            </w:r>
            <w:r>
              <w:rPr>
                <w:spacing w:val="8"/>
                <w:sz w:val="20"/>
                <w:szCs w:val="20"/>
              </w:rPr>
              <w:t>”。实验室解释，实验室多人</w:t>
            </w:r>
            <w:r>
              <w:rPr>
                <w:spacing w:val="7"/>
                <w:sz w:val="20"/>
                <w:szCs w:val="20"/>
              </w:rPr>
              <w:t>以前在</w:t>
            </w:r>
            <w:r>
              <w:rPr>
                <w:sz w:val="20"/>
                <w:szCs w:val="20"/>
              </w:rPr>
              <w:t xml:space="preserve"> </w:t>
            </w:r>
            <w:r>
              <w:rPr>
                <w:spacing w:val="9"/>
                <w:sz w:val="20"/>
                <w:szCs w:val="20"/>
              </w:rPr>
              <w:t>生产部工作，生产部不常用这两个示值的砝码，请我</w:t>
            </w:r>
            <w:r>
              <w:rPr>
                <w:spacing w:val="4"/>
                <w:sz w:val="20"/>
                <w:szCs w:val="20"/>
              </w:rPr>
              <w:t xml:space="preserve"> </w:t>
            </w:r>
            <w:r>
              <w:rPr>
                <w:spacing w:val="9"/>
                <w:sz w:val="20"/>
                <w:szCs w:val="20"/>
              </w:rPr>
              <w:t>们“照顾一下</w:t>
            </w:r>
            <w:r>
              <w:rPr>
                <w:spacing w:val="-70"/>
                <w:sz w:val="20"/>
                <w:szCs w:val="20"/>
              </w:rPr>
              <w:t xml:space="preserve"> </w:t>
            </w:r>
            <w:r>
              <w:rPr>
                <w:spacing w:val="9"/>
                <w:sz w:val="20"/>
                <w:szCs w:val="20"/>
              </w:rPr>
              <w:t>”。查阅实验室公正性风险识别记录，</w:t>
            </w:r>
            <w:r>
              <w:rPr>
                <w:sz w:val="20"/>
                <w:szCs w:val="20"/>
              </w:rPr>
              <w:t xml:space="preserve"> </w:t>
            </w:r>
            <w:r>
              <w:rPr>
                <w:spacing w:val="9"/>
                <w:sz w:val="20"/>
                <w:szCs w:val="20"/>
              </w:rPr>
              <w:t>未识别实验室的人员关系而引发的风险。</w:t>
            </w:r>
          </w:p>
        </w:tc>
        <w:tc>
          <w:tcPr>
            <w:tcW w:w="3703" w:type="dxa"/>
            <w:vAlign w:val="top"/>
          </w:tcPr>
          <w:p>
            <w:pPr>
              <w:spacing w:line="304" w:lineRule="auto"/>
              <w:rPr>
                <w:rFonts w:ascii="Arial"/>
                <w:sz w:val="21"/>
              </w:rPr>
            </w:pPr>
          </w:p>
          <w:p>
            <w:pPr>
              <w:spacing w:line="304" w:lineRule="auto"/>
              <w:rPr>
                <w:rFonts w:ascii="Arial"/>
                <w:sz w:val="21"/>
              </w:rPr>
            </w:pPr>
          </w:p>
          <w:p>
            <w:pPr>
              <w:pStyle w:val="TableText"/>
              <w:spacing w:before="65" w:line="268" w:lineRule="auto"/>
              <w:ind w:left="116" w:right="105" w:firstLine="422"/>
              <w:jc w:val="both"/>
              <w:rPr>
                <w:sz w:val="20"/>
                <w:szCs w:val="20"/>
              </w:rPr>
            </w:pPr>
            <w:r>
              <w:rPr>
                <w:spacing w:val="3"/>
                <w:sz w:val="20"/>
                <w:szCs w:val="20"/>
              </w:rPr>
              <w:t>实验室为生产部提供校准服务，两</w:t>
            </w:r>
            <w:r>
              <w:rPr>
                <w:spacing w:val="8"/>
                <w:sz w:val="20"/>
                <w:szCs w:val="20"/>
              </w:rPr>
              <w:t xml:space="preserve"> </w:t>
            </w:r>
            <w:r>
              <w:rPr>
                <w:spacing w:val="4"/>
                <w:sz w:val="20"/>
                <w:szCs w:val="20"/>
              </w:rPr>
              <w:t>部门人员关系密切，未识别实验室的人</w:t>
            </w:r>
            <w:r>
              <w:rPr>
                <w:spacing w:val="5"/>
                <w:sz w:val="20"/>
                <w:szCs w:val="20"/>
              </w:rPr>
              <w:t xml:space="preserve"> </w:t>
            </w:r>
            <w:r>
              <w:rPr>
                <w:spacing w:val="8"/>
                <w:sz w:val="20"/>
                <w:szCs w:val="20"/>
              </w:rPr>
              <w:t>员关系而引发的公正性风险。</w:t>
            </w:r>
          </w:p>
        </w:tc>
        <w:tc>
          <w:tcPr>
            <w:tcW w:w="3904" w:type="dxa"/>
            <w:vAlign w:val="top"/>
          </w:tcPr>
          <w:p>
            <w:pPr>
              <w:spacing w:line="453" w:lineRule="auto"/>
              <w:rPr>
                <w:rFonts w:ascii="Arial"/>
                <w:sz w:val="21"/>
              </w:rPr>
            </w:pPr>
          </w:p>
          <w:p>
            <w:pPr>
              <w:pStyle w:val="TableText"/>
              <w:spacing w:before="65" w:line="273" w:lineRule="auto"/>
              <w:ind w:left="115" w:right="109" w:firstLine="423"/>
              <w:rPr>
                <w:sz w:val="20"/>
                <w:szCs w:val="20"/>
              </w:rPr>
            </w:pPr>
            <w:r>
              <w:rPr>
                <w:spacing w:val="9"/>
                <w:sz w:val="20"/>
                <w:szCs w:val="20"/>
              </w:rPr>
              <w:t>实验室按照</w:t>
            </w:r>
            <w:r>
              <w:rPr>
                <w:spacing w:val="-33"/>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CL</w:t>
            </w:r>
            <w:r>
              <w:rPr>
                <w:rFonts w:ascii="Times New Roman" w:eastAsia="Times New Roman" w:hAnsi="Times New Roman" w:cs="Times New Roman"/>
                <w:spacing w:val="9"/>
                <w:sz w:val="20"/>
                <w:szCs w:val="20"/>
              </w:rPr>
              <w:t>01 4.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9"/>
                <w:sz w:val="20"/>
                <w:szCs w:val="20"/>
              </w:rPr>
              <w:t>1</w:t>
            </w:r>
            <w:r>
              <w:rPr>
                <w:rFonts w:ascii="Times New Roman" w:eastAsia="Times New Roman" w:hAnsi="Times New Roman" w:cs="Times New Roman"/>
                <w:spacing w:val="17"/>
                <w:w w:val="101"/>
                <w:sz w:val="20"/>
                <w:szCs w:val="20"/>
              </w:rPr>
              <w:t xml:space="preserve"> </w:t>
            </w:r>
            <w:r>
              <w:rPr>
                <w:spacing w:val="9"/>
                <w:sz w:val="20"/>
                <w:szCs w:val="20"/>
              </w:rPr>
              <w:t>要求，</w:t>
            </w:r>
            <w:r>
              <w:rPr>
                <w:sz w:val="20"/>
                <w:szCs w:val="20"/>
              </w:rPr>
              <w:t xml:space="preserve"> </w:t>
            </w:r>
            <w:r>
              <w:rPr>
                <w:spacing w:val="4"/>
                <w:sz w:val="20"/>
                <w:szCs w:val="20"/>
              </w:rPr>
              <w:t>持续识别影响公正性的风险，与生产部签</w:t>
            </w:r>
            <w:r>
              <w:rPr>
                <w:spacing w:val="1"/>
                <w:sz w:val="20"/>
                <w:szCs w:val="20"/>
              </w:rPr>
              <w:t xml:space="preserve"> </w:t>
            </w:r>
            <w:r>
              <w:rPr>
                <w:spacing w:val="4"/>
                <w:sz w:val="20"/>
                <w:szCs w:val="20"/>
              </w:rPr>
              <w:t>订校准服务合同时，明确生产部不影响校</w:t>
            </w:r>
            <w:r>
              <w:rPr>
                <w:spacing w:val="1"/>
                <w:sz w:val="20"/>
                <w:szCs w:val="20"/>
              </w:rPr>
              <w:t xml:space="preserve"> </w:t>
            </w:r>
            <w:r>
              <w:rPr>
                <w:spacing w:val="7"/>
                <w:sz w:val="20"/>
                <w:szCs w:val="20"/>
              </w:rPr>
              <w:t>准活动的公正性。</w:t>
            </w:r>
          </w:p>
        </w:tc>
      </w:tr>
      <w:tr>
        <w:tblPrEx>
          <w:tblW w:w="14501" w:type="dxa"/>
          <w:tblInd w:w="2" w:type="dxa"/>
          <w:tblLayout w:type="fixed"/>
        </w:tblPrEx>
        <w:trPr>
          <w:trHeight w:val="1564"/>
        </w:trPr>
        <w:tc>
          <w:tcPr>
            <w:tcW w:w="948" w:type="dxa"/>
            <w:vAlign w:val="top"/>
          </w:tcPr>
          <w:p>
            <w:pPr>
              <w:spacing w:line="304" w:lineRule="auto"/>
              <w:rPr>
                <w:rFonts w:ascii="Arial"/>
                <w:sz w:val="21"/>
              </w:rPr>
            </w:pPr>
          </w:p>
          <w:p>
            <w:pPr>
              <w:spacing w:line="305" w:lineRule="auto"/>
              <w:rPr>
                <w:rFonts w:ascii="Arial"/>
                <w:sz w:val="21"/>
              </w:rPr>
            </w:pPr>
          </w:p>
          <w:p>
            <w:pPr>
              <w:pStyle w:val="TableText"/>
              <w:spacing w:before="65" w:line="228" w:lineRule="auto"/>
              <w:ind w:left="166"/>
              <w:rPr>
                <w:sz w:val="20"/>
                <w:szCs w:val="20"/>
              </w:rPr>
            </w:pPr>
            <w:r>
              <w:rPr>
                <w:spacing w:val="6"/>
                <w:sz w:val="20"/>
                <w:szCs w:val="20"/>
              </w:rPr>
              <w:t>保密性</w:t>
            </w:r>
          </w:p>
        </w:tc>
        <w:tc>
          <w:tcPr>
            <w:tcW w:w="910" w:type="dxa"/>
            <w:vAlign w:val="top"/>
          </w:tcPr>
          <w:p>
            <w:pPr>
              <w:spacing w:line="326" w:lineRule="auto"/>
              <w:rPr>
                <w:rFonts w:ascii="Arial"/>
                <w:sz w:val="21"/>
              </w:rPr>
            </w:pPr>
          </w:p>
          <w:p>
            <w:pPr>
              <w:spacing w:line="326" w:lineRule="auto"/>
              <w:rPr>
                <w:rFonts w:ascii="Arial"/>
                <w:sz w:val="21"/>
              </w:rPr>
            </w:pPr>
          </w:p>
          <w:p>
            <w:pPr>
              <w:spacing w:before="57" w:line="195" w:lineRule="auto"/>
              <w:ind w:left="4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5036" w:type="dxa"/>
            <w:vAlign w:val="top"/>
          </w:tcPr>
          <w:p>
            <w:pPr>
              <w:pStyle w:val="TableText"/>
              <w:spacing w:before="208" w:line="273" w:lineRule="auto"/>
              <w:ind w:left="112" w:right="105" w:firstLine="425"/>
              <w:jc w:val="both"/>
              <w:rPr>
                <w:sz w:val="20"/>
                <w:szCs w:val="20"/>
              </w:rPr>
            </w:pPr>
            <w:r>
              <w:rPr>
                <w:spacing w:val="9"/>
                <w:sz w:val="20"/>
                <w:szCs w:val="20"/>
              </w:rPr>
              <w:t>实验室在对外宣传的的业务介绍中，介绍了</w:t>
            </w:r>
            <w:r>
              <w:rPr>
                <w:spacing w:val="8"/>
                <w:sz w:val="20"/>
                <w:szCs w:val="20"/>
              </w:rPr>
              <w:t>为某</w:t>
            </w:r>
            <w:r>
              <w:rPr>
                <w:sz w:val="20"/>
                <w:szCs w:val="20"/>
              </w:rPr>
              <w:t xml:space="preserve"> </w:t>
            </w:r>
            <w:r>
              <w:rPr>
                <w:spacing w:val="10"/>
                <w:sz w:val="20"/>
                <w:szCs w:val="20"/>
              </w:rPr>
              <w:t>企业的</w:t>
            </w:r>
            <w:r>
              <w:rPr>
                <w:spacing w:val="-46"/>
                <w:sz w:val="20"/>
                <w:szCs w:val="20"/>
              </w:rPr>
              <w:t xml:space="preserve"> </w:t>
            </w:r>
            <w:r>
              <w:rPr>
                <w:rFonts w:ascii="Times New Roman" w:eastAsia="Times New Roman" w:hAnsi="Times New Roman" w:cs="Times New Roman"/>
                <w:sz w:val="20"/>
                <w:szCs w:val="20"/>
              </w:rPr>
              <w:t>XX</w:t>
            </w:r>
            <w:r>
              <w:rPr>
                <w:rFonts w:ascii="Times New Roman" w:eastAsia="Times New Roman" w:hAnsi="Times New Roman" w:cs="Times New Roman"/>
                <w:spacing w:val="10"/>
                <w:sz w:val="20"/>
                <w:szCs w:val="20"/>
              </w:rPr>
              <w:t xml:space="preserve"> </w:t>
            </w:r>
            <w:r>
              <w:rPr>
                <w:spacing w:val="10"/>
                <w:sz w:val="20"/>
                <w:szCs w:val="20"/>
              </w:rPr>
              <w:t>新产品研发提供的个性化校准服务，其中</w:t>
            </w:r>
            <w:r>
              <w:rPr>
                <w:sz w:val="20"/>
                <w:szCs w:val="20"/>
              </w:rPr>
              <w:t xml:space="preserve"> </w:t>
            </w:r>
            <w:r>
              <w:rPr>
                <w:spacing w:val="9"/>
                <w:sz w:val="20"/>
                <w:szCs w:val="20"/>
              </w:rPr>
              <w:t>包含了客户所研发的新产品的技术性能数据，但实验</w:t>
            </w:r>
            <w:r>
              <w:rPr>
                <w:spacing w:val="5"/>
                <w:sz w:val="20"/>
                <w:szCs w:val="20"/>
              </w:rPr>
              <w:t xml:space="preserve"> </w:t>
            </w:r>
            <w:r>
              <w:rPr>
                <w:spacing w:val="8"/>
                <w:sz w:val="20"/>
                <w:szCs w:val="20"/>
              </w:rPr>
              <w:t>室不能提供获得客户书面同意的证据。</w:t>
            </w:r>
          </w:p>
        </w:tc>
        <w:tc>
          <w:tcPr>
            <w:tcW w:w="3703" w:type="dxa"/>
            <w:vAlign w:val="top"/>
          </w:tcPr>
          <w:p>
            <w:pPr>
              <w:spacing w:line="298" w:lineRule="auto"/>
              <w:rPr>
                <w:rFonts w:ascii="Arial"/>
                <w:sz w:val="21"/>
              </w:rPr>
            </w:pPr>
          </w:p>
          <w:p>
            <w:pPr>
              <w:pStyle w:val="TableText"/>
              <w:spacing w:before="65" w:line="268" w:lineRule="auto"/>
              <w:ind w:left="113" w:right="74" w:firstLine="425"/>
              <w:jc w:val="both"/>
              <w:rPr>
                <w:sz w:val="20"/>
                <w:szCs w:val="20"/>
              </w:rPr>
            </w:pPr>
            <w:r>
              <w:rPr>
                <w:spacing w:val="3"/>
                <w:sz w:val="20"/>
                <w:szCs w:val="20"/>
              </w:rPr>
              <w:t>实验室不符合保密性要求，在未通</w:t>
            </w:r>
            <w:r>
              <w:rPr>
                <w:spacing w:val="8"/>
                <w:sz w:val="20"/>
                <w:szCs w:val="20"/>
              </w:rPr>
              <w:t xml:space="preserve"> </w:t>
            </w:r>
            <w:r>
              <w:rPr>
                <w:spacing w:val="6"/>
                <w:sz w:val="20"/>
                <w:szCs w:val="20"/>
              </w:rPr>
              <w:t xml:space="preserve">知客户并获得客户书面同意的情况下， </w:t>
            </w:r>
            <w:r>
              <w:rPr>
                <w:spacing w:val="8"/>
                <w:sz w:val="20"/>
                <w:szCs w:val="20"/>
              </w:rPr>
              <w:t>违规使用了客户的相关敏感信息。</w:t>
            </w:r>
          </w:p>
        </w:tc>
        <w:tc>
          <w:tcPr>
            <w:tcW w:w="3904" w:type="dxa"/>
            <w:vAlign w:val="top"/>
          </w:tcPr>
          <w:p>
            <w:pPr>
              <w:pStyle w:val="TableText"/>
              <w:spacing w:before="53" w:line="276" w:lineRule="auto"/>
              <w:ind w:left="113" w:right="64" w:firstLine="425"/>
              <w:rPr>
                <w:sz w:val="20"/>
                <w:szCs w:val="20"/>
              </w:rPr>
            </w:pPr>
            <w:r>
              <w:rPr>
                <w:spacing w:val="11"/>
                <w:sz w:val="20"/>
                <w:szCs w:val="20"/>
              </w:rPr>
              <w:t>实验室按照</w:t>
            </w:r>
            <w:r>
              <w:rPr>
                <w:spacing w:val="-23"/>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11"/>
                <w:sz w:val="20"/>
                <w:szCs w:val="20"/>
              </w:rPr>
              <w:t>-</w:t>
            </w:r>
            <w:r>
              <w:rPr>
                <w:rFonts w:ascii="Times New Roman" w:eastAsia="Times New Roman" w:hAnsi="Times New Roman" w:cs="Times New Roman"/>
                <w:sz w:val="20"/>
                <w:szCs w:val="20"/>
              </w:rPr>
              <w:t>CL</w:t>
            </w:r>
            <w:r>
              <w:rPr>
                <w:rFonts w:ascii="Times New Roman" w:eastAsia="Times New Roman" w:hAnsi="Times New Roman" w:cs="Times New Roman"/>
                <w:spacing w:val="11"/>
                <w:sz w:val="20"/>
                <w:szCs w:val="20"/>
              </w:rPr>
              <w:t>01 4.2</w:t>
            </w:r>
            <w:r>
              <w:rPr>
                <w:rFonts w:ascii="Times New Roman" w:eastAsia="Times New Roman" w:hAnsi="Times New Roman" w:cs="Times New Roman"/>
                <w:spacing w:val="18"/>
                <w:w w:val="101"/>
                <w:sz w:val="20"/>
                <w:szCs w:val="20"/>
              </w:rPr>
              <w:t xml:space="preserve"> </w:t>
            </w:r>
            <w:r>
              <w:rPr>
                <w:spacing w:val="11"/>
                <w:sz w:val="20"/>
                <w:szCs w:val="20"/>
              </w:rPr>
              <w:t>要求，</w:t>
            </w:r>
            <w:r>
              <w:rPr>
                <w:sz w:val="20"/>
                <w:szCs w:val="20"/>
              </w:rPr>
              <w:t xml:space="preserve"> </w:t>
            </w:r>
            <w:r>
              <w:rPr>
                <w:spacing w:val="6"/>
                <w:sz w:val="20"/>
                <w:szCs w:val="20"/>
              </w:rPr>
              <w:t>征求客户意见，请客户签署书面同意函，</w:t>
            </w:r>
            <w:r>
              <w:rPr>
                <w:spacing w:val="11"/>
                <w:sz w:val="20"/>
                <w:szCs w:val="20"/>
              </w:rPr>
              <w:t xml:space="preserve"> </w:t>
            </w:r>
            <w:r>
              <w:rPr>
                <w:spacing w:val="4"/>
                <w:sz w:val="20"/>
                <w:szCs w:val="20"/>
              </w:rPr>
              <w:t>同意实验室使用并公开相关信息；如果客</w:t>
            </w:r>
            <w:r>
              <w:rPr>
                <w:spacing w:val="3"/>
                <w:sz w:val="20"/>
                <w:szCs w:val="20"/>
              </w:rPr>
              <w:t xml:space="preserve"> </w:t>
            </w:r>
            <w:r>
              <w:rPr>
                <w:spacing w:val="4"/>
                <w:sz w:val="20"/>
                <w:szCs w:val="20"/>
              </w:rPr>
              <w:t>户不同意，实验室应立即撤回相关宣传材</w:t>
            </w:r>
            <w:r>
              <w:rPr>
                <w:spacing w:val="2"/>
                <w:sz w:val="20"/>
                <w:szCs w:val="20"/>
              </w:rPr>
              <w:t xml:space="preserve"> </w:t>
            </w:r>
            <w:r>
              <w:rPr>
                <w:spacing w:val="8"/>
                <w:sz w:val="20"/>
                <w:szCs w:val="20"/>
              </w:rPr>
              <w:t>料，争取获得客户谅解。</w:t>
            </w:r>
          </w:p>
        </w:tc>
      </w:tr>
      <w:tr>
        <w:tblPrEx>
          <w:tblW w:w="14501" w:type="dxa"/>
          <w:tblInd w:w="2" w:type="dxa"/>
          <w:tblLayout w:type="fixed"/>
        </w:tblPrEx>
        <w:trPr>
          <w:trHeight w:val="1535"/>
        </w:trPr>
        <w:tc>
          <w:tcPr>
            <w:tcW w:w="948" w:type="dxa"/>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tc>
        <w:tc>
          <w:tcPr>
            <w:tcW w:w="910" w:type="dxa"/>
            <w:vAlign w:val="top"/>
          </w:tcPr>
          <w:p>
            <w:pPr>
              <w:spacing w:line="319" w:lineRule="auto"/>
              <w:rPr>
                <w:rFonts w:ascii="Arial"/>
                <w:sz w:val="21"/>
              </w:rPr>
            </w:pPr>
          </w:p>
          <w:p>
            <w:pPr>
              <w:spacing w:line="319" w:lineRule="auto"/>
              <w:rPr>
                <w:rFonts w:ascii="Arial"/>
                <w:sz w:val="21"/>
              </w:rPr>
            </w:pPr>
          </w:p>
          <w:p>
            <w:pPr>
              <w:spacing w:before="57"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5036" w:type="dxa"/>
            <w:vAlign w:val="top"/>
          </w:tcPr>
          <w:p>
            <w:pPr>
              <w:pStyle w:val="TableText"/>
              <w:spacing w:before="195" w:line="273" w:lineRule="auto"/>
              <w:ind w:left="111" w:right="105" w:firstLine="423"/>
              <w:jc w:val="both"/>
              <w:rPr>
                <w:sz w:val="20"/>
                <w:szCs w:val="20"/>
              </w:rPr>
            </w:pPr>
            <w:r>
              <w:rPr>
                <w:spacing w:val="19"/>
                <w:sz w:val="20"/>
                <w:szCs w:val="20"/>
              </w:rPr>
              <w:t>查阅实验室提供的关键场所及仪器设备租赁合</w:t>
            </w:r>
            <w:r>
              <w:rPr>
                <w:spacing w:val="10"/>
                <w:sz w:val="20"/>
                <w:szCs w:val="20"/>
              </w:rPr>
              <w:t xml:space="preserve"> </w:t>
            </w:r>
            <w:r>
              <w:rPr>
                <w:spacing w:val="7"/>
                <w:sz w:val="20"/>
                <w:szCs w:val="20"/>
              </w:rPr>
              <w:t>同，其中租赁用途描述“</w:t>
            </w:r>
            <w:r>
              <w:rPr>
                <w:spacing w:val="-50"/>
                <w:sz w:val="20"/>
                <w:szCs w:val="20"/>
              </w:rPr>
              <w:t xml:space="preserve"> </w:t>
            </w:r>
            <w:r>
              <w:rPr>
                <w:spacing w:val="7"/>
                <w:sz w:val="20"/>
                <w:szCs w:val="20"/>
              </w:rPr>
              <w:t>甲、乙双方有权共同使用实</w:t>
            </w:r>
            <w:r>
              <w:rPr>
                <w:sz w:val="20"/>
                <w:szCs w:val="20"/>
              </w:rPr>
              <w:t xml:space="preserve"> </w:t>
            </w:r>
            <w:r>
              <w:rPr>
                <w:spacing w:val="9"/>
                <w:sz w:val="20"/>
                <w:szCs w:val="20"/>
              </w:rPr>
              <w:t>验室场所及仪器设备，使用时间由甲乙双方根据工作</w:t>
            </w:r>
            <w:r>
              <w:rPr>
                <w:spacing w:val="6"/>
                <w:sz w:val="20"/>
                <w:szCs w:val="20"/>
              </w:rPr>
              <w:t xml:space="preserve"> </w:t>
            </w:r>
            <w:r>
              <w:rPr>
                <w:spacing w:val="8"/>
                <w:sz w:val="20"/>
                <w:szCs w:val="20"/>
              </w:rPr>
              <w:t>业务需求协商确定</w:t>
            </w:r>
            <w:r>
              <w:rPr>
                <w:spacing w:val="-70"/>
                <w:sz w:val="20"/>
                <w:szCs w:val="20"/>
              </w:rPr>
              <w:t xml:space="preserve"> </w:t>
            </w:r>
            <w:r>
              <w:rPr>
                <w:spacing w:val="8"/>
                <w:sz w:val="20"/>
                <w:szCs w:val="20"/>
              </w:rPr>
              <w:t>”。</w:t>
            </w:r>
          </w:p>
        </w:tc>
        <w:tc>
          <w:tcPr>
            <w:tcW w:w="3703" w:type="dxa"/>
            <w:vAlign w:val="top"/>
          </w:tcPr>
          <w:p>
            <w:pPr>
              <w:pStyle w:val="TableText"/>
              <w:spacing w:before="196" w:line="273" w:lineRule="auto"/>
              <w:ind w:left="112" w:right="105" w:firstLine="425"/>
              <w:jc w:val="both"/>
              <w:rPr>
                <w:sz w:val="20"/>
                <w:szCs w:val="20"/>
              </w:rPr>
            </w:pPr>
            <w:r>
              <w:rPr>
                <w:spacing w:val="3"/>
                <w:sz w:val="20"/>
                <w:szCs w:val="20"/>
              </w:rPr>
              <w:t>实验室签署的租赁合同表明，对设</w:t>
            </w:r>
            <w:r>
              <w:rPr>
                <w:spacing w:val="5"/>
                <w:sz w:val="20"/>
                <w:szCs w:val="20"/>
              </w:rPr>
              <w:t xml:space="preserve"> </w:t>
            </w:r>
            <w:r>
              <w:rPr>
                <w:spacing w:val="4"/>
                <w:sz w:val="20"/>
                <w:szCs w:val="20"/>
              </w:rPr>
              <w:t>施设备不具有全部使用权和支配权。实</w:t>
            </w:r>
            <w:r>
              <w:rPr>
                <w:spacing w:val="11"/>
                <w:sz w:val="20"/>
                <w:szCs w:val="20"/>
              </w:rPr>
              <w:t xml:space="preserve"> </w:t>
            </w:r>
            <w:r>
              <w:rPr>
                <w:spacing w:val="17"/>
                <w:sz w:val="20"/>
                <w:szCs w:val="20"/>
              </w:rPr>
              <w:t>验室不应与其他机构存在共用设施设</w:t>
            </w:r>
            <w:r>
              <w:rPr>
                <w:spacing w:val="6"/>
                <w:sz w:val="20"/>
                <w:szCs w:val="20"/>
              </w:rPr>
              <w:t xml:space="preserve"> </w:t>
            </w:r>
            <w:r>
              <w:rPr>
                <w:spacing w:val="5"/>
                <w:sz w:val="20"/>
                <w:szCs w:val="20"/>
              </w:rPr>
              <w:t>备情况。</w:t>
            </w:r>
          </w:p>
        </w:tc>
        <w:tc>
          <w:tcPr>
            <w:tcW w:w="3904" w:type="dxa"/>
            <w:vAlign w:val="top"/>
          </w:tcPr>
          <w:p>
            <w:pPr>
              <w:pStyle w:val="TableText"/>
              <w:spacing w:before="195" w:line="273" w:lineRule="auto"/>
              <w:ind w:left="114" w:right="109" w:firstLine="424"/>
              <w:rPr>
                <w:sz w:val="20"/>
                <w:szCs w:val="20"/>
              </w:rPr>
            </w:pPr>
            <w:r>
              <w:rPr>
                <w:spacing w:val="5"/>
                <w:sz w:val="20"/>
                <w:szCs w:val="20"/>
              </w:rPr>
              <w:t>实验室按照</w:t>
            </w:r>
            <w:r>
              <w:rPr>
                <w:spacing w:val="-29"/>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CL</w:t>
            </w:r>
            <w:r>
              <w:rPr>
                <w:rFonts w:ascii="Times New Roman" w:eastAsia="Times New Roman" w:hAnsi="Times New Roman" w:cs="Times New Roman"/>
                <w:spacing w:val="5"/>
                <w:sz w:val="20"/>
                <w:szCs w:val="20"/>
              </w:rPr>
              <w:t>01-G001 6.3</w:t>
            </w:r>
            <w:r>
              <w:rPr>
                <w:rFonts w:ascii="Times New Roman" w:eastAsia="Times New Roman" w:hAnsi="Times New Roman" w:cs="Times New Roman"/>
                <w:spacing w:val="-28"/>
                <w:sz w:val="20"/>
                <w:szCs w:val="20"/>
              </w:rPr>
              <w:t xml:space="preserve"> </w:t>
            </w:r>
            <w:r>
              <w:rPr>
                <w:spacing w:val="5"/>
                <w:sz w:val="20"/>
                <w:szCs w:val="20"/>
              </w:rPr>
              <w:t>、</w:t>
            </w:r>
            <w:r>
              <w:rPr>
                <w:sz w:val="20"/>
                <w:szCs w:val="20"/>
              </w:rPr>
              <w:t xml:space="preserve"> </w:t>
            </w:r>
            <w:r>
              <w:rPr>
                <w:rFonts w:ascii="Times New Roman" w:eastAsia="Times New Roman" w:hAnsi="Times New Roman" w:cs="Times New Roman"/>
                <w:spacing w:val="8"/>
                <w:sz w:val="20"/>
                <w:szCs w:val="20"/>
              </w:rPr>
              <w:t xml:space="preserve">6.4 </w:t>
            </w:r>
            <w:r>
              <w:rPr>
                <w:spacing w:val="8"/>
                <w:sz w:val="20"/>
                <w:szCs w:val="20"/>
              </w:rPr>
              <w:t>要求，对设施、配置的设备拥有完全</w:t>
            </w:r>
            <w:r>
              <w:rPr>
                <w:spacing w:val="14"/>
                <w:sz w:val="20"/>
                <w:szCs w:val="20"/>
              </w:rPr>
              <w:t xml:space="preserve"> </w:t>
            </w:r>
            <w:r>
              <w:rPr>
                <w:spacing w:val="4"/>
                <w:sz w:val="20"/>
                <w:szCs w:val="20"/>
              </w:rPr>
              <w:t>的使用权和支配权，待明确双方租赁的权</w:t>
            </w:r>
            <w:r>
              <w:rPr>
                <w:spacing w:val="2"/>
                <w:sz w:val="20"/>
                <w:szCs w:val="20"/>
              </w:rPr>
              <w:t xml:space="preserve"> </w:t>
            </w:r>
            <w:r>
              <w:rPr>
                <w:spacing w:val="8"/>
                <w:sz w:val="20"/>
                <w:szCs w:val="20"/>
              </w:rPr>
              <w:t>利义务后，重新签订租赁合同。</w:t>
            </w:r>
          </w:p>
        </w:tc>
      </w:tr>
    </w:tbl>
    <w:p>
      <w:pPr>
        <w:sectPr>
          <w:headerReference w:type="default" r:id="rId36"/>
          <w:footerReference w:type="default" r:id="rId37"/>
          <w:pgSz w:w="16839" w:h="11906"/>
          <w:pgMar w:top="1091" w:right="919" w:bottom="1260" w:left="1412" w:header="779" w:footer="983" w:gutter="0"/>
          <w:pgNumType w:start="17"/>
          <w:cols w:space="708"/>
        </w:sectPr>
      </w:pPr>
    </w:p>
    <w:tbl>
      <w:tblPr>
        <w:tblStyle w:val="TableNormal16"/>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8"/>
        <w:gridCol w:w="910"/>
        <w:gridCol w:w="5036"/>
        <w:gridCol w:w="3703"/>
        <w:gridCol w:w="3904"/>
      </w:tblGrid>
      <w:tr>
        <w:tblPrEx>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35"/>
        </w:trPr>
        <w:tc>
          <w:tcPr>
            <w:tcW w:w="948" w:type="dxa"/>
            <w:vMerge w:val="restart"/>
            <w:tcBorders>
              <w:bottom w:val="nil"/>
            </w:tcBorders>
            <w:vAlign w:val="top"/>
          </w:tcPr>
          <w:p>
            <w:pPr>
              <w:spacing w:line="275" w:lineRule="auto"/>
              <w:rPr>
                <w:rFonts w:ascii="Arial"/>
                <w:sz w:val="21"/>
              </w:rPr>
            </w:pPr>
          </w:p>
          <w:p>
            <w:pPr>
              <w:spacing w:line="275" w:lineRule="auto"/>
              <w:rPr>
                <w:rFonts w:ascii="Arial"/>
                <w:sz w:val="21"/>
              </w:rPr>
            </w:pPr>
          </w:p>
          <w:p>
            <w:pPr>
              <w:pStyle w:val="TableText"/>
              <w:spacing w:before="65" w:line="388" w:lineRule="exact"/>
              <w:ind w:left="274"/>
              <w:rPr>
                <w:sz w:val="20"/>
                <w:szCs w:val="20"/>
              </w:rPr>
            </w:pPr>
            <w:r>
              <w:rPr>
                <w:spacing w:val="3"/>
                <w:position w:val="13"/>
                <w:sz w:val="20"/>
                <w:szCs w:val="20"/>
              </w:rPr>
              <w:t>设施</w:t>
            </w:r>
          </w:p>
          <w:p>
            <w:pPr>
              <w:pStyle w:val="TableText"/>
              <w:spacing w:line="229" w:lineRule="auto"/>
              <w:ind w:left="274"/>
              <w:rPr>
                <w:sz w:val="20"/>
                <w:szCs w:val="20"/>
              </w:rPr>
            </w:pPr>
            <w:r>
              <w:rPr>
                <w:spacing w:val="3"/>
                <w:sz w:val="20"/>
                <w:szCs w:val="20"/>
              </w:rPr>
              <w:t>设备</w:t>
            </w:r>
          </w:p>
        </w:tc>
        <w:tc>
          <w:tcPr>
            <w:tcW w:w="910" w:type="dxa"/>
            <w:vAlign w:val="top"/>
          </w:tcPr>
          <w:p/>
        </w:tc>
        <w:tc>
          <w:tcPr>
            <w:tcW w:w="5036" w:type="dxa"/>
            <w:vAlign w:val="top"/>
          </w:tcPr>
          <w:p/>
        </w:tc>
        <w:tc>
          <w:tcPr>
            <w:tcW w:w="3703" w:type="dxa"/>
            <w:vAlign w:val="top"/>
          </w:tcPr>
          <w:p/>
        </w:tc>
        <w:tc>
          <w:tcPr>
            <w:tcW w:w="3904" w:type="dxa"/>
            <w:vAlign w:val="top"/>
          </w:tcPr>
          <w:p/>
        </w:tc>
      </w:tr>
      <w:tr>
        <w:tblPrEx>
          <w:tblW w:w="14501" w:type="dxa"/>
          <w:tblInd w:w="2" w:type="dxa"/>
          <w:tblLayout w:type="fixed"/>
        </w:tblPrEx>
        <w:trPr>
          <w:trHeight w:val="1956"/>
        </w:trPr>
        <w:tc>
          <w:tcPr>
            <w:tcW w:w="948" w:type="dxa"/>
            <w:vMerge/>
            <w:tcBorders>
              <w:top w:val="nil"/>
            </w:tcBorders>
            <w:vAlign w:val="top"/>
          </w:tcPr>
          <w:p>
            <w:pPr>
              <w:rPr>
                <w:rFonts w:ascii="Arial"/>
                <w:sz w:val="21"/>
              </w:rPr>
            </w:pPr>
          </w:p>
        </w:tc>
        <w:tc>
          <w:tcPr>
            <w:tcW w:w="910" w:type="dxa"/>
            <w:vAlign w:val="top"/>
          </w:tcPr>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58" w:line="195"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5036" w:type="dxa"/>
            <w:vAlign w:val="top"/>
          </w:tcPr>
          <w:p>
            <w:pPr>
              <w:pStyle w:val="TableText"/>
              <w:spacing w:before="289" w:line="360" w:lineRule="auto"/>
              <w:ind w:left="112" w:right="105" w:firstLine="425"/>
              <w:jc w:val="both"/>
              <w:rPr>
                <w:sz w:val="20"/>
                <w:szCs w:val="20"/>
              </w:rPr>
            </w:pPr>
            <w:r>
              <w:rPr>
                <w:spacing w:val="5"/>
                <w:sz w:val="20"/>
                <w:szCs w:val="20"/>
              </w:rPr>
              <w:t>实验室</w:t>
            </w:r>
            <w:r>
              <w:rPr>
                <w:spacing w:val="-57"/>
                <w:sz w:val="20"/>
                <w:szCs w:val="20"/>
              </w:rPr>
              <w:t xml:space="preserve"> </w:t>
            </w:r>
            <w:r>
              <w:rPr>
                <w:rFonts w:ascii="Times New Roman" w:eastAsia="Times New Roman" w:hAnsi="Times New Roman" w:cs="Times New Roman"/>
                <w:spacing w:val="5"/>
                <w:sz w:val="20"/>
                <w:szCs w:val="20"/>
              </w:rPr>
              <w:t xml:space="preserve">2020 </w:t>
            </w:r>
            <w:r>
              <w:rPr>
                <w:spacing w:val="5"/>
                <w:sz w:val="20"/>
                <w:szCs w:val="20"/>
              </w:rPr>
              <w:t>年</w:t>
            </w:r>
            <w:r>
              <w:rPr>
                <w:spacing w:val="-47"/>
                <w:sz w:val="20"/>
                <w:szCs w:val="20"/>
              </w:rPr>
              <w:t xml:space="preserve"> </w:t>
            </w:r>
            <w:r>
              <w:rPr>
                <w:rFonts w:ascii="Times New Roman" w:eastAsia="Times New Roman" w:hAnsi="Times New Roman" w:cs="Times New Roman"/>
                <w:spacing w:val="5"/>
                <w:sz w:val="20"/>
                <w:szCs w:val="20"/>
              </w:rPr>
              <w:t xml:space="preserve">8 </w:t>
            </w:r>
            <w:r>
              <w:rPr>
                <w:spacing w:val="5"/>
                <w:sz w:val="20"/>
                <w:szCs w:val="20"/>
              </w:rPr>
              <w:t>月为某企业出具的</w:t>
            </w:r>
            <w:r>
              <w:rPr>
                <w:spacing w:val="-52"/>
                <w:sz w:val="20"/>
                <w:szCs w:val="20"/>
              </w:rPr>
              <w:t xml:space="preserve"> </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4"/>
                <w:sz w:val="20"/>
                <w:szCs w:val="20"/>
              </w:rPr>
              <w:t xml:space="preserve"> </w:t>
            </w:r>
            <w:r>
              <w:rPr>
                <w:spacing w:val="4"/>
                <w:sz w:val="20"/>
                <w:szCs w:val="20"/>
              </w:rPr>
              <w:t>份带</w:t>
            </w:r>
            <w:r>
              <w:rPr>
                <w:spacing w:val="-54"/>
                <w:sz w:val="20"/>
                <w:szCs w:val="20"/>
              </w:rPr>
              <w:t xml:space="preserve"> </w:t>
            </w:r>
            <w:r>
              <w:rPr>
                <w:rFonts w:ascii="Times New Roman" w:eastAsia="Times New Roman" w:hAnsi="Times New Roman" w:cs="Times New Roman"/>
                <w:sz w:val="20"/>
                <w:szCs w:val="20"/>
              </w:rPr>
              <w:t xml:space="preserve">CNAS </w:t>
            </w:r>
            <w:r>
              <w:rPr>
                <w:spacing w:val="9"/>
                <w:sz w:val="20"/>
                <w:szCs w:val="20"/>
              </w:rPr>
              <w:t>认可标识的校准证书，使用的校准仪器为其合作方的</w:t>
            </w:r>
            <w:r>
              <w:rPr>
                <w:spacing w:val="5"/>
                <w:sz w:val="20"/>
                <w:szCs w:val="20"/>
              </w:rPr>
              <w:t xml:space="preserve"> </w:t>
            </w:r>
            <w:r>
              <w:rPr>
                <w:spacing w:val="9"/>
                <w:sz w:val="20"/>
                <w:szCs w:val="20"/>
              </w:rPr>
              <w:t>设备，并在合作方所在地进行校准，与校准证书中校</w:t>
            </w:r>
          </w:p>
          <w:p>
            <w:pPr>
              <w:pStyle w:val="TableText"/>
              <w:spacing w:line="227" w:lineRule="auto"/>
              <w:ind w:left="113"/>
              <w:rPr>
                <w:sz w:val="20"/>
                <w:szCs w:val="20"/>
              </w:rPr>
            </w:pPr>
            <w:r>
              <w:rPr>
                <w:spacing w:val="7"/>
                <w:sz w:val="20"/>
                <w:szCs w:val="20"/>
              </w:rPr>
              <w:t>准活动地点不符。</w:t>
            </w:r>
          </w:p>
        </w:tc>
        <w:tc>
          <w:tcPr>
            <w:tcW w:w="3703" w:type="dxa"/>
            <w:vAlign w:val="top"/>
          </w:tcPr>
          <w:p>
            <w:pPr>
              <w:pStyle w:val="TableText"/>
              <w:spacing w:before="289" w:line="360" w:lineRule="auto"/>
              <w:ind w:left="117" w:right="105" w:firstLine="421"/>
              <w:jc w:val="both"/>
              <w:rPr>
                <w:sz w:val="20"/>
                <w:szCs w:val="20"/>
              </w:rPr>
            </w:pPr>
            <w:r>
              <w:rPr>
                <w:spacing w:val="18"/>
                <w:sz w:val="20"/>
                <w:szCs w:val="20"/>
              </w:rPr>
              <w:t>实验室不应与其他机构存在共用</w:t>
            </w:r>
            <w:r>
              <w:rPr>
                <w:spacing w:val="1"/>
                <w:sz w:val="20"/>
                <w:szCs w:val="20"/>
              </w:rPr>
              <w:t xml:space="preserve"> </w:t>
            </w:r>
            <w:r>
              <w:rPr>
                <w:spacing w:val="4"/>
                <w:sz w:val="20"/>
                <w:szCs w:val="20"/>
              </w:rPr>
              <w:t xml:space="preserve">设施设备情况，仪器设备应在申报认可 </w:t>
            </w:r>
            <w:r>
              <w:rPr>
                <w:spacing w:val="4"/>
                <w:sz w:val="20"/>
                <w:szCs w:val="20"/>
              </w:rPr>
              <w:t>的地点内使用。校准证书中校准活动地</w:t>
            </w:r>
          </w:p>
          <w:p>
            <w:pPr>
              <w:pStyle w:val="TableText"/>
              <w:spacing w:line="228" w:lineRule="auto"/>
              <w:ind w:left="124"/>
              <w:rPr>
                <w:sz w:val="20"/>
                <w:szCs w:val="20"/>
              </w:rPr>
            </w:pPr>
            <w:r>
              <w:rPr>
                <w:spacing w:val="7"/>
                <w:sz w:val="20"/>
                <w:szCs w:val="20"/>
              </w:rPr>
              <w:t>点与实际校准地点不一致。</w:t>
            </w:r>
          </w:p>
        </w:tc>
        <w:tc>
          <w:tcPr>
            <w:tcW w:w="3904" w:type="dxa"/>
            <w:vAlign w:val="top"/>
          </w:tcPr>
          <w:p>
            <w:pPr>
              <w:pStyle w:val="TableText"/>
              <w:spacing w:before="93" w:line="360" w:lineRule="auto"/>
              <w:ind w:left="113" w:right="107" w:firstLine="425"/>
              <w:jc w:val="both"/>
              <w:rPr>
                <w:sz w:val="20"/>
                <w:szCs w:val="20"/>
              </w:rPr>
            </w:pPr>
            <w:r>
              <w:rPr>
                <w:spacing w:val="3"/>
                <w:sz w:val="20"/>
                <w:szCs w:val="20"/>
              </w:rPr>
              <w:t>实</w:t>
            </w:r>
            <w:r>
              <w:rPr>
                <w:spacing w:val="-52"/>
                <w:sz w:val="20"/>
                <w:szCs w:val="20"/>
              </w:rPr>
              <w:t xml:space="preserve"> </w:t>
            </w:r>
            <w:r>
              <w:rPr>
                <w:spacing w:val="3"/>
                <w:sz w:val="20"/>
                <w:szCs w:val="20"/>
              </w:rPr>
              <w:t>验</w:t>
            </w:r>
            <w:r>
              <w:rPr>
                <w:spacing w:val="-55"/>
                <w:sz w:val="20"/>
                <w:szCs w:val="20"/>
              </w:rPr>
              <w:t xml:space="preserve"> </w:t>
            </w:r>
            <w:r>
              <w:rPr>
                <w:spacing w:val="3"/>
                <w:sz w:val="20"/>
                <w:szCs w:val="20"/>
              </w:rPr>
              <w:t>室</w:t>
            </w:r>
            <w:r>
              <w:rPr>
                <w:spacing w:val="-55"/>
                <w:sz w:val="20"/>
                <w:szCs w:val="20"/>
              </w:rPr>
              <w:t xml:space="preserve"> </w:t>
            </w:r>
            <w:r>
              <w:rPr>
                <w:spacing w:val="3"/>
                <w:sz w:val="20"/>
                <w:szCs w:val="20"/>
              </w:rPr>
              <w:t>按</w:t>
            </w:r>
            <w:r>
              <w:rPr>
                <w:spacing w:val="-52"/>
                <w:sz w:val="20"/>
                <w:szCs w:val="20"/>
              </w:rPr>
              <w:t xml:space="preserve"> </w:t>
            </w:r>
            <w:r>
              <w:rPr>
                <w:spacing w:val="3"/>
                <w:sz w:val="20"/>
                <w:szCs w:val="20"/>
              </w:rPr>
              <w:t xml:space="preserve">照 </w:t>
            </w:r>
            <w:r>
              <w:rPr>
                <w:rFonts w:ascii="Times New Roman" w:eastAsia="Times New Roman" w:hAnsi="Times New Roman" w:cs="Times New Roman"/>
                <w:sz w:val="20"/>
                <w:szCs w:val="20"/>
              </w:rPr>
              <w:t>CNAS</w:t>
            </w:r>
            <w:r>
              <w:rPr>
                <w:rFonts w:ascii="Times New Roman" w:eastAsia="Times New Roman" w:hAnsi="Times New Roman" w:cs="Times New Roman"/>
                <w:spacing w:val="3"/>
                <w:sz w:val="20"/>
                <w:szCs w:val="20"/>
              </w:rPr>
              <w:t>-</w:t>
            </w:r>
            <w:r>
              <w:rPr>
                <w:rFonts w:ascii="Times New Roman" w:eastAsia="Times New Roman" w:hAnsi="Times New Roman" w:cs="Times New Roman"/>
                <w:sz w:val="20"/>
                <w:szCs w:val="20"/>
              </w:rPr>
              <w:t>CL</w:t>
            </w:r>
            <w:r>
              <w:rPr>
                <w:rFonts w:ascii="Times New Roman" w:eastAsia="Times New Roman" w:hAnsi="Times New Roman" w:cs="Times New Roman"/>
                <w:spacing w:val="3"/>
                <w:sz w:val="20"/>
                <w:szCs w:val="20"/>
              </w:rPr>
              <w:t>01-G001</w:t>
            </w:r>
            <w:r>
              <w:rPr>
                <w:rFonts w:ascii="Times New Roman" w:eastAsia="Times New Roman" w:hAnsi="Times New Roman" w:cs="Times New Roman"/>
                <w:spacing w:val="47"/>
                <w:sz w:val="20"/>
                <w:szCs w:val="20"/>
              </w:rPr>
              <w:t xml:space="preserve"> </w:t>
            </w:r>
            <w:r>
              <w:rPr>
                <w:rFonts w:ascii="Times New Roman" w:eastAsia="Times New Roman" w:hAnsi="Times New Roman" w:cs="Times New Roman"/>
                <w:spacing w:val="3"/>
                <w:sz w:val="20"/>
                <w:szCs w:val="20"/>
              </w:rPr>
              <w:t>6.4</w:t>
            </w:r>
            <w:r>
              <w:rPr>
                <w:rFonts w:ascii="Times New Roman" w:eastAsia="Times New Roman" w:hAnsi="Times New Roman" w:cs="Times New Roman"/>
                <w:sz w:val="20"/>
                <w:szCs w:val="20"/>
              </w:rPr>
              <w:t xml:space="preserve"> </w:t>
            </w:r>
            <w:r>
              <w:rPr>
                <w:spacing w:val="4"/>
                <w:sz w:val="20"/>
                <w:szCs w:val="20"/>
              </w:rPr>
              <w:t>设备要求，配置的设备应在其申报认可的</w:t>
            </w:r>
            <w:r>
              <w:rPr>
                <w:spacing w:val="3"/>
                <w:sz w:val="20"/>
                <w:szCs w:val="20"/>
              </w:rPr>
              <w:t xml:space="preserve"> </w:t>
            </w:r>
            <w:r>
              <w:rPr>
                <w:spacing w:val="16"/>
                <w:sz w:val="20"/>
                <w:szCs w:val="20"/>
              </w:rPr>
              <w:t>地点内，并对其有完全的使用权和支配</w:t>
            </w:r>
            <w:r>
              <w:rPr>
                <w:spacing w:val="3"/>
                <w:sz w:val="20"/>
                <w:szCs w:val="20"/>
              </w:rPr>
              <w:t xml:space="preserve"> </w:t>
            </w:r>
            <w:r>
              <w:rPr>
                <w:spacing w:val="4"/>
                <w:sz w:val="20"/>
                <w:szCs w:val="20"/>
              </w:rPr>
              <w:t>权。按照实际情况，填写校准证书中校准</w:t>
            </w:r>
          </w:p>
          <w:p>
            <w:pPr>
              <w:pStyle w:val="TableText"/>
              <w:spacing w:line="228" w:lineRule="auto"/>
              <w:ind w:left="117"/>
              <w:rPr>
                <w:sz w:val="20"/>
                <w:szCs w:val="20"/>
              </w:rPr>
            </w:pPr>
            <w:r>
              <w:rPr>
                <w:spacing w:val="5"/>
                <w:sz w:val="20"/>
                <w:szCs w:val="20"/>
              </w:rPr>
              <w:t>活动地点。</w:t>
            </w:r>
          </w:p>
        </w:tc>
      </w:tr>
    </w:tbl>
    <w:p>
      <w:pPr>
        <w:rPr>
          <w:rFonts w:ascii="Arial"/>
          <w:sz w:val="21"/>
        </w:rPr>
      </w:pPr>
    </w:p>
    <w:p>
      <w:pPr>
        <w:rPr>
          <w:rFonts w:ascii="Arial" w:eastAsia="Arial" w:hAnsi="Arial" w:cs="Arial"/>
          <w:sz w:val="21"/>
          <w:szCs w:val="21"/>
        </w:rPr>
        <w:sectPr>
          <w:headerReference w:type="default" r:id="rId38"/>
          <w:footerReference w:type="default" r:id="rId39"/>
          <w:type w:val="nextPage"/>
          <w:pgSz w:w="16839" w:h="11906"/>
          <w:pgMar w:top="1091" w:right="919" w:bottom="1260" w:left="1412" w:header="779" w:footer="983" w:gutter="0"/>
          <w:pgNumType w:start="18"/>
          <w:cols w:space="708"/>
          <w:titlePg w:val="0"/>
        </w:sectPr>
      </w:pPr>
    </w:p>
    <w:p>
      <w:pPr>
        <w:spacing w:before="85"/>
      </w:pPr>
    </w:p>
    <w:tbl>
      <w:tblPr>
        <w:tblStyle w:val="TableNormal17"/>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8"/>
        <w:gridCol w:w="910"/>
        <w:gridCol w:w="5036"/>
        <w:gridCol w:w="3703"/>
        <w:gridCol w:w="3904"/>
      </w:tblGrid>
      <w:tr>
        <w:tblPrEx>
          <w:tblW w:w="1450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4"/>
        </w:trPr>
        <w:tc>
          <w:tcPr>
            <w:tcW w:w="948" w:type="dxa"/>
            <w:shd w:val="clear" w:color="auto" w:fill="D9D9D9"/>
            <w:vAlign w:val="top"/>
          </w:tcPr>
          <w:p>
            <w:pPr>
              <w:pStyle w:val="TableText"/>
              <w:spacing w:before="296" w:line="228" w:lineRule="auto"/>
              <w:ind w:left="269"/>
              <w:rPr>
                <w:sz w:val="20"/>
                <w:szCs w:val="20"/>
              </w:rPr>
            </w:pPr>
            <w:r>
              <w:rPr>
                <w:spacing w:val="5"/>
                <w:sz w:val="20"/>
                <w:szCs w:val="20"/>
                <w14:textOutline w14:w="3795" w14:cap="sq">
                  <w14:solidFill>
                    <w14:srgbClr w14:val="000000"/>
                  </w14:solidFill>
                  <w14:prstDash w14:val="solid"/>
                  <w14:bevel/>
                </w14:textOutline>
              </w:rPr>
              <w:t>要素</w:t>
            </w:r>
          </w:p>
        </w:tc>
        <w:tc>
          <w:tcPr>
            <w:tcW w:w="910" w:type="dxa"/>
            <w:shd w:val="clear" w:color="auto" w:fill="D9D9D9"/>
            <w:vAlign w:val="top"/>
          </w:tcPr>
          <w:p>
            <w:pPr>
              <w:pStyle w:val="TableText"/>
              <w:spacing w:before="296" w:line="228" w:lineRule="auto"/>
              <w:ind w:left="248"/>
              <w:rPr>
                <w:sz w:val="20"/>
                <w:szCs w:val="20"/>
              </w:rPr>
            </w:pPr>
            <w:r>
              <w:rPr>
                <w:spacing w:val="5"/>
                <w:sz w:val="20"/>
                <w:szCs w:val="20"/>
                <w14:textOutline w14:w="3795" w14:cap="sq">
                  <w14:solidFill>
                    <w14:srgbClr w14:val="000000"/>
                  </w14:solidFill>
                  <w14:prstDash w14:val="solid"/>
                  <w14:bevel/>
                </w14:textOutline>
              </w:rPr>
              <w:t>编号</w:t>
            </w:r>
          </w:p>
        </w:tc>
        <w:tc>
          <w:tcPr>
            <w:tcW w:w="5036" w:type="dxa"/>
            <w:shd w:val="clear" w:color="auto" w:fill="D9D9D9"/>
            <w:vAlign w:val="top"/>
          </w:tcPr>
          <w:p>
            <w:pPr>
              <w:pStyle w:val="TableText"/>
              <w:spacing w:before="296" w:line="227" w:lineRule="auto"/>
              <w:ind w:left="1682"/>
              <w:rPr>
                <w:sz w:val="20"/>
                <w:szCs w:val="20"/>
              </w:rPr>
            </w:pPr>
            <w:r>
              <w:rPr>
                <w:spacing w:val="9"/>
                <w:sz w:val="20"/>
                <w:szCs w:val="20"/>
                <w14:textOutline w14:w="3795" w14:cap="sq">
                  <w14:solidFill>
                    <w14:srgbClr w14:val="000000"/>
                  </w14:solidFill>
                  <w14:prstDash w14:val="solid"/>
                  <w14:bevel/>
                </w14:textOutline>
              </w:rPr>
              <w:t>不符合项事实陈述</w:t>
            </w:r>
          </w:p>
        </w:tc>
        <w:tc>
          <w:tcPr>
            <w:tcW w:w="3703" w:type="dxa"/>
            <w:shd w:val="clear" w:color="auto" w:fill="D9D9D9"/>
            <w:vAlign w:val="top"/>
          </w:tcPr>
          <w:p>
            <w:pPr>
              <w:pStyle w:val="TableText"/>
              <w:spacing w:before="296" w:line="228" w:lineRule="auto"/>
              <w:ind w:left="1228"/>
              <w:rPr>
                <w:sz w:val="20"/>
                <w:szCs w:val="20"/>
              </w:rPr>
            </w:pPr>
            <w:r>
              <w:rPr>
                <w:spacing w:val="8"/>
                <w:sz w:val="20"/>
                <w:szCs w:val="20"/>
                <w14:textOutline w14:w="3795" w14:cap="sq">
                  <w14:solidFill>
                    <w14:srgbClr w14:val="000000"/>
                  </w14:solidFill>
                  <w14:prstDash w14:val="solid"/>
                  <w14:bevel/>
                </w14:textOutline>
              </w:rPr>
              <w:t>不符合项分析</w:t>
            </w:r>
          </w:p>
        </w:tc>
        <w:tc>
          <w:tcPr>
            <w:tcW w:w="3904" w:type="dxa"/>
            <w:shd w:val="clear" w:color="auto" w:fill="D9D9D9"/>
            <w:vAlign w:val="top"/>
          </w:tcPr>
          <w:p>
            <w:pPr>
              <w:pStyle w:val="TableText"/>
              <w:spacing w:before="296" w:line="228" w:lineRule="auto"/>
              <w:ind w:left="1535"/>
              <w:rPr>
                <w:sz w:val="20"/>
                <w:szCs w:val="20"/>
              </w:rPr>
            </w:pPr>
            <w:r>
              <w:rPr>
                <w:spacing w:val="8"/>
                <w:sz w:val="20"/>
                <w:szCs w:val="20"/>
                <w14:textOutline w14:w="3795" w14:cap="sq">
                  <w14:solidFill>
                    <w14:srgbClr w14:val="000000"/>
                  </w14:solidFill>
                  <w14:prstDash w14:val="solid"/>
                  <w14:bevel/>
                </w14:textOutline>
              </w:rPr>
              <w:t>整改建议</w:t>
            </w:r>
          </w:p>
        </w:tc>
      </w:tr>
      <w:tr>
        <w:tblPrEx>
          <w:tblW w:w="14501" w:type="dxa"/>
          <w:tblInd w:w="2" w:type="dxa"/>
          <w:tblLayout w:type="fixed"/>
        </w:tblPrEx>
        <w:trPr>
          <w:trHeight w:val="2343"/>
        </w:trPr>
        <w:tc>
          <w:tcPr>
            <w:tcW w:w="948" w:type="dxa"/>
            <w:vAlign w:val="top"/>
          </w:tcPr>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30" w:lineRule="auto"/>
              <w:ind w:left="270"/>
              <w:rPr>
                <w:sz w:val="20"/>
                <w:szCs w:val="20"/>
              </w:rPr>
            </w:pPr>
            <w:r>
              <w:rPr>
                <w:spacing w:val="5"/>
                <w:sz w:val="20"/>
                <w:szCs w:val="20"/>
              </w:rPr>
              <w:t>记录</w:t>
            </w:r>
          </w:p>
        </w:tc>
        <w:tc>
          <w:tcPr>
            <w:tcW w:w="910"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58" w:line="192"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5036" w:type="dxa"/>
            <w:vAlign w:val="top"/>
          </w:tcPr>
          <w:p>
            <w:pPr>
              <w:pStyle w:val="TableText"/>
              <w:spacing w:before="91" w:line="360" w:lineRule="auto"/>
              <w:ind w:left="111" w:right="105" w:firstLine="425"/>
              <w:jc w:val="both"/>
              <w:rPr>
                <w:sz w:val="20"/>
                <w:szCs w:val="20"/>
              </w:rPr>
            </w:pPr>
            <w:r>
              <w:rPr>
                <w:spacing w:val="7"/>
                <w:sz w:val="20"/>
                <w:szCs w:val="20"/>
              </w:rPr>
              <w:t>实验室提供</w:t>
            </w:r>
            <w:r>
              <w:rPr>
                <w:spacing w:val="-23"/>
                <w:sz w:val="20"/>
                <w:szCs w:val="20"/>
              </w:rPr>
              <w:t xml:space="preserve"> </w:t>
            </w:r>
            <w:r>
              <w:rPr>
                <w:rFonts w:ascii="Times New Roman" w:eastAsia="Times New Roman" w:hAnsi="Times New Roman" w:cs="Times New Roman"/>
                <w:spacing w:val="7"/>
                <w:sz w:val="20"/>
                <w:szCs w:val="20"/>
              </w:rPr>
              <w:t xml:space="preserve">100 </w:t>
            </w:r>
            <w:r>
              <w:rPr>
                <w:spacing w:val="7"/>
                <w:sz w:val="20"/>
                <w:szCs w:val="20"/>
              </w:rPr>
              <w:t>余份绝缘电阻表校准报告中，出</w:t>
            </w:r>
            <w:r>
              <w:rPr>
                <w:sz w:val="20"/>
                <w:szCs w:val="20"/>
              </w:rPr>
              <w:t xml:space="preserve"> </w:t>
            </w:r>
            <w:r>
              <w:rPr>
                <w:spacing w:val="12"/>
                <w:sz w:val="20"/>
                <w:szCs w:val="20"/>
              </w:rPr>
              <w:t>具的</w:t>
            </w:r>
            <w:r>
              <w:rPr>
                <w:spacing w:val="-31"/>
                <w:sz w:val="20"/>
                <w:szCs w:val="20"/>
              </w:rPr>
              <w:t xml:space="preserve"> </w:t>
            </w:r>
            <w:r>
              <w:rPr>
                <w:rFonts w:ascii="Times New Roman" w:eastAsia="Times New Roman" w:hAnsi="Times New Roman" w:cs="Times New Roman"/>
                <w:spacing w:val="12"/>
                <w:sz w:val="20"/>
                <w:szCs w:val="20"/>
              </w:rPr>
              <w:t>30</w:t>
            </w:r>
            <w:r>
              <w:rPr>
                <w:rFonts w:ascii="Times New Roman" w:eastAsia="Times New Roman" w:hAnsi="Times New Roman" w:cs="Times New Roman"/>
                <w:spacing w:val="18"/>
                <w:sz w:val="20"/>
                <w:szCs w:val="20"/>
              </w:rPr>
              <w:t xml:space="preserve"> </w:t>
            </w:r>
            <w:r>
              <w:rPr>
                <w:spacing w:val="12"/>
                <w:sz w:val="20"/>
                <w:szCs w:val="20"/>
              </w:rPr>
              <w:t>余份校准报告中有倾斜影响项目，但不能提</w:t>
            </w:r>
            <w:r>
              <w:rPr>
                <w:sz w:val="20"/>
                <w:szCs w:val="20"/>
              </w:rPr>
              <w:t xml:space="preserve"> </w:t>
            </w:r>
            <w:r>
              <w:rPr>
                <w:spacing w:val="9"/>
                <w:sz w:val="20"/>
                <w:szCs w:val="20"/>
              </w:rPr>
              <w:t>供这些项目的原始记录，部分原始记录以纸质方式存</w:t>
            </w:r>
            <w:r>
              <w:rPr>
                <w:spacing w:val="4"/>
                <w:sz w:val="20"/>
                <w:szCs w:val="20"/>
              </w:rPr>
              <w:t xml:space="preserve"> </w:t>
            </w:r>
            <w:r>
              <w:rPr>
                <w:spacing w:val="9"/>
                <w:sz w:val="20"/>
                <w:szCs w:val="20"/>
              </w:rPr>
              <w:t>放在校准人员处，未统一归档。实验室解释，这些试</w:t>
            </w:r>
            <w:r>
              <w:rPr>
                <w:spacing w:val="6"/>
                <w:sz w:val="20"/>
                <w:szCs w:val="20"/>
              </w:rPr>
              <w:t xml:space="preserve"> </w:t>
            </w:r>
            <w:r>
              <w:rPr>
                <w:spacing w:val="9"/>
                <w:sz w:val="20"/>
                <w:szCs w:val="20"/>
              </w:rPr>
              <w:t>验数据用于产品内部质控，部分校准项目直接出具报</w:t>
            </w:r>
          </w:p>
          <w:p>
            <w:pPr>
              <w:pStyle w:val="TableText"/>
              <w:spacing w:line="226" w:lineRule="auto"/>
              <w:ind w:left="117"/>
              <w:rPr>
                <w:sz w:val="20"/>
                <w:szCs w:val="20"/>
              </w:rPr>
            </w:pPr>
            <w:r>
              <w:rPr>
                <w:spacing w:val="7"/>
                <w:sz w:val="20"/>
                <w:szCs w:val="20"/>
              </w:rPr>
              <w:t>告，简化原始记录。</w:t>
            </w:r>
          </w:p>
        </w:tc>
        <w:tc>
          <w:tcPr>
            <w:tcW w:w="3703" w:type="dxa"/>
            <w:vAlign w:val="top"/>
          </w:tcPr>
          <w:p>
            <w:pPr>
              <w:spacing w:line="412" w:lineRule="auto"/>
              <w:rPr>
                <w:rFonts w:ascii="Arial"/>
                <w:sz w:val="21"/>
              </w:rPr>
            </w:pPr>
          </w:p>
          <w:p>
            <w:pPr>
              <w:pStyle w:val="TableText"/>
              <w:spacing w:before="65" w:line="360" w:lineRule="auto"/>
              <w:ind w:left="115" w:right="105" w:firstLine="421"/>
              <w:jc w:val="both"/>
              <w:rPr>
                <w:sz w:val="20"/>
                <w:szCs w:val="20"/>
              </w:rPr>
            </w:pPr>
            <w:r>
              <w:rPr>
                <w:spacing w:val="3"/>
                <w:sz w:val="20"/>
                <w:szCs w:val="20"/>
              </w:rPr>
              <w:t>不论是内部质量控制，还是对外开</w:t>
            </w:r>
            <w:r>
              <w:rPr>
                <w:spacing w:val="9"/>
                <w:sz w:val="20"/>
                <w:szCs w:val="20"/>
              </w:rPr>
              <w:t xml:space="preserve"> </w:t>
            </w:r>
            <w:r>
              <w:rPr>
                <w:spacing w:val="4"/>
                <w:sz w:val="20"/>
                <w:szCs w:val="20"/>
              </w:rPr>
              <w:t>展校准活动，都应按照校准方法、认可</w:t>
            </w:r>
            <w:r>
              <w:rPr>
                <w:spacing w:val="6"/>
                <w:sz w:val="20"/>
                <w:szCs w:val="20"/>
              </w:rPr>
              <w:t xml:space="preserve"> </w:t>
            </w:r>
            <w:r>
              <w:rPr>
                <w:spacing w:val="17"/>
                <w:sz w:val="20"/>
                <w:szCs w:val="20"/>
              </w:rPr>
              <w:t>文件要求记录原始数据，做好记录控</w:t>
            </w:r>
          </w:p>
          <w:p>
            <w:pPr>
              <w:pStyle w:val="TableText"/>
              <w:spacing w:line="228" w:lineRule="auto"/>
              <w:ind w:left="114"/>
              <w:rPr>
                <w:sz w:val="20"/>
                <w:szCs w:val="20"/>
              </w:rPr>
            </w:pPr>
            <w:r>
              <w:rPr>
                <w:sz w:val="20"/>
                <w:szCs w:val="20"/>
              </w:rPr>
              <w:t>制。</w:t>
            </w:r>
          </w:p>
        </w:tc>
        <w:tc>
          <w:tcPr>
            <w:tcW w:w="3904" w:type="dxa"/>
            <w:vAlign w:val="top"/>
          </w:tcPr>
          <w:p>
            <w:pPr>
              <w:spacing w:line="412" w:lineRule="auto"/>
              <w:rPr>
                <w:rFonts w:ascii="Arial"/>
                <w:sz w:val="21"/>
              </w:rPr>
            </w:pPr>
          </w:p>
          <w:p>
            <w:pPr>
              <w:pStyle w:val="TableText"/>
              <w:spacing w:before="65" w:line="360" w:lineRule="auto"/>
              <w:ind w:left="114" w:right="109" w:firstLine="424"/>
              <w:jc w:val="both"/>
              <w:rPr>
                <w:sz w:val="20"/>
                <w:szCs w:val="20"/>
              </w:rPr>
            </w:pPr>
            <w:r>
              <w:rPr>
                <w:spacing w:val="6"/>
                <w:sz w:val="20"/>
                <w:szCs w:val="20"/>
              </w:rPr>
              <w:t>实验室按照</w:t>
            </w:r>
            <w:r>
              <w:rPr>
                <w:spacing w:val="-36"/>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CL</w:t>
            </w:r>
            <w:r>
              <w:rPr>
                <w:rFonts w:ascii="Times New Roman" w:eastAsia="Times New Roman" w:hAnsi="Times New Roman" w:cs="Times New Roman"/>
                <w:spacing w:val="6"/>
                <w:sz w:val="20"/>
                <w:szCs w:val="20"/>
              </w:rPr>
              <w:t>01 7.5</w:t>
            </w:r>
            <w:r>
              <w:rPr>
                <w:rFonts w:ascii="Times New Roman" w:eastAsia="Times New Roman" w:hAnsi="Times New Roman" w:cs="Times New Roman"/>
                <w:spacing w:val="-28"/>
                <w:sz w:val="20"/>
                <w:szCs w:val="20"/>
              </w:rPr>
              <w:t xml:space="preserve"> </w:t>
            </w:r>
            <w:r>
              <w:rPr>
                <w:spacing w:val="6"/>
                <w:sz w:val="20"/>
                <w:szCs w:val="20"/>
              </w:rPr>
              <w:t>、</w:t>
            </w:r>
            <w:r>
              <w:rPr>
                <w:rFonts w:ascii="Times New Roman" w:eastAsia="Times New Roman" w:hAnsi="Times New Roman" w:cs="Times New Roman"/>
                <w:spacing w:val="6"/>
                <w:sz w:val="20"/>
                <w:szCs w:val="20"/>
              </w:rPr>
              <w:t xml:space="preserve">8.4 </w:t>
            </w:r>
            <w:r>
              <w:rPr>
                <w:spacing w:val="6"/>
                <w:sz w:val="20"/>
                <w:szCs w:val="20"/>
              </w:rPr>
              <w:t>记</w:t>
            </w:r>
            <w:r>
              <w:rPr>
                <w:sz w:val="20"/>
                <w:szCs w:val="20"/>
              </w:rPr>
              <w:t xml:space="preserve"> </w:t>
            </w:r>
            <w:r>
              <w:rPr>
                <w:spacing w:val="4"/>
                <w:sz w:val="20"/>
                <w:szCs w:val="20"/>
              </w:rPr>
              <w:t>录要求，根据校准方法规定的校准项目进</w:t>
            </w:r>
            <w:r>
              <w:rPr>
                <w:spacing w:val="2"/>
                <w:sz w:val="20"/>
                <w:szCs w:val="20"/>
              </w:rPr>
              <w:t xml:space="preserve"> </w:t>
            </w:r>
            <w:r>
              <w:rPr>
                <w:spacing w:val="4"/>
                <w:sz w:val="20"/>
                <w:szCs w:val="20"/>
              </w:rPr>
              <w:t>行试验并记录数据，建立归档程序，确保</w:t>
            </w:r>
          </w:p>
          <w:p>
            <w:pPr>
              <w:pStyle w:val="TableText"/>
              <w:spacing w:line="227" w:lineRule="auto"/>
              <w:ind w:left="122"/>
              <w:rPr>
                <w:sz w:val="20"/>
                <w:szCs w:val="20"/>
              </w:rPr>
            </w:pPr>
            <w:r>
              <w:rPr>
                <w:spacing w:val="8"/>
                <w:sz w:val="20"/>
                <w:szCs w:val="20"/>
              </w:rPr>
              <w:t>能易于获得所有的原始记录和数据。</w:t>
            </w:r>
          </w:p>
        </w:tc>
      </w:tr>
      <w:tr>
        <w:tblPrEx>
          <w:tblW w:w="14501" w:type="dxa"/>
          <w:tblInd w:w="2" w:type="dxa"/>
          <w:tblLayout w:type="fixed"/>
        </w:tblPrEx>
        <w:trPr>
          <w:trHeight w:val="1521"/>
        </w:trPr>
        <w:tc>
          <w:tcPr>
            <w:tcW w:w="948" w:type="dxa"/>
            <w:vAlign w:val="top"/>
          </w:tcPr>
          <w:p>
            <w:pPr>
              <w:spacing w:line="394" w:lineRule="auto"/>
              <w:rPr>
                <w:rFonts w:ascii="Arial"/>
                <w:sz w:val="21"/>
              </w:rPr>
            </w:pPr>
          </w:p>
          <w:p>
            <w:pPr>
              <w:pStyle w:val="TableText"/>
              <w:spacing w:before="65" w:line="388" w:lineRule="exact"/>
              <w:ind w:left="275"/>
              <w:rPr>
                <w:sz w:val="20"/>
                <w:szCs w:val="20"/>
              </w:rPr>
            </w:pPr>
            <w:r>
              <w:rPr>
                <w:spacing w:val="2"/>
                <w:position w:val="13"/>
                <w:sz w:val="20"/>
                <w:szCs w:val="20"/>
              </w:rPr>
              <w:t>管理</w:t>
            </w:r>
          </w:p>
          <w:p>
            <w:pPr>
              <w:pStyle w:val="TableText"/>
              <w:spacing w:line="229" w:lineRule="auto"/>
              <w:ind w:left="270"/>
              <w:rPr>
                <w:sz w:val="20"/>
                <w:szCs w:val="20"/>
              </w:rPr>
            </w:pPr>
            <w:r>
              <w:rPr>
                <w:spacing w:val="4"/>
                <w:sz w:val="20"/>
                <w:szCs w:val="20"/>
              </w:rPr>
              <w:t>体系</w:t>
            </w:r>
          </w:p>
        </w:tc>
        <w:tc>
          <w:tcPr>
            <w:tcW w:w="910" w:type="dxa"/>
            <w:vAlign w:val="top"/>
          </w:tcPr>
          <w:p>
            <w:pPr>
              <w:spacing w:line="315" w:lineRule="auto"/>
              <w:rPr>
                <w:rFonts w:ascii="Arial"/>
                <w:sz w:val="21"/>
              </w:rPr>
            </w:pPr>
          </w:p>
          <w:p>
            <w:pPr>
              <w:spacing w:line="315" w:lineRule="auto"/>
              <w:rPr>
                <w:rFonts w:ascii="Arial"/>
                <w:sz w:val="21"/>
              </w:rPr>
            </w:pPr>
          </w:p>
          <w:p>
            <w:pPr>
              <w:spacing w:before="57" w:line="195"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5036" w:type="dxa"/>
            <w:vAlign w:val="top"/>
          </w:tcPr>
          <w:p>
            <w:pPr>
              <w:pStyle w:val="TableText"/>
              <w:spacing w:before="188" w:line="273" w:lineRule="auto"/>
              <w:ind w:left="115" w:right="107" w:firstLine="421"/>
              <w:jc w:val="both"/>
              <w:rPr>
                <w:sz w:val="20"/>
                <w:szCs w:val="20"/>
              </w:rPr>
            </w:pPr>
            <w:r>
              <w:rPr>
                <w:spacing w:val="11"/>
                <w:sz w:val="20"/>
                <w:szCs w:val="20"/>
              </w:rPr>
              <w:t>实验室申请认可校准项目</w:t>
            </w:r>
            <w:r>
              <w:rPr>
                <w:spacing w:val="-16"/>
                <w:sz w:val="20"/>
                <w:szCs w:val="20"/>
              </w:rPr>
              <w:t xml:space="preserve"> </w:t>
            </w:r>
            <w:r>
              <w:rPr>
                <w:rFonts w:ascii="Times New Roman" w:eastAsia="Times New Roman" w:hAnsi="Times New Roman" w:cs="Times New Roman"/>
                <w:spacing w:val="11"/>
                <w:sz w:val="20"/>
                <w:szCs w:val="20"/>
              </w:rPr>
              <w:t>30</w:t>
            </w:r>
            <w:r>
              <w:rPr>
                <w:rFonts w:ascii="Times New Roman" w:eastAsia="Times New Roman" w:hAnsi="Times New Roman" w:cs="Times New Roman"/>
                <w:spacing w:val="20"/>
                <w:sz w:val="20"/>
                <w:szCs w:val="20"/>
              </w:rPr>
              <w:t xml:space="preserve"> </w:t>
            </w:r>
            <w:r>
              <w:rPr>
                <w:spacing w:val="11"/>
                <w:sz w:val="20"/>
                <w:szCs w:val="20"/>
              </w:rPr>
              <w:t>项，但多个校准项</w:t>
            </w:r>
            <w:r>
              <w:rPr>
                <w:sz w:val="20"/>
                <w:szCs w:val="20"/>
              </w:rPr>
              <w:t xml:space="preserve"> </w:t>
            </w:r>
            <w:r>
              <w:rPr>
                <w:spacing w:val="9"/>
                <w:sz w:val="20"/>
                <w:szCs w:val="20"/>
              </w:rPr>
              <w:t>目缺少人员培训记录、质量控制、校准经历或相应的</w:t>
            </w:r>
            <w:r>
              <w:rPr>
                <w:sz w:val="20"/>
                <w:szCs w:val="20"/>
              </w:rPr>
              <w:t xml:space="preserve"> </w:t>
            </w:r>
            <w:r>
              <w:rPr>
                <w:spacing w:val="9"/>
                <w:sz w:val="20"/>
                <w:szCs w:val="20"/>
              </w:rPr>
              <w:t>关键设备。提供的内审、管理评审资料中，未记录相</w:t>
            </w:r>
            <w:r>
              <w:rPr>
                <w:sz w:val="20"/>
                <w:szCs w:val="20"/>
              </w:rPr>
              <w:t xml:space="preserve"> </w:t>
            </w:r>
            <w:r>
              <w:rPr>
                <w:spacing w:val="4"/>
                <w:sz w:val="20"/>
                <w:szCs w:val="20"/>
              </w:rPr>
              <w:t>关情况。</w:t>
            </w:r>
          </w:p>
        </w:tc>
        <w:tc>
          <w:tcPr>
            <w:tcW w:w="3703" w:type="dxa"/>
            <w:vAlign w:val="top"/>
          </w:tcPr>
          <w:p>
            <w:pPr>
              <w:spacing w:line="277" w:lineRule="auto"/>
              <w:rPr>
                <w:rFonts w:ascii="Arial"/>
                <w:sz w:val="21"/>
              </w:rPr>
            </w:pPr>
          </w:p>
          <w:p>
            <w:pPr>
              <w:pStyle w:val="TableText"/>
              <w:spacing w:before="65" w:line="268" w:lineRule="auto"/>
              <w:ind w:left="118" w:right="74" w:firstLine="420"/>
              <w:jc w:val="both"/>
              <w:rPr>
                <w:sz w:val="20"/>
                <w:szCs w:val="20"/>
              </w:rPr>
            </w:pPr>
            <w:r>
              <w:rPr>
                <w:spacing w:val="5"/>
                <w:sz w:val="20"/>
                <w:szCs w:val="20"/>
              </w:rPr>
              <w:t>实验室管理体系多方面存在问题，</w:t>
            </w:r>
            <w:r>
              <w:rPr>
                <w:spacing w:val="8"/>
                <w:sz w:val="20"/>
                <w:szCs w:val="20"/>
              </w:rPr>
              <w:t xml:space="preserve"> </w:t>
            </w:r>
            <w:r>
              <w:rPr>
                <w:spacing w:val="4"/>
                <w:sz w:val="20"/>
                <w:szCs w:val="20"/>
              </w:rPr>
              <w:t>内部审核、管理评审未达到预期，申请</w:t>
            </w:r>
            <w:r>
              <w:rPr>
                <w:spacing w:val="2"/>
                <w:sz w:val="20"/>
                <w:szCs w:val="20"/>
              </w:rPr>
              <w:t xml:space="preserve"> </w:t>
            </w:r>
            <w:r>
              <w:rPr>
                <w:spacing w:val="8"/>
                <w:sz w:val="20"/>
                <w:szCs w:val="20"/>
              </w:rPr>
              <w:t>实验室认可准备工作不充分。</w:t>
            </w:r>
          </w:p>
        </w:tc>
        <w:tc>
          <w:tcPr>
            <w:tcW w:w="3904" w:type="dxa"/>
            <w:vAlign w:val="top"/>
          </w:tcPr>
          <w:p>
            <w:pPr>
              <w:pStyle w:val="TableText"/>
              <w:spacing w:before="187" w:line="273" w:lineRule="auto"/>
              <w:ind w:left="118" w:right="109" w:firstLine="420"/>
              <w:rPr>
                <w:sz w:val="20"/>
                <w:szCs w:val="20"/>
              </w:rPr>
            </w:pPr>
            <w:r>
              <w:rPr>
                <w:spacing w:val="10"/>
                <w:sz w:val="20"/>
                <w:szCs w:val="20"/>
              </w:rPr>
              <w:t>实验室按照</w:t>
            </w:r>
            <w:r>
              <w:rPr>
                <w:spacing w:val="-32"/>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10"/>
                <w:sz w:val="20"/>
                <w:szCs w:val="20"/>
              </w:rPr>
              <w:t>-</w:t>
            </w:r>
            <w:r>
              <w:rPr>
                <w:rFonts w:ascii="Times New Roman" w:eastAsia="Times New Roman" w:hAnsi="Times New Roman" w:cs="Times New Roman"/>
                <w:sz w:val="20"/>
                <w:szCs w:val="20"/>
              </w:rPr>
              <w:t>RL</w:t>
            </w:r>
            <w:r>
              <w:rPr>
                <w:rFonts w:ascii="Times New Roman" w:eastAsia="Times New Roman" w:hAnsi="Times New Roman" w:cs="Times New Roman"/>
                <w:spacing w:val="10"/>
                <w:sz w:val="20"/>
                <w:szCs w:val="20"/>
              </w:rPr>
              <w:t>01</w:t>
            </w:r>
            <w:r>
              <w:rPr>
                <w:rFonts w:ascii="Times New Roman" w:eastAsia="Times New Roman" w:hAnsi="Times New Roman" w:cs="Times New Roman"/>
                <w:spacing w:val="18"/>
                <w:w w:val="101"/>
                <w:sz w:val="20"/>
                <w:szCs w:val="20"/>
              </w:rPr>
              <w:t xml:space="preserve"> </w:t>
            </w:r>
            <w:r>
              <w:rPr>
                <w:rFonts w:ascii="Times New Roman" w:eastAsia="Times New Roman" w:hAnsi="Times New Roman" w:cs="Times New Roman"/>
                <w:spacing w:val="10"/>
                <w:sz w:val="20"/>
                <w:szCs w:val="20"/>
              </w:rPr>
              <w:t>6.9</w:t>
            </w:r>
            <w:r>
              <w:rPr>
                <w:rFonts w:ascii="Times New Roman" w:eastAsia="Times New Roman" w:hAnsi="Times New Roman" w:cs="Times New Roman"/>
                <w:spacing w:val="17"/>
                <w:w w:val="101"/>
                <w:sz w:val="20"/>
                <w:szCs w:val="20"/>
              </w:rPr>
              <w:t xml:space="preserve"> </w:t>
            </w:r>
            <w:r>
              <w:rPr>
                <w:spacing w:val="10"/>
                <w:sz w:val="20"/>
                <w:szCs w:val="20"/>
              </w:rPr>
              <w:t>要求，</w:t>
            </w:r>
            <w:r>
              <w:rPr>
                <w:sz w:val="20"/>
                <w:szCs w:val="20"/>
              </w:rPr>
              <w:t xml:space="preserve"> </w:t>
            </w:r>
            <w:r>
              <w:rPr>
                <w:spacing w:val="15"/>
                <w:sz w:val="20"/>
                <w:szCs w:val="20"/>
              </w:rPr>
              <w:t xml:space="preserve">申请认可的校准能力应为经常开展且成 </w:t>
            </w:r>
            <w:r>
              <w:rPr>
                <w:spacing w:val="3"/>
                <w:sz w:val="20"/>
                <w:szCs w:val="20"/>
              </w:rPr>
              <w:t>熟的项目，结合实际运行情况，认真组织</w:t>
            </w:r>
            <w:r>
              <w:rPr>
                <w:spacing w:val="16"/>
                <w:sz w:val="20"/>
                <w:szCs w:val="20"/>
              </w:rPr>
              <w:t xml:space="preserve"> </w:t>
            </w:r>
            <w:r>
              <w:rPr>
                <w:spacing w:val="8"/>
                <w:sz w:val="20"/>
                <w:szCs w:val="20"/>
              </w:rPr>
              <w:t>实施内部审核、管理评审活动。</w:t>
            </w:r>
          </w:p>
        </w:tc>
      </w:tr>
      <w:tr>
        <w:tblPrEx>
          <w:tblW w:w="14501" w:type="dxa"/>
          <w:tblInd w:w="2" w:type="dxa"/>
          <w:tblLayout w:type="fixed"/>
        </w:tblPrEx>
        <w:trPr>
          <w:trHeight w:val="1564"/>
        </w:trPr>
        <w:tc>
          <w:tcPr>
            <w:tcW w:w="948" w:type="dxa"/>
            <w:vMerge w:val="restart"/>
            <w:tcBorders>
              <w:bottom w:val="nil"/>
            </w:tcBorders>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65" w:line="392" w:lineRule="exact"/>
              <w:ind w:left="270"/>
              <w:rPr>
                <w:sz w:val="20"/>
                <w:szCs w:val="20"/>
              </w:rPr>
            </w:pPr>
            <w:r>
              <w:rPr>
                <w:spacing w:val="4"/>
                <w:position w:val="14"/>
                <w:sz w:val="20"/>
                <w:szCs w:val="20"/>
              </w:rPr>
              <w:t>认可</w:t>
            </w:r>
          </w:p>
          <w:p>
            <w:pPr>
              <w:pStyle w:val="TableText"/>
              <w:spacing w:line="229" w:lineRule="auto"/>
              <w:ind w:left="270"/>
              <w:rPr>
                <w:sz w:val="20"/>
                <w:szCs w:val="20"/>
              </w:rPr>
            </w:pPr>
            <w:r>
              <w:rPr>
                <w:spacing w:val="4"/>
                <w:sz w:val="20"/>
                <w:szCs w:val="20"/>
              </w:rPr>
              <w:t>变更</w:t>
            </w:r>
          </w:p>
        </w:tc>
        <w:tc>
          <w:tcPr>
            <w:tcW w:w="910" w:type="dxa"/>
            <w:vAlign w:val="top"/>
          </w:tcPr>
          <w:p>
            <w:pPr>
              <w:spacing w:line="328" w:lineRule="auto"/>
              <w:rPr>
                <w:rFonts w:ascii="Arial"/>
                <w:sz w:val="21"/>
              </w:rPr>
            </w:pPr>
          </w:p>
          <w:p>
            <w:pPr>
              <w:spacing w:line="329" w:lineRule="auto"/>
              <w:rPr>
                <w:rFonts w:ascii="Arial"/>
                <w:sz w:val="21"/>
              </w:rPr>
            </w:pPr>
          </w:p>
          <w:p>
            <w:pPr>
              <w:spacing w:before="58" w:line="192" w:lineRule="auto"/>
              <w:ind w:left="40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5036" w:type="dxa"/>
            <w:vAlign w:val="top"/>
          </w:tcPr>
          <w:p>
            <w:pPr>
              <w:pStyle w:val="TableText"/>
              <w:spacing w:before="93" w:line="360" w:lineRule="auto"/>
              <w:ind w:left="111" w:right="105" w:firstLine="420"/>
              <w:jc w:val="both"/>
              <w:rPr>
                <w:sz w:val="20"/>
                <w:szCs w:val="20"/>
              </w:rPr>
            </w:pPr>
            <w:r>
              <w:rPr>
                <w:rFonts w:ascii="Times New Roman" w:eastAsia="Times New Roman" w:hAnsi="Times New Roman" w:cs="Times New Roman"/>
                <w:sz w:val="20"/>
                <w:szCs w:val="20"/>
              </w:rPr>
              <w:t>CNAS</w:t>
            </w:r>
            <w:r>
              <w:rPr>
                <w:rFonts w:ascii="Times New Roman" w:eastAsia="Times New Roman" w:hAnsi="Times New Roman" w:cs="Times New Roman"/>
                <w:spacing w:val="27"/>
                <w:sz w:val="20"/>
                <w:szCs w:val="20"/>
              </w:rPr>
              <w:t xml:space="preserve"> </w:t>
            </w:r>
            <w:r>
              <w:rPr>
                <w:spacing w:val="10"/>
                <w:sz w:val="20"/>
                <w:szCs w:val="20"/>
              </w:rPr>
              <w:t>项目负责人与实验室沟通复评任务时，实</w:t>
            </w:r>
            <w:r>
              <w:rPr>
                <w:sz w:val="20"/>
                <w:szCs w:val="20"/>
              </w:rPr>
              <w:t xml:space="preserve"> </w:t>
            </w:r>
            <w:r>
              <w:rPr>
                <w:spacing w:val="8"/>
                <w:sz w:val="20"/>
                <w:szCs w:val="20"/>
              </w:rPr>
              <w:t>验室联系人表示刚接手工作，实验室原</w:t>
            </w:r>
            <w:r>
              <w:rPr>
                <w:spacing w:val="-29"/>
                <w:sz w:val="20"/>
                <w:szCs w:val="20"/>
              </w:rPr>
              <w:t xml:space="preserve"> </w:t>
            </w:r>
            <w:r>
              <w:rPr>
                <w:rFonts w:ascii="Times New Roman" w:eastAsia="Times New Roman" w:hAnsi="Times New Roman" w:cs="Times New Roman"/>
                <w:spacing w:val="8"/>
                <w:sz w:val="20"/>
                <w:szCs w:val="20"/>
              </w:rPr>
              <w:t xml:space="preserve">2 </w:t>
            </w:r>
            <w:r>
              <w:rPr>
                <w:spacing w:val="8"/>
                <w:sz w:val="20"/>
                <w:szCs w:val="20"/>
              </w:rPr>
              <w:t>名授权签字</w:t>
            </w:r>
            <w:r>
              <w:rPr>
                <w:sz w:val="20"/>
                <w:szCs w:val="20"/>
              </w:rPr>
              <w:t xml:space="preserve"> </w:t>
            </w:r>
            <w:r>
              <w:rPr>
                <w:spacing w:val="1"/>
                <w:sz w:val="20"/>
                <w:szCs w:val="20"/>
              </w:rPr>
              <w:t>人黄</w:t>
            </w:r>
            <w:r>
              <w:rPr>
                <w:spacing w:val="-32"/>
                <w:sz w:val="20"/>
                <w:szCs w:val="20"/>
              </w:rPr>
              <w:t xml:space="preserve"> </w:t>
            </w:r>
            <w:r>
              <w:rPr>
                <w:rFonts w:ascii="Times New Roman" w:eastAsia="Times New Roman" w:hAnsi="Times New Roman" w:cs="Times New Roman"/>
                <w:spacing w:val="1"/>
                <w:sz w:val="20"/>
                <w:szCs w:val="20"/>
              </w:rPr>
              <w:t>X</w:t>
            </w:r>
            <w:r>
              <w:rPr>
                <w:rFonts w:ascii="Times New Roman" w:eastAsia="Times New Roman" w:hAnsi="Times New Roman" w:cs="Times New Roman"/>
                <w:spacing w:val="-27"/>
                <w:sz w:val="20"/>
                <w:szCs w:val="20"/>
              </w:rPr>
              <w:t xml:space="preserve"> </w:t>
            </w:r>
            <w:r>
              <w:rPr>
                <w:spacing w:val="1"/>
                <w:sz w:val="20"/>
                <w:szCs w:val="20"/>
              </w:rPr>
              <w:t>、吕</w:t>
            </w:r>
            <w:r>
              <w:rPr>
                <w:spacing w:val="-46"/>
                <w:sz w:val="20"/>
                <w:szCs w:val="20"/>
              </w:rPr>
              <w:t xml:space="preserve"> </w:t>
            </w:r>
            <w:r>
              <w:rPr>
                <w:rFonts w:ascii="Times New Roman" w:eastAsia="Times New Roman" w:hAnsi="Times New Roman" w:cs="Times New Roman"/>
                <w:spacing w:val="1"/>
                <w:sz w:val="20"/>
                <w:szCs w:val="20"/>
              </w:rPr>
              <w:t>X</w:t>
            </w:r>
            <w:r>
              <w:rPr>
                <w:rFonts w:ascii="Times New Roman" w:eastAsia="Times New Roman" w:hAnsi="Times New Roman" w:cs="Times New Roman"/>
                <w:spacing w:val="34"/>
                <w:w w:val="101"/>
                <w:sz w:val="20"/>
                <w:szCs w:val="20"/>
              </w:rPr>
              <w:t xml:space="preserve"> </w:t>
            </w:r>
            <w:r>
              <w:rPr>
                <w:spacing w:val="1"/>
                <w:sz w:val="20"/>
                <w:szCs w:val="20"/>
              </w:rPr>
              <w:t>已离职</w:t>
            </w:r>
            <w:r>
              <w:rPr>
                <w:spacing w:val="-36"/>
                <w:sz w:val="20"/>
                <w:szCs w:val="20"/>
              </w:rPr>
              <w:t xml:space="preserve"> </w:t>
            </w:r>
            <w:r>
              <w:rPr>
                <w:rFonts w:ascii="Times New Roman" w:eastAsia="Times New Roman" w:hAnsi="Times New Roman" w:cs="Times New Roman"/>
                <w:spacing w:val="1"/>
                <w:sz w:val="20"/>
                <w:szCs w:val="20"/>
              </w:rPr>
              <w:t xml:space="preserve">6 </w:t>
            </w:r>
            <w:r>
              <w:rPr>
                <w:spacing w:val="1"/>
                <w:sz w:val="20"/>
                <w:szCs w:val="20"/>
              </w:rPr>
              <w:t>个月，未向</w:t>
            </w:r>
            <w:r>
              <w:rPr>
                <w:spacing w:val="-38"/>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14"/>
                <w:w w:val="101"/>
                <w:sz w:val="20"/>
                <w:szCs w:val="20"/>
              </w:rPr>
              <w:t xml:space="preserve"> </w:t>
            </w:r>
            <w:r>
              <w:rPr>
                <w:spacing w:val="1"/>
                <w:sz w:val="20"/>
                <w:szCs w:val="20"/>
              </w:rPr>
              <w:t>秘书处提交</w:t>
            </w:r>
          </w:p>
          <w:p>
            <w:pPr>
              <w:pStyle w:val="TableText"/>
              <w:spacing w:line="227" w:lineRule="auto"/>
              <w:ind w:left="112"/>
              <w:rPr>
                <w:sz w:val="20"/>
                <w:szCs w:val="20"/>
              </w:rPr>
            </w:pPr>
            <w:r>
              <w:rPr>
                <w:spacing w:val="5"/>
                <w:sz w:val="20"/>
                <w:szCs w:val="20"/>
              </w:rPr>
              <w:t>变更申请。</w:t>
            </w:r>
          </w:p>
        </w:tc>
        <w:tc>
          <w:tcPr>
            <w:tcW w:w="3703" w:type="dxa"/>
            <w:vAlign w:val="top"/>
          </w:tcPr>
          <w:p>
            <w:pPr>
              <w:pStyle w:val="TableText"/>
              <w:spacing w:before="93" w:line="360" w:lineRule="auto"/>
              <w:ind w:left="113" w:right="105" w:firstLine="425"/>
              <w:jc w:val="both"/>
              <w:rPr>
                <w:sz w:val="20"/>
                <w:szCs w:val="20"/>
              </w:rPr>
            </w:pPr>
            <w:r>
              <w:rPr>
                <w:spacing w:val="3"/>
                <w:sz w:val="20"/>
                <w:szCs w:val="20"/>
              </w:rPr>
              <w:t>实验室授权签字人发生变动，未及</w:t>
            </w:r>
            <w:r>
              <w:rPr>
                <w:spacing w:val="5"/>
                <w:sz w:val="20"/>
                <w:szCs w:val="20"/>
              </w:rPr>
              <w:t xml:space="preserve"> </w:t>
            </w:r>
            <w:r>
              <w:rPr>
                <w:spacing w:val="15"/>
                <w:sz w:val="20"/>
                <w:szCs w:val="20"/>
              </w:rPr>
              <w:t>时向</w:t>
            </w:r>
            <w:r>
              <w:rPr>
                <w:spacing w:val="-20"/>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19"/>
                <w:w w:val="101"/>
                <w:sz w:val="20"/>
                <w:szCs w:val="20"/>
              </w:rPr>
              <w:t xml:space="preserve"> </w:t>
            </w:r>
            <w:r>
              <w:rPr>
                <w:spacing w:val="15"/>
                <w:sz w:val="20"/>
                <w:szCs w:val="20"/>
              </w:rPr>
              <w:t>秘书处提交变更申请，导</w:t>
            </w:r>
            <w:r>
              <w:rPr>
                <w:sz w:val="20"/>
                <w:szCs w:val="20"/>
              </w:rPr>
              <w:t xml:space="preserve"> </w:t>
            </w:r>
            <w:r>
              <w:rPr>
                <w:spacing w:val="15"/>
                <w:sz w:val="20"/>
                <w:szCs w:val="20"/>
              </w:rPr>
              <w:t>致实验室实际情况与</w:t>
            </w:r>
            <w:r>
              <w:rPr>
                <w:spacing w:val="-29"/>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26"/>
                <w:sz w:val="20"/>
                <w:szCs w:val="20"/>
              </w:rPr>
              <w:t xml:space="preserve"> </w:t>
            </w:r>
            <w:r>
              <w:rPr>
                <w:spacing w:val="15"/>
                <w:sz w:val="20"/>
                <w:szCs w:val="20"/>
              </w:rPr>
              <w:t>公布的获</w:t>
            </w:r>
          </w:p>
          <w:p>
            <w:pPr>
              <w:pStyle w:val="TableText"/>
              <w:spacing w:line="227" w:lineRule="auto"/>
              <w:ind w:left="113"/>
              <w:rPr>
                <w:sz w:val="20"/>
                <w:szCs w:val="20"/>
              </w:rPr>
            </w:pPr>
            <w:r>
              <w:rPr>
                <w:spacing w:val="8"/>
                <w:sz w:val="20"/>
                <w:szCs w:val="20"/>
              </w:rPr>
              <w:t>认可授权签字人信息不一致。</w:t>
            </w:r>
          </w:p>
        </w:tc>
        <w:tc>
          <w:tcPr>
            <w:tcW w:w="3904" w:type="dxa"/>
            <w:vAlign w:val="top"/>
          </w:tcPr>
          <w:p>
            <w:pPr>
              <w:pStyle w:val="TableText"/>
              <w:spacing w:before="93" w:line="360" w:lineRule="auto"/>
              <w:ind w:left="114" w:right="118" w:firstLine="424"/>
              <w:jc w:val="both"/>
              <w:rPr>
                <w:sz w:val="20"/>
                <w:szCs w:val="20"/>
              </w:rPr>
            </w:pPr>
            <w:r>
              <w:rPr>
                <w:spacing w:val="6"/>
                <w:sz w:val="20"/>
                <w:szCs w:val="20"/>
              </w:rPr>
              <w:t>实验室按照</w:t>
            </w:r>
            <w:r>
              <w:rPr>
                <w:spacing w:val="-32"/>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RL</w:t>
            </w:r>
            <w:r>
              <w:rPr>
                <w:rFonts w:ascii="Times New Roman" w:eastAsia="Times New Roman" w:hAnsi="Times New Roman" w:cs="Times New Roman"/>
                <w:spacing w:val="6"/>
                <w:sz w:val="20"/>
                <w:szCs w:val="20"/>
              </w:rPr>
              <w:t>01 9.</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6"/>
                <w:sz w:val="20"/>
                <w:szCs w:val="20"/>
              </w:rPr>
              <w:t xml:space="preserve">1 </w:t>
            </w:r>
            <w:r>
              <w:rPr>
                <w:spacing w:val="6"/>
                <w:sz w:val="20"/>
                <w:szCs w:val="20"/>
              </w:rPr>
              <w:t>变更要</w:t>
            </w:r>
            <w:r>
              <w:rPr>
                <w:sz w:val="20"/>
                <w:szCs w:val="20"/>
              </w:rPr>
              <w:t xml:space="preserve"> </w:t>
            </w:r>
            <w:r>
              <w:rPr>
                <w:spacing w:val="8"/>
                <w:sz w:val="20"/>
                <w:szCs w:val="20"/>
              </w:rPr>
              <w:t>求，授权签字人发生变动后，在</w:t>
            </w:r>
            <w:r>
              <w:rPr>
                <w:spacing w:val="-38"/>
                <w:sz w:val="20"/>
                <w:szCs w:val="20"/>
              </w:rPr>
              <w:t xml:space="preserve"> </w:t>
            </w:r>
            <w:r>
              <w:rPr>
                <w:rFonts w:ascii="Times New Roman" w:eastAsia="Times New Roman" w:hAnsi="Times New Roman" w:cs="Times New Roman"/>
                <w:spacing w:val="8"/>
                <w:sz w:val="20"/>
                <w:szCs w:val="20"/>
              </w:rPr>
              <w:t xml:space="preserve">20 </w:t>
            </w:r>
            <w:r>
              <w:rPr>
                <w:spacing w:val="8"/>
                <w:sz w:val="20"/>
                <w:szCs w:val="20"/>
              </w:rPr>
              <w:t>个工</w:t>
            </w:r>
            <w:r>
              <w:rPr>
                <w:sz w:val="20"/>
                <w:szCs w:val="20"/>
              </w:rPr>
              <w:t xml:space="preserve"> </w:t>
            </w:r>
            <w:r>
              <w:rPr>
                <w:spacing w:val="9"/>
                <w:sz w:val="20"/>
                <w:szCs w:val="20"/>
              </w:rPr>
              <w:t>作日内向</w:t>
            </w:r>
            <w:r>
              <w:rPr>
                <w:spacing w:val="-26"/>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9"/>
                <w:sz w:val="20"/>
                <w:szCs w:val="20"/>
              </w:rPr>
              <w:t xml:space="preserve"> </w:t>
            </w:r>
            <w:r>
              <w:rPr>
                <w:spacing w:val="9"/>
                <w:sz w:val="20"/>
                <w:szCs w:val="20"/>
              </w:rPr>
              <w:t>秘书处提交授权签字人</w:t>
            </w:r>
          </w:p>
          <w:p>
            <w:pPr>
              <w:pStyle w:val="TableText"/>
              <w:spacing w:line="227" w:lineRule="auto"/>
              <w:ind w:left="113"/>
              <w:rPr>
                <w:sz w:val="20"/>
                <w:szCs w:val="20"/>
              </w:rPr>
            </w:pPr>
            <w:r>
              <w:rPr>
                <w:spacing w:val="5"/>
                <w:sz w:val="20"/>
                <w:szCs w:val="20"/>
              </w:rPr>
              <w:t>变更申请。</w:t>
            </w:r>
          </w:p>
        </w:tc>
      </w:tr>
      <w:tr>
        <w:tblPrEx>
          <w:tblW w:w="14501" w:type="dxa"/>
          <w:tblInd w:w="2" w:type="dxa"/>
          <w:tblLayout w:type="fixed"/>
        </w:tblPrEx>
        <w:trPr>
          <w:trHeight w:val="1567"/>
        </w:trPr>
        <w:tc>
          <w:tcPr>
            <w:tcW w:w="948" w:type="dxa"/>
            <w:vMerge/>
            <w:tcBorders>
              <w:top w:val="nil"/>
            </w:tcBorders>
            <w:vAlign w:val="top"/>
          </w:tcPr>
          <w:p>
            <w:pPr>
              <w:rPr>
                <w:rFonts w:ascii="Arial"/>
                <w:sz w:val="21"/>
              </w:rPr>
            </w:pPr>
          </w:p>
        </w:tc>
        <w:tc>
          <w:tcPr>
            <w:tcW w:w="910" w:type="dxa"/>
            <w:vAlign w:val="top"/>
          </w:tcPr>
          <w:p>
            <w:pPr>
              <w:spacing w:line="327" w:lineRule="auto"/>
              <w:rPr>
                <w:rFonts w:ascii="Arial"/>
                <w:sz w:val="21"/>
              </w:rPr>
            </w:pPr>
          </w:p>
          <w:p>
            <w:pPr>
              <w:spacing w:line="328" w:lineRule="auto"/>
              <w:rPr>
                <w:rFonts w:ascii="Arial"/>
                <w:sz w:val="21"/>
              </w:rPr>
            </w:pPr>
          </w:p>
          <w:p>
            <w:pPr>
              <w:spacing w:before="57" w:line="195"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5036" w:type="dxa"/>
            <w:vAlign w:val="top"/>
          </w:tcPr>
          <w:p>
            <w:pPr>
              <w:pStyle w:val="TableText"/>
              <w:spacing w:before="289" w:line="360" w:lineRule="auto"/>
              <w:ind w:left="119" w:right="105" w:firstLine="417"/>
              <w:jc w:val="both"/>
              <w:rPr>
                <w:sz w:val="20"/>
                <w:szCs w:val="20"/>
              </w:rPr>
            </w:pPr>
            <w:r>
              <w:rPr>
                <w:spacing w:val="7"/>
                <w:sz w:val="20"/>
                <w:szCs w:val="20"/>
              </w:rPr>
              <w:t>实验室临近复评任务现场评审，向</w:t>
            </w:r>
            <w:r>
              <w:rPr>
                <w:spacing w:val="-40"/>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18"/>
                <w:sz w:val="20"/>
                <w:szCs w:val="20"/>
              </w:rPr>
              <w:t xml:space="preserve"> </w:t>
            </w:r>
            <w:r>
              <w:rPr>
                <w:spacing w:val="7"/>
                <w:sz w:val="20"/>
                <w:szCs w:val="20"/>
              </w:rPr>
              <w:t>项目负</w:t>
            </w:r>
            <w:r>
              <w:rPr>
                <w:sz w:val="20"/>
                <w:szCs w:val="20"/>
              </w:rPr>
              <w:t xml:space="preserve"> </w:t>
            </w:r>
            <w:r>
              <w:rPr>
                <w:spacing w:val="7"/>
                <w:sz w:val="20"/>
                <w:szCs w:val="20"/>
              </w:rPr>
              <w:t>责人报告实验室</w:t>
            </w:r>
            <w:r>
              <w:rPr>
                <w:spacing w:val="-44"/>
                <w:sz w:val="20"/>
                <w:szCs w:val="20"/>
              </w:rPr>
              <w:t xml:space="preserve"> </w:t>
            </w:r>
            <w:r>
              <w:rPr>
                <w:rFonts w:ascii="Times New Roman" w:eastAsia="Times New Roman" w:hAnsi="Times New Roman" w:cs="Times New Roman"/>
                <w:spacing w:val="7"/>
                <w:sz w:val="20"/>
                <w:szCs w:val="20"/>
              </w:rPr>
              <w:t xml:space="preserve">4 </w:t>
            </w:r>
            <w:r>
              <w:rPr>
                <w:spacing w:val="7"/>
                <w:sz w:val="20"/>
                <w:szCs w:val="20"/>
              </w:rPr>
              <w:t>个月前已完成搬迁，未向</w:t>
            </w:r>
            <w:r>
              <w:rPr>
                <w:spacing w:val="-38"/>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7"/>
                <w:sz w:val="20"/>
                <w:szCs w:val="20"/>
              </w:rPr>
              <w:t xml:space="preserve"> </w:t>
            </w:r>
            <w:r>
              <w:rPr>
                <w:spacing w:val="7"/>
                <w:sz w:val="20"/>
                <w:szCs w:val="20"/>
              </w:rPr>
              <w:t>秘</w:t>
            </w:r>
          </w:p>
          <w:p>
            <w:pPr>
              <w:pStyle w:val="TableText"/>
              <w:spacing w:line="226" w:lineRule="auto"/>
              <w:ind w:left="116"/>
              <w:rPr>
                <w:sz w:val="20"/>
                <w:szCs w:val="20"/>
              </w:rPr>
            </w:pPr>
            <w:r>
              <w:rPr>
                <w:spacing w:val="7"/>
                <w:sz w:val="20"/>
                <w:szCs w:val="20"/>
              </w:rPr>
              <w:t>书处提交变更申请。</w:t>
            </w:r>
          </w:p>
        </w:tc>
        <w:tc>
          <w:tcPr>
            <w:tcW w:w="3703" w:type="dxa"/>
            <w:vAlign w:val="top"/>
          </w:tcPr>
          <w:p>
            <w:pPr>
              <w:pStyle w:val="TableText"/>
              <w:spacing w:before="96" w:line="360" w:lineRule="auto"/>
              <w:ind w:left="113" w:right="105" w:firstLine="425"/>
              <w:jc w:val="both"/>
              <w:rPr>
                <w:sz w:val="20"/>
                <w:szCs w:val="20"/>
              </w:rPr>
            </w:pPr>
            <w:r>
              <w:rPr>
                <w:spacing w:val="17"/>
                <w:sz w:val="20"/>
                <w:szCs w:val="20"/>
              </w:rPr>
              <w:t>实验室地址发生搬迁，未及时向</w:t>
            </w:r>
            <w:r>
              <w:rPr>
                <w:spacing w:val="12"/>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6"/>
                <w:sz w:val="20"/>
                <w:szCs w:val="20"/>
              </w:rPr>
              <w:t xml:space="preserve"> </w:t>
            </w:r>
            <w:r>
              <w:rPr>
                <w:spacing w:val="6"/>
                <w:sz w:val="20"/>
                <w:szCs w:val="20"/>
              </w:rPr>
              <w:t>秘书处提交变更申请，导致实验</w:t>
            </w:r>
            <w:r>
              <w:rPr>
                <w:spacing w:val="2"/>
                <w:sz w:val="20"/>
                <w:szCs w:val="20"/>
              </w:rPr>
              <w:t xml:space="preserve"> </w:t>
            </w:r>
            <w:r>
              <w:rPr>
                <w:spacing w:val="15"/>
                <w:sz w:val="20"/>
                <w:szCs w:val="20"/>
              </w:rPr>
              <w:t>室实际情况与</w:t>
            </w:r>
            <w:r>
              <w:rPr>
                <w:spacing w:val="-26"/>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26"/>
                <w:sz w:val="20"/>
                <w:szCs w:val="20"/>
              </w:rPr>
              <w:t xml:space="preserve"> </w:t>
            </w:r>
            <w:r>
              <w:rPr>
                <w:spacing w:val="15"/>
                <w:sz w:val="20"/>
                <w:szCs w:val="20"/>
              </w:rPr>
              <w:t>公布的获认可地</w:t>
            </w:r>
          </w:p>
          <w:p>
            <w:pPr>
              <w:pStyle w:val="TableText"/>
              <w:spacing w:line="227" w:lineRule="auto"/>
              <w:ind w:left="114"/>
              <w:rPr>
                <w:sz w:val="20"/>
                <w:szCs w:val="20"/>
              </w:rPr>
            </w:pPr>
            <w:r>
              <w:rPr>
                <w:spacing w:val="6"/>
                <w:sz w:val="20"/>
                <w:szCs w:val="20"/>
              </w:rPr>
              <w:t>址信息不一致。</w:t>
            </w:r>
          </w:p>
        </w:tc>
        <w:tc>
          <w:tcPr>
            <w:tcW w:w="3904" w:type="dxa"/>
            <w:vAlign w:val="top"/>
          </w:tcPr>
          <w:p>
            <w:pPr>
              <w:pStyle w:val="TableText"/>
              <w:spacing w:before="289" w:line="360" w:lineRule="auto"/>
              <w:ind w:left="115" w:right="164" w:firstLine="423"/>
              <w:rPr>
                <w:sz w:val="20"/>
                <w:szCs w:val="20"/>
              </w:rPr>
            </w:pPr>
            <w:r>
              <w:rPr>
                <w:spacing w:val="6"/>
                <w:sz w:val="20"/>
                <w:szCs w:val="20"/>
              </w:rPr>
              <w:t>实验室按照</w:t>
            </w:r>
            <w:r>
              <w:rPr>
                <w:spacing w:val="-32"/>
                <w:sz w:val="20"/>
                <w:szCs w:val="20"/>
              </w:rPr>
              <w:t xml:space="preserve"> </w:t>
            </w:r>
            <w:r>
              <w:rPr>
                <w:rFonts w:ascii="Times New Roman" w:eastAsia="Times New Roman" w:hAnsi="Times New Roman" w:cs="Times New Roman"/>
                <w:sz w:val="20"/>
                <w:szCs w:val="20"/>
              </w:rPr>
              <w:t>CNAS</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RL</w:t>
            </w:r>
            <w:r>
              <w:rPr>
                <w:rFonts w:ascii="Times New Roman" w:eastAsia="Times New Roman" w:hAnsi="Times New Roman" w:cs="Times New Roman"/>
                <w:spacing w:val="6"/>
                <w:sz w:val="20"/>
                <w:szCs w:val="20"/>
              </w:rPr>
              <w:t>01 9.</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6"/>
                <w:sz w:val="20"/>
                <w:szCs w:val="20"/>
              </w:rPr>
              <w:t xml:space="preserve">1 </w:t>
            </w:r>
            <w:r>
              <w:rPr>
                <w:spacing w:val="6"/>
                <w:sz w:val="20"/>
                <w:szCs w:val="20"/>
              </w:rPr>
              <w:t>变更要</w:t>
            </w:r>
            <w:r>
              <w:rPr>
                <w:sz w:val="20"/>
                <w:szCs w:val="20"/>
              </w:rPr>
              <w:t xml:space="preserve"> </w:t>
            </w:r>
            <w:r>
              <w:rPr>
                <w:spacing w:val="8"/>
                <w:sz w:val="20"/>
                <w:szCs w:val="20"/>
              </w:rPr>
              <w:t>求，完成搬迁后，在</w:t>
            </w:r>
            <w:r>
              <w:rPr>
                <w:spacing w:val="-40"/>
                <w:sz w:val="20"/>
                <w:szCs w:val="20"/>
              </w:rPr>
              <w:t xml:space="preserve"> </w:t>
            </w:r>
            <w:r>
              <w:rPr>
                <w:rFonts w:ascii="Times New Roman" w:eastAsia="Times New Roman" w:hAnsi="Times New Roman" w:cs="Times New Roman"/>
                <w:spacing w:val="8"/>
                <w:sz w:val="20"/>
                <w:szCs w:val="20"/>
              </w:rPr>
              <w:t xml:space="preserve">20 </w:t>
            </w:r>
            <w:r>
              <w:rPr>
                <w:spacing w:val="8"/>
                <w:sz w:val="20"/>
                <w:szCs w:val="20"/>
              </w:rPr>
              <w:t>个工作日内向</w:t>
            </w:r>
          </w:p>
          <w:p>
            <w:pPr>
              <w:pStyle w:val="TableText"/>
              <w:spacing w:line="226" w:lineRule="auto"/>
              <w:ind w:left="113"/>
              <w:rPr>
                <w:sz w:val="20"/>
                <w:szCs w:val="20"/>
              </w:rPr>
            </w:pPr>
            <w:r>
              <w:rPr>
                <w:rFonts w:ascii="Times New Roman" w:eastAsia="Times New Roman" w:hAnsi="Times New Roman" w:cs="Times New Roman"/>
                <w:sz w:val="20"/>
                <w:szCs w:val="20"/>
              </w:rPr>
              <w:t>CNAS</w:t>
            </w:r>
            <w:r>
              <w:rPr>
                <w:rFonts w:ascii="Times New Roman" w:eastAsia="Times New Roman" w:hAnsi="Times New Roman" w:cs="Times New Roman"/>
                <w:spacing w:val="9"/>
                <w:sz w:val="20"/>
                <w:szCs w:val="20"/>
              </w:rPr>
              <w:t xml:space="preserve"> </w:t>
            </w:r>
            <w:r>
              <w:rPr>
                <w:spacing w:val="9"/>
                <w:sz w:val="20"/>
                <w:szCs w:val="20"/>
              </w:rPr>
              <w:t>秘书处提交地址变更申请。</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0" w:history="1">
        <w:r>
          <w:rPr>
            <w:rFonts w:ascii="SimSun" w:eastAsia="SimSun" w:hAnsi="SimSun" w:cs="SimSun"/>
            <w:b/>
            <w:bCs/>
            <w:noProof w:val="0"/>
            <w:snapToGrid/>
            <w:color w:val="0000EE"/>
            <w:kern w:val="0"/>
            <w:sz w:val="30"/>
            <w:szCs w:val="30"/>
            <w:u w:val="single" w:color="0000EE"/>
          </w:rPr>
          <w:t>https://d.book118.com/618062104075006041</w:t>
        </w:r>
      </w:hyperlink>
    </w:p>
    <w:p/>
    <w:sectPr>
      <w:headerReference w:type="default" r:id="rId41"/>
      <w:footerReference w:type="default" r:id="rId42"/>
      <w:pgSz w:w="16839" w:h="11906"/>
      <w:pgMar w:top="1091" w:right="919" w:bottom="1260" w:left="1412" w:header="779" w:footer="983"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51" style="width:457.65pt;height:0.75pt;margin-top:778.9pt;margin-left:70.9pt;mso-position-horizontal-relative:page;mso-position-vertical-relative:page;position:absolute;z-index:251659264"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52" type="#_x0000_t202" style="width:104pt;height:12.7pt;margin-top:2.14pt;margin-left:-0.72pt;position:absolute;z-index:251658240"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55" style="width:457.65pt;height:0.75pt;margin-top:778.9pt;margin-left:70.9pt;mso-position-horizontal-relative:page;mso-position-vertical-relative:page;position:absolute;z-index:251661312"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56" type="#_x0000_t202" style="width:104pt;height:12.7pt;margin-top:2.14pt;margin-left:-0.72pt;position:absolute;z-index:251660288"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59" style="width:457.65pt;height:0.75pt;margin-top:778.9pt;margin-left:70.9pt;mso-position-horizontal-relative:page;mso-position-vertical-relative:page;position:absolute;z-index:251663360"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60" type="#_x0000_t202" style="width:104pt;height:12.7pt;margin-top:2.14pt;margin-left:-0.72pt;position:absolute;z-index:251662336"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63" style="width:457.65pt;height:0.75pt;margin-top:778.9pt;margin-left:70.9pt;mso-position-horizontal-relative:page;mso-position-vertical-relative:page;position:absolute;z-index:251665408"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64" type="#_x0000_t202" style="width:104pt;height:12.7pt;margin-top:2.14pt;margin-left:-0.72pt;position:absolute;z-index:251664384"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67" style="width:457.65pt;height:0.75pt;margin-top:778.9pt;margin-left:70.9pt;mso-position-horizontal-relative:page;mso-position-vertical-relative:page;position:absolute;z-index:251667456"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68" type="#_x0000_t202" style="width:104pt;height:12.7pt;margin-top:2.14pt;margin-left:-0.72pt;position:absolute;z-index:251666432"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71" style="width:457.65pt;height:0.75pt;margin-top:778.9pt;margin-left:70.9pt;mso-position-horizontal-relative:page;mso-position-vertical-relative:page;position:absolute;z-index:251669504"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72" type="#_x0000_t202" style="width:104pt;height:12.7pt;margin-top:2.14pt;margin-left:-0.72pt;position:absolute;z-index:251668480"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75" style="width:457.65pt;height:0.75pt;margin-top:778.9pt;margin-left:70.9pt;mso-position-horizontal-relative:page;mso-position-vertical-relative:page;position:absolute;z-index:251671552"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76" type="#_x0000_t202" style="width:104pt;height:12.7pt;margin-top:2.14pt;margin-left:-0.72pt;position:absolute;z-index:251670528"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79" style="width:457.65pt;height:0.75pt;margin-top:778.9pt;margin-left:70.9pt;mso-position-horizontal-relative:page;mso-position-vertical-relative:page;position:absolute;z-index:251673600"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80" type="#_x0000_t202" style="width:104pt;height:12.7pt;margin-top:2.14pt;margin-left:-0.72pt;position:absolute;z-index:251672576"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83" style="width:457.65pt;height:0.75pt;margin-top:778.9pt;margin-left:70.9pt;mso-position-horizontal-relative:page;mso-position-vertical-relative:page;position:absolute;z-index:251675648"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84" type="#_x0000_t202" style="width:104pt;height:12.7pt;margin-top:2.14pt;margin-left:-0.72pt;position:absolute;z-index:251674624"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87" style="width:457.65pt;height:0.75pt;margin-top:778.9pt;margin-left:70.9pt;mso-position-horizontal-relative:page;mso-position-vertical-relative:page;position:absolute;z-index:251677696"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88" type="#_x0000_t202" style="width:104pt;height:12.7pt;margin-top:2.14pt;margin-left:-0.72pt;position:absolute;z-index:251676672"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91" style="width:457.65pt;height:0.75pt;margin-top:778.9pt;margin-left:70.9pt;mso-position-horizontal-relative:page;mso-position-vertical-relative:page;position:absolute;z-index:251679744"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92" type="#_x0000_t202" style="width:104pt;height:12.7pt;margin-top:2.14pt;margin-left:-0.72pt;position:absolute;z-index:251678720"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95" style="width:457.65pt;height:0.75pt;margin-top:778.9pt;margin-left:70.9pt;mso-position-horizontal-relative:page;mso-position-vertical-relative:page;position:absolute;z-index:251681792"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096" type="#_x0000_t202" style="width:104pt;height:12.7pt;margin-top:2.14pt;margin-left:-0.72pt;position:absolute;z-index:251680768"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099" style="width:457.65pt;height:0.75pt;margin-top:778.9pt;margin-left:70.9pt;mso-position-horizontal-relative:page;mso-position-vertical-relative:page;position:absolute;z-index:251683840"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100" type="#_x0000_t202" style="width:104pt;height:12.7pt;margin-top:2.14pt;margin-left:-0.72pt;position:absolute;z-index:251682816"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103" style="width:457.65pt;height:0.75pt;margin-top:778.9pt;margin-left:70.9pt;mso-position-horizontal-relative:page;mso-position-vertical-relative:page;position:absolute;z-index:251685888"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104" type="#_x0000_t202" style="width:104pt;height:12.7pt;margin-top:2.14pt;margin-left:-0.72pt;position:absolute;z-index:251684864"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107" style="width:457.65pt;height:0.75pt;margin-top:778.9pt;margin-left:70.9pt;mso-position-horizontal-relative:page;mso-position-vertical-relative:page;position:absolute;z-index:251687936"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108" type="#_x0000_t202" style="width:104pt;height:12.7pt;margin-top:2.14pt;margin-left:-0.72pt;position:absolute;z-index:251686912"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right="23"/>
      <w:jc w:val="right"/>
      <w:rPr>
        <w:sz w:val="18"/>
        <w:szCs w:val="18"/>
      </w:rPr>
    </w:pPr>
    <w:r>
      <w:pict>
        <v:shape id="_x0000_s2111" style="width:457.65pt;height:0.75pt;margin-top:778.9pt;margin-left:70.9pt;mso-position-horizontal-relative:page;mso-position-vertical-relative:page;position:absolute;z-index:251689984" coordorigin="0,0" coordsize="9152,15" o:allowincell="f" path="m,l9152,l9152,14l,14l,xe" filled="t" fillcolor="black" stroked="f"/>
      </w:pict>
    </w:r>
    <w:r>
      <w:pict>
        <v:shapetype id="_x0000_t202" coordsize="21600,21600" o:spt="202" path="m,l,21600r21600,l21600,xe">
          <v:stroke joinstyle="miter"/>
          <v:path gradientshapeok="t" o:connecttype="rect"/>
        </v:shapetype>
        <v:shape id="_x0000_s2112" type="#_x0000_t202" style="width:104pt;height:12.7pt;margin-top:2.14pt;margin-left:-0.72pt;position:absolute;z-index:251688960"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left="11826"/>
      <w:rPr>
        <w:sz w:val="18"/>
        <w:szCs w:val="18"/>
      </w:rPr>
    </w:pPr>
    <w:r>
      <w:pict>
        <v:shape id="_x0000_s2115" style="width:690.1pt;height:0.75pt;margin-top:532.3pt;margin-left:77.95pt;mso-position-horizontal-relative:page;mso-position-vertical-relative:page;position:absolute;z-index:251692032" coordorigin="0,0" coordsize="13801,15" o:allowincell="f" path="m,l13801,l13801,14l,14l,xe" filled="t" fillcolor="black" stroked="f"/>
      </w:pict>
    </w:r>
    <w:r>
      <w:pict>
        <v:shapetype id="_x0000_t202" coordsize="21600,21600" o:spt="202" path="m,l,21600r21600,l21600,xe">
          <v:stroke joinstyle="miter"/>
          <v:path gradientshapeok="t" o:connecttype="rect"/>
        </v:shapetype>
        <v:shape id="_x0000_s2116" type="#_x0000_t202" style="width:104pt;height:12.7pt;margin-top:2.14pt;margin-left:6.65pt;position:absolute;z-index:251691008"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1"/>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left="11826"/>
      <w:rPr>
        <w:sz w:val="18"/>
        <w:szCs w:val="18"/>
      </w:rPr>
    </w:pPr>
    <w:r>
      <w:pict>
        <v:shape id="_x0000_s2119" style="width:690.1pt;height:0.75pt;margin-top:532.3pt;margin-left:77.95pt;mso-position-horizontal-relative:page;mso-position-vertical-relative:page;position:absolute;z-index:251694080" coordorigin="0,0" coordsize="13801,15" o:allowincell="f" path="m,l13801,l13801,14l,14l,xe" filled="t" fillcolor="black" stroked="f"/>
      </w:pict>
    </w:r>
    <w:r>
      <w:pict>
        <v:shapetype id="_x0000_t202" coordsize="21600,21600" o:spt="202" path="m,l,21600r21600,l21600,xe">
          <v:stroke joinstyle="miter"/>
          <v:path gradientshapeok="t" o:connecttype="rect"/>
        </v:shapetype>
        <v:shape id="_x0000_s2120" type="#_x0000_t202" style="width:104pt;height:12.7pt;margin-top:2.14pt;margin-left:6.65pt;position:absolute;z-index:251693056"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1"/>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62" w:line="209" w:lineRule="auto"/>
      <w:ind w:left="11826"/>
      <w:rPr>
        <w:sz w:val="18"/>
        <w:szCs w:val="18"/>
      </w:rPr>
    </w:pPr>
    <w:r>
      <w:pict>
        <v:shape id="_x0000_s2123" style="width:690.1pt;height:0.75pt;margin-top:532.3pt;margin-left:77.95pt;mso-position-horizontal-relative:page;mso-position-vertical-relative:page;position:absolute;z-index:251696128" coordorigin="0,0" coordsize="13801,15" o:allowincell="f" path="m,l13801,l13801,14l,14l,xe" filled="t" fillcolor="black" stroked="f"/>
      </w:pict>
    </w:r>
    <w:r>
      <w:pict>
        <v:shapetype id="_x0000_t202" coordsize="21600,21600" o:spt="202" path="m,l,21600r21600,l21600,xe">
          <v:stroke joinstyle="miter"/>
          <v:path gradientshapeok="t" o:connecttype="rect"/>
        </v:shapetype>
        <v:shape id="_x0000_s2124" type="#_x0000_t202" style="width:104pt;height:12.7pt;margin-top:2.14pt;margin-left:6.65pt;position:absolute;z-index:251695104" filled="f" stroked="f">
          <o:lock v:ext="edit" aspectratio="f"/>
          <v:textbox inset="0,0,0,0">
            <w:txbxContent>
              <w:p>
                <w:pPr>
                  <w:pStyle w:val="BodyText"/>
                  <w:spacing w:before="19" w:line="219" w:lineRule="auto"/>
                  <w:ind w:left="20"/>
                  <w:rPr>
                    <w:sz w:val="18"/>
                    <w:szCs w:val="18"/>
                  </w:rPr>
                </w:pPr>
                <w:r>
                  <w:rPr>
                    <w:rFonts w:ascii="Arial" w:eastAsia="Arial" w:hAnsi="Arial" w:cs="Arial"/>
                    <w:spacing w:val="-5"/>
                    <w:sz w:val="18"/>
                    <w:szCs w:val="18"/>
                  </w:rPr>
                  <w:t xml:space="preserve">20XX </w:t>
                </w:r>
                <w:r>
                  <w:rPr>
                    <w:spacing w:val="-5"/>
                    <w:sz w:val="18"/>
                    <w:szCs w:val="18"/>
                  </w:rPr>
                  <w:t>年</w:t>
                </w:r>
                <w:r>
                  <w:rPr>
                    <w:spacing w:val="-34"/>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日发布</w:t>
                </w:r>
              </w:p>
            </w:txbxContent>
          </v:textbox>
        </v:shape>
      </w:pict>
    </w:r>
    <w:r>
      <w:rPr>
        <w:rFonts w:ascii="Arial" w:eastAsia="Arial" w:hAnsi="Arial" w:cs="Arial"/>
        <w:spacing w:val="-5"/>
        <w:sz w:val="18"/>
        <w:szCs w:val="18"/>
      </w:rPr>
      <w:t xml:space="preserve">20XX </w:t>
    </w:r>
    <w:r>
      <w:rPr>
        <w:spacing w:val="-5"/>
        <w:sz w:val="18"/>
        <w:szCs w:val="18"/>
      </w:rPr>
      <w:t>年</w:t>
    </w:r>
    <w:r>
      <w:rPr>
        <w:spacing w:val="-31"/>
        <w:sz w:val="18"/>
        <w:szCs w:val="18"/>
      </w:rPr>
      <w:t xml:space="preserve"> </w:t>
    </w:r>
    <w:r>
      <w:rPr>
        <w:rFonts w:ascii="Arial" w:eastAsia="Arial" w:hAnsi="Arial" w:cs="Arial"/>
        <w:spacing w:val="-5"/>
        <w:sz w:val="18"/>
        <w:szCs w:val="18"/>
      </w:rPr>
      <w:t xml:space="preserve">XX </w:t>
    </w:r>
    <w:r>
      <w:rPr>
        <w:spacing w:val="-5"/>
        <w:sz w:val="18"/>
        <w:szCs w:val="18"/>
      </w:rPr>
      <w:t>月</w:t>
    </w:r>
    <w:r>
      <w:rPr>
        <w:spacing w:val="-44"/>
        <w:sz w:val="18"/>
        <w:szCs w:val="18"/>
      </w:rPr>
      <w:t xml:space="preserve"> </w:t>
    </w:r>
    <w:r>
      <w:rPr>
        <w:rFonts w:ascii="Arial" w:eastAsia="Arial" w:hAnsi="Arial" w:cs="Arial"/>
        <w:spacing w:val="-5"/>
        <w:sz w:val="18"/>
        <w:szCs w:val="18"/>
      </w:rPr>
      <w:t xml:space="preserve">XX  </w:t>
    </w:r>
    <w:r>
      <w:rPr>
        <w:spacing w:val="-5"/>
        <w:sz w:val="18"/>
        <w:szCs w:val="18"/>
      </w:rPr>
      <w:t>日实施</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spacing w:before="28" w:line="200" w:lineRule="auto"/>
            <w:ind w:left="163"/>
            <w:rPr>
              <w:rFonts w:ascii="SimSun" w:eastAsia="SimSun" w:hAnsi="SimSun" w:cs="SimSun"/>
              <w:sz w:val="18"/>
              <w:szCs w:val="18"/>
            </w:rPr>
          </w:pPr>
          <w:r>
            <w:pict>
              <v:shape id="_x0000_s2049" style="width:453.55pt;height:0.75pt;margin-top:53.85pt;margin-left:70.9pt;mso-position-horizontal-relative:page;mso-position-vertical-relative:page;position:absolute;z-index:251659264"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50" type="#_x0000_t202" style="width:84pt;height:10.55pt;margin-top:43.4pt;margin-left:70.37pt;mso-position-horizontal-relative:page;mso-position-vertical-relative:page;position:absolute;z-index:251658240"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rFonts w:ascii="SimSun" w:eastAsia="SimSun" w:hAnsi="SimSun" w:cs="SimSun"/>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8"/>
              <w:sz w:val="18"/>
              <w:szCs w:val="18"/>
            </w:rPr>
            <w:t xml:space="preserve">  </w:t>
          </w:r>
          <w:r>
            <w:rPr>
              <w:rFonts w:ascii="SimSun" w:eastAsia="SimSun" w:hAnsi="SimSun" w:cs="SimSun"/>
              <w:spacing w:val="-4"/>
              <w:sz w:val="18"/>
              <w:szCs w:val="18"/>
            </w:rPr>
            <w:t>页</w:t>
          </w:r>
          <w:r>
            <w:rPr>
              <w:rFonts w:ascii="SimSun" w:eastAsia="SimSun" w:hAnsi="SimSun" w:cs="SimSun"/>
              <w:spacing w:val="5"/>
              <w:sz w:val="18"/>
              <w:szCs w:val="18"/>
            </w:rPr>
            <w:t xml:space="preserve"> </w:t>
          </w:r>
          <w:r>
            <w:rPr>
              <w:rFonts w:ascii="SimSun" w:eastAsia="SimSun" w:hAnsi="SimSun" w:cs="SimSun"/>
              <w:spacing w:val="-4"/>
              <w:sz w:val="18"/>
              <w:szCs w:val="18"/>
            </w:rPr>
            <w:t>共</w:t>
          </w:r>
          <w:r>
            <w:rPr>
              <w:rFonts w:ascii="SimSun" w:eastAsia="SimSun" w:hAnsi="SimSun" w:cs="SimSun"/>
              <w:spacing w:val="5"/>
              <w:sz w:val="18"/>
              <w:szCs w:val="18"/>
            </w:rPr>
            <w:t xml:space="preserve"> </w:t>
          </w:r>
          <w:r>
            <w:rPr>
              <w:rFonts w:ascii="Times New Roman" w:eastAsia="Times New Roman" w:hAnsi="Times New Roman" w:cs="Times New Roman"/>
              <w:spacing w:val="-4"/>
              <w:sz w:val="18"/>
              <w:szCs w:val="18"/>
            </w:rPr>
            <w:t>25</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页</w:t>
          </w:r>
        </w:p>
      </w:tc>
    </w:tr>
  </w:tbl>
  <w:p>
    <w:pPr>
      <w:spacing w:line="18" w:lineRule="exact"/>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0"/>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spacing w:before="28" w:line="200" w:lineRule="auto"/>
            <w:ind w:left="163"/>
            <w:rPr>
              <w:rFonts w:ascii="SimSun" w:eastAsia="SimSun" w:hAnsi="SimSun" w:cs="SimSun"/>
              <w:sz w:val="18"/>
              <w:szCs w:val="18"/>
            </w:rPr>
          </w:pPr>
          <w:r>
            <w:pict>
              <v:shape id="_x0000_s2053" style="width:453.55pt;height:0.75pt;margin-top:53.85pt;margin-left:70.9pt;mso-position-horizontal-relative:page;mso-position-vertical-relative:page;position:absolute;z-index:251661312"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54" type="#_x0000_t202" style="width:84pt;height:10.55pt;margin-top:43.4pt;margin-left:70.37pt;mso-position-horizontal-relative:page;mso-position-vertical-relative:page;position:absolute;z-index:251660288"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rFonts w:ascii="SimSun" w:eastAsia="SimSun" w:hAnsi="SimSun" w:cs="SimSun"/>
              <w:spacing w:val="-4"/>
              <w:sz w:val="18"/>
              <w:szCs w:val="18"/>
            </w:rPr>
            <w:t xml:space="preserve">第 </w:t>
          </w:r>
          <w:r>
            <w:rPr>
              <w:rFonts w:ascii="Times New Roman" w:eastAsia="Times New Roman" w:hAnsi="Times New Roman" w:cs="Times New Roman"/>
              <w:spacing w:val="-4"/>
              <w:sz w:val="18"/>
              <w:szCs w:val="18"/>
            </w:rPr>
            <w:t>2</w:t>
          </w:r>
          <w:r>
            <w:rPr>
              <w:rFonts w:ascii="Times New Roman" w:eastAsia="Times New Roman" w:hAnsi="Times New Roman" w:cs="Times New Roman"/>
              <w:spacing w:val="8"/>
              <w:sz w:val="18"/>
              <w:szCs w:val="18"/>
            </w:rPr>
            <w:t xml:space="preserve">  </w:t>
          </w:r>
          <w:r>
            <w:rPr>
              <w:rFonts w:ascii="SimSun" w:eastAsia="SimSun" w:hAnsi="SimSun" w:cs="SimSun"/>
              <w:spacing w:val="-4"/>
              <w:sz w:val="18"/>
              <w:szCs w:val="18"/>
            </w:rPr>
            <w:t>页</w:t>
          </w:r>
          <w:r>
            <w:rPr>
              <w:rFonts w:ascii="SimSun" w:eastAsia="SimSun" w:hAnsi="SimSun" w:cs="SimSun"/>
              <w:spacing w:val="5"/>
              <w:sz w:val="18"/>
              <w:szCs w:val="18"/>
            </w:rPr>
            <w:t xml:space="preserve"> </w:t>
          </w:r>
          <w:r>
            <w:rPr>
              <w:rFonts w:ascii="SimSun" w:eastAsia="SimSun" w:hAnsi="SimSun" w:cs="SimSun"/>
              <w:spacing w:val="-4"/>
              <w:sz w:val="18"/>
              <w:szCs w:val="18"/>
            </w:rPr>
            <w:t>共</w:t>
          </w:r>
          <w:r>
            <w:rPr>
              <w:rFonts w:ascii="SimSun" w:eastAsia="SimSun" w:hAnsi="SimSun" w:cs="SimSun"/>
              <w:spacing w:val="5"/>
              <w:sz w:val="18"/>
              <w:szCs w:val="18"/>
            </w:rPr>
            <w:t xml:space="preserve"> </w:t>
          </w:r>
          <w:r>
            <w:rPr>
              <w:rFonts w:ascii="Times New Roman" w:eastAsia="Times New Roman" w:hAnsi="Times New Roman" w:cs="Times New Roman"/>
              <w:spacing w:val="-4"/>
              <w:sz w:val="18"/>
              <w:szCs w:val="18"/>
            </w:rPr>
            <w:t>25</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页</w:t>
          </w:r>
        </w:p>
      </w:tc>
    </w:tr>
  </w:tbl>
  <w:p>
    <w:pPr>
      <w:spacing w:line="18" w:lineRule="exact"/>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spacing w:before="28" w:line="200" w:lineRule="auto"/>
            <w:ind w:left="163"/>
            <w:rPr>
              <w:rFonts w:ascii="SimSun" w:eastAsia="SimSun" w:hAnsi="SimSun" w:cs="SimSun"/>
              <w:sz w:val="18"/>
              <w:szCs w:val="18"/>
            </w:rPr>
          </w:pPr>
          <w:r>
            <w:pict>
              <v:shape id="_x0000_s2057" style="width:453.55pt;height:0.75pt;margin-top:53.85pt;margin-left:70.9pt;mso-position-horizontal-relative:page;mso-position-vertical-relative:page;position:absolute;z-index:251663360"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58" type="#_x0000_t202" style="width:84pt;height:10.55pt;margin-top:43.4pt;margin-left:70.37pt;mso-position-horizontal-relative:page;mso-position-vertical-relative:page;position:absolute;z-index:251662336"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rFonts w:ascii="SimSun" w:eastAsia="SimSun" w:hAnsi="SimSun" w:cs="SimSun"/>
              <w:spacing w:val="-4"/>
              <w:sz w:val="18"/>
              <w:szCs w:val="18"/>
            </w:rPr>
            <w:t>第</w:t>
          </w:r>
          <w:r>
            <w:rPr>
              <w:rFonts w:ascii="SimSun" w:eastAsia="SimSun" w:hAnsi="SimSun" w:cs="SimSun"/>
              <w:spacing w:val="10"/>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5"/>
              <w:sz w:val="18"/>
              <w:szCs w:val="18"/>
            </w:rPr>
            <w:t xml:space="preserve">  </w:t>
          </w:r>
          <w:r>
            <w:rPr>
              <w:rFonts w:ascii="SimSun" w:eastAsia="SimSun" w:hAnsi="SimSun" w:cs="SimSun"/>
              <w:spacing w:val="-4"/>
              <w:sz w:val="18"/>
              <w:szCs w:val="18"/>
            </w:rPr>
            <w:t>页 共</w:t>
          </w:r>
          <w:r>
            <w:rPr>
              <w:rFonts w:ascii="SimSun" w:eastAsia="SimSun" w:hAnsi="SimSun" w:cs="SimSun"/>
              <w:spacing w:val="6"/>
              <w:sz w:val="18"/>
              <w:szCs w:val="18"/>
            </w:rPr>
            <w:t xml:space="preserve"> </w:t>
          </w:r>
          <w:r>
            <w:rPr>
              <w:rFonts w:ascii="Times New Roman" w:eastAsia="Times New Roman" w:hAnsi="Times New Roman" w:cs="Times New Roman"/>
              <w:spacing w:val="-4"/>
              <w:sz w:val="18"/>
              <w:szCs w:val="18"/>
            </w:rPr>
            <w:t>25</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页</w:t>
          </w:r>
        </w:p>
      </w:tc>
    </w:tr>
  </w:tbl>
  <w:p>
    <w:pPr>
      <w:spacing w:line="18" w:lineRule="exact"/>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2"/>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spacing w:before="28" w:line="200" w:lineRule="auto"/>
            <w:ind w:left="163"/>
            <w:rPr>
              <w:rFonts w:ascii="SimSun" w:eastAsia="SimSun" w:hAnsi="SimSun" w:cs="SimSun"/>
              <w:sz w:val="18"/>
              <w:szCs w:val="18"/>
            </w:rPr>
          </w:pPr>
          <w:r>
            <w:pict>
              <v:shape id="_x0000_s2061" style="width:453.55pt;height:0.75pt;margin-top:53.85pt;margin-left:70.9pt;mso-position-horizontal-relative:page;mso-position-vertical-relative:page;position:absolute;z-index:251665408"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62" type="#_x0000_t202" style="width:84pt;height:10.55pt;margin-top:43.4pt;margin-left:70.37pt;mso-position-horizontal-relative:page;mso-position-vertical-relative:page;position:absolute;z-index:251664384"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rFonts w:ascii="SimSun" w:eastAsia="SimSun" w:hAnsi="SimSun" w:cs="SimSun"/>
              <w:spacing w:val="-4"/>
              <w:sz w:val="18"/>
              <w:szCs w:val="18"/>
            </w:rPr>
            <w:t>第</w:t>
          </w:r>
          <w:r>
            <w:rPr>
              <w:rFonts w:ascii="SimSun" w:eastAsia="SimSun" w:hAnsi="SimSun" w:cs="SimSun"/>
              <w:spacing w:val="10"/>
              <w:sz w:val="18"/>
              <w:szCs w:val="18"/>
            </w:rPr>
            <w:t xml:space="preserve"> </w:t>
          </w:r>
          <w:r>
            <w:rPr>
              <w:rFonts w:ascii="Times New Roman" w:eastAsia="Times New Roman" w:hAnsi="Times New Roman" w:cs="Times New Roman"/>
              <w:spacing w:val="-4"/>
              <w:sz w:val="18"/>
              <w:szCs w:val="18"/>
            </w:rPr>
            <w:t>3</w:t>
          </w:r>
          <w:r>
            <w:rPr>
              <w:rFonts w:ascii="Times New Roman" w:eastAsia="Times New Roman" w:hAnsi="Times New Roman" w:cs="Times New Roman"/>
              <w:spacing w:val="5"/>
              <w:sz w:val="18"/>
              <w:szCs w:val="18"/>
            </w:rPr>
            <w:t xml:space="preserve">  </w:t>
          </w:r>
          <w:r>
            <w:rPr>
              <w:rFonts w:ascii="SimSun" w:eastAsia="SimSun" w:hAnsi="SimSun" w:cs="SimSun"/>
              <w:spacing w:val="-4"/>
              <w:sz w:val="18"/>
              <w:szCs w:val="18"/>
            </w:rPr>
            <w:t>页 共</w:t>
          </w:r>
          <w:r>
            <w:rPr>
              <w:rFonts w:ascii="SimSun" w:eastAsia="SimSun" w:hAnsi="SimSun" w:cs="SimSun"/>
              <w:spacing w:val="6"/>
              <w:sz w:val="18"/>
              <w:szCs w:val="18"/>
            </w:rPr>
            <w:t xml:space="preserve"> </w:t>
          </w:r>
          <w:r>
            <w:rPr>
              <w:rFonts w:ascii="Times New Roman" w:eastAsia="Times New Roman" w:hAnsi="Times New Roman" w:cs="Times New Roman"/>
              <w:spacing w:val="-4"/>
              <w:sz w:val="18"/>
              <w:szCs w:val="18"/>
            </w:rPr>
            <w:t>25</w:t>
          </w:r>
          <w:r>
            <w:rPr>
              <w:rFonts w:ascii="Times New Roman" w:eastAsia="Times New Roman" w:hAnsi="Times New Roman" w:cs="Times New Roman"/>
              <w:spacing w:val="4"/>
              <w:sz w:val="18"/>
              <w:szCs w:val="18"/>
            </w:rPr>
            <w:t xml:space="preserve">  </w:t>
          </w:r>
          <w:r>
            <w:rPr>
              <w:rFonts w:ascii="SimSun" w:eastAsia="SimSun" w:hAnsi="SimSun" w:cs="SimSun"/>
              <w:spacing w:val="-4"/>
              <w:sz w:val="18"/>
              <w:szCs w:val="18"/>
            </w:rPr>
            <w:t>页</w:t>
          </w:r>
        </w:p>
      </w:tc>
    </w:tr>
  </w:tbl>
  <w:p>
    <w:pPr>
      <w:spacing w:line="18" w:lineRule="exact"/>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3"/>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65" style="width:453.55pt;height:0.75pt;margin-top:53.85pt;margin-left:70.9pt;mso-position-horizontal-relative:page;mso-position-vertical-relative:page;position:absolute;z-index:251667456"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66" type="#_x0000_t202" style="width:84pt;height:10.55pt;margin-top:43.4pt;margin-left:70.37pt;mso-position-horizontal-relative:page;mso-position-vertical-relative:page;position:absolute;z-index:251666432"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 xml:space="preserve">第 </w:t>
          </w:r>
          <w:r>
            <w:rPr>
              <w:rFonts w:ascii="Times New Roman" w:eastAsia="Times New Roman" w:hAnsi="Times New Roman" w:cs="Times New Roman"/>
              <w:spacing w:val="-4"/>
            </w:rPr>
            <w:t>4</w:t>
          </w:r>
          <w:r>
            <w:rPr>
              <w:rFonts w:ascii="Times New Roman" w:eastAsia="Times New Roman" w:hAnsi="Times New Roman" w:cs="Times New Roman"/>
              <w:spacing w:val="8"/>
            </w:rPr>
            <w:t xml:space="preserve">  </w:t>
          </w:r>
          <w:r>
            <w:rPr>
              <w:spacing w:val="-4"/>
            </w:rPr>
            <w:t>页</w:t>
          </w:r>
          <w:r>
            <w:rPr>
              <w:spacing w:val="5"/>
            </w:rPr>
            <w:t xml:space="preserve"> </w:t>
          </w:r>
          <w:r>
            <w:rPr>
              <w:spacing w:val="-4"/>
            </w:rPr>
            <w:t>共</w:t>
          </w:r>
          <w:r>
            <w:rPr>
              <w:spacing w:val="5"/>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4"/>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69" style="width:453.55pt;height:0.75pt;margin-top:53.85pt;margin-left:70.9pt;mso-position-horizontal-relative:page;mso-position-vertical-relative:page;position:absolute;z-index:251669504"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70" type="#_x0000_t202" style="width:84pt;height:10.55pt;margin-top:43.4pt;margin-left:70.37pt;mso-position-horizontal-relative:page;mso-position-vertical-relative:page;position:absolute;z-index:251668480"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 xml:space="preserve">第 </w:t>
          </w:r>
          <w:r>
            <w:rPr>
              <w:rFonts w:ascii="Times New Roman" w:eastAsia="Times New Roman" w:hAnsi="Times New Roman" w:cs="Times New Roman"/>
              <w:spacing w:val="-4"/>
            </w:rPr>
            <w:t>4</w:t>
          </w:r>
          <w:r>
            <w:rPr>
              <w:rFonts w:ascii="Times New Roman" w:eastAsia="Times New Roman" w:hAnsi="Times New Roman" w:cs="Times New Roman"/>
              <w:spacing w:val="8"/>
            </w:rPr>
            <w:t xml:space="preserve">  </w:t>
          </w:r>
          <w:r>
            <w:rPr>
              <w:spacing w:val="-4"/>
            </w:rPr>
            <w:t>页</w:t>
          </w:r>
          <w:r>
            <w:rPr>
              <w:spacing w:val="5"/>
            </w:rPr>
            <w:t xml:space="preserve"> </w:t>
          </w:r>
          <w:r>
            <w:rPr>
              <w:spacing w:val="-4"/>
            </w:rPr>
            <w:t>共</w:t>
          </w:r>
          <w:r>
            <w:rPr>
              <w:spacing w:val="5"/>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5"/>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73" style="width:453.55pt;height:0.75pt;margin-top:53.85pt;margin-left:70.9pt;mso-position-horizontal-relative:page;mso-position-vertical-relative:page;position:absolute;z-index:251671552"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74" type="#_x0000_t202" style="width:84pt;height:10.55pt;margin-top:43.4pt;margin-left:70.37pt;mso-position-horizontal-relative:page;mso-position-vertical-relative:page;position:absolute;z-index:251670528"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6"/>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77" style="width:453.55pt;height:0.75pt;margin-top:53.85pt;margin-left:70.9pt;mso-position-horizontal-relative:page;mso-position-vertical-relative:page;position:absolute;z-index:251673600"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78" type="#_x0000_t202" style="width:84pt;height:10.55pt;margin-top:43.4pt;margin-left:70.37pt;mso-position-horizontal-relative:page;mso-position-vertical-relative:page;position:absolute;z-index:251672576"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5</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7"/>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81" style="width:453.55pt;height:0.75pt;margin-top:53.85pt;margin-left:70.9pt;mso-position-horizontal-relative:page;mso-position-vertical-relative:page;position:absolute;z-index:251675648"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82" type="#_x0000_t202" style="width:84pt;height:10.55pt;margin-top:43.4pt;margin-left:70.37pt;mso-position-horizontal-relative:page;mso-position-vertical-relative:page;position:absolute;z-index:251674624"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8"/>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85" style="width:453.55pt;height:0.75pt;margin-top:53.85pt;margin-left:70.9pt;mso-position-horizontal-relative:page;mso-position-vertical-relative:page;position:absolute;z-index:251677696"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86" type="#_x0000_t202" style="width:84pt;height:10.55pt;margin-top:43.4pt;margin-left:70.37pt;mso-position-horizontal-relative:page;mso-position-vertical-relative:page;position:absolute;z-index:251676672"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9"/>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89" style="width:453.55pt;height:0.75pt;margin-top:53.85pt;margin-left:70.9pt;mso-position-horizontal-relative:page;mso-position-vertical-relative:page;position:absolute;z-index:251679744"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90" type="#_x0000_t202" style="width:84pt;height:10.55pt;margin-top:43.4pt;margin-left:70.37pt;mso-position-horizontal-relative:page;mso-position-vertical-relative:page;position:absolute;z-index:251678720"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0"/>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93" style="width:453.55pt;height:0.75pt;margin-top:53.85pt;margin-left:70.9pt;mso-position-horizontal-relative:page;mso-position-vertical-relative:page;position:absolute;z-index:251681792"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94" type="#_x0000_t202" style="width:84pt;height:10.55pt;margin-top:43.4pt;margin-left:70.37pt;mso-position-horizontal-relative:page;mso-position-vertical-relative:page;position:absolute;z-index:251680768"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7</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1"/>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097" style="width:453.55pt;height:0.75pt;margin-top:53.85pt;margin-left:70.9pt;mso-position-horizontal-relative:page;mso-position-vertical-relative:page;position:absolute;z-index:251683840"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098" type="#_x0000_t202" style="width:84pt;height:10.55pt;margin-top:43.4pt;margin-left:70.37pt;mso-position-horizontal-relative:page;mso-position-vertical-relative:page;position:absolute;z-index:251682816"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5"/>
            </w:rPr>
            <w:t>第</w:t>
          </w:r>
          <w:r>
            <w:rPr>
              <w:spacing w:val="18"/>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5"/>
            </w:rPr>
            <w:t xml:space="preserve">  </w:t>
          </w:r>
          <w:r>
            <w:rPr>
              <w:spacing w:val="-5"/>
            </w:rPr>
            <w:t>页 共</w:t>
          </w:r>
          <w:r>
            <w:rPr>
              <w:spacing w:val="6"/>
            </w:rPr>
            <w:t xml:space="preserve"> </w:t>
          </w:r>
          <w:r>
            <w:rPr>
              <w:rFonts w:ascii="Times New Roman" w:eastAsia="Times New Roman" w:hAnsi="Times New Roman" w:cs="Times New Roman"/>
              <w:spacing w:val="-5"/>
            </w:rPr>
            <w:t>25</w:t>
          </w:r>
          <w:r>
            <w:rPr>
              <w:rFonts w:ascii="Times New Roman" w:eastAsia="Times New Roman" w:hAnsi="Times New Roman" w:cs="Times New Roman"/>
              <w:spacing w:val="4"/>
            </w:rPr>
            <w:t xml:space="preserve">  </w:t>
          </w:r>
          <w:r>
            <w:rPr>
              <w:spacing w:val="-5"/>
            </w:rPr>
            <w:t>页</w:t>
          </w:r>
        </w:p>
      </w:tc>
    </w:tr>
  </w:tbl>
  <w:p>
    <w:pPr>
      <w:spacing w:line="18" w:lineRule="exact"/>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2"/>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101" style="width:453.55pt;height:0.75pt;margin-top:53.85pt;margin-left:70.9pt;mso-position-horizontal-relative:page;mso-position-vertical-relative:page;position:absolute;z-index:251685888"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102" type="#_x0000_t202" style="width:84pt;height:10.55pt;margin-top:43.4pt;margin-left:70.37pt;mso-position-horizontal-relative:page;mso-position-vertical-relative:page;position:absolute;z-index:251684864"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3"/>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63"/>
          </w:pPr>
          <w:r>
            <w:pict>
              <v:shape id="_x0000_s2105" style="width:453.55pt;height:0.75pt;margin-top:53.85pt;margin-left:70.9pt;mso-position-horizontal-relative:page;mso-position-vertical-relative:page;position:absolute;z-index:251687936"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106" type="#_x0000_t202" style="width:84pt;height:10.55pt;margin-top:43.4pt;margin-left:70.37pt;mso-position-horizontal-relative:page;mso-position-vertical-relative:page;position:absolute;z-index:251686912"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4"/>
            </w:rPr>
            <w:t>第</w:t>
          </w:r>
          <w:r>
            <w:rPr>
              <w:spacing w:val="10"/>
            </w:rPr>
            <w:t xml:space="preserve"> </w:t>
          </w:r>
          <w:r>
            <w:rPr>
              <w:rFonts w:ascii="Times New Roman" w:eastAsia="Times New Roman" w:hAnsi="Times New Roman" w:cs="Times New Roman"/>
              <w:spacing w:val="-4"/>
            </w:rPr>
            <w:t>9</w:t>
          </w:r>
          <w:r>
            <w:rPr>
              <w:rFonts w:ascii="Times New Roman" w:eastAsia="Times New Roman" w:hAnsi="Times New Roman" w:cs="Times New Roman"/>
              <w:spacing w:val="5"/>
            </w:rPr>
            <w:t xml:space="preserve">  </w:t>
          </w:r>
          <w:r>
            <w:rPr>
              <w:spacing w:val="-4"/>
            </w:rPr>
            <w:t>页 共</w:t>
          </w:r>
          <w:r>
            <w:rPr>
              <w:spacing w:val="6"/>
            </w:rPr>
            <w:t xml:space="preserve"> </w:t>
          </w:r>
          <w:r>
            <w:rPr>
              <w:rFonts w:ascii="Times New Roman" w:eastAsia="Times New Roman" w:hAnsi="Times New Roman" w:cs="Times New Roman"/>
              <w:spacing w:val="-4"/>
            </w:rPr>
            <w:t>25</w:t>
          </w:r>
          <w:r>
            <w:rPr>
              <w:rFonts w:ascii="Times New Roman" w:eastAsia="Times New Roman" w:hAnsi="Times New Roman" w:cs="Times New Roman"/>
              <w:spacing w:val="4"/>
            </w:rPr>
            <w:t xml:space="preserve">  </w:t>
          </w:r>
          <w:r>
            <w:rPr>
              <w:spacing w:val="-4"/>
            </w:rPr>
            <w:t>页</w:t>
          </w:r>
        </w:p>
      </w:tc>
    </w:tr>
  </w:tbl>
  <w:p>
    <w:pPr>
      <w:spacing w:line="18" w:lineRule="exact"/>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4"/>
      <w:tblW w:w="1778" w:type="dxa"/>
      <w:tblInd w:w="7362" w:type="dxa"/>
      <w:tblBorders>
        <w:top w:val="single" w:sz="10" w:space="0" w:color="FFFFFF"/>
        <w:left w:val="single" w:sz="10" w:space="0" w:color="FFFFFF"/>
        <w:bottom w:val="single" w:sz="10" w:space="0" w:color="FFFFFF"/>
        <w:right w:val="single" w:sz="10" w:space="0" w:color="FFFFFF"/>
      </w:tblBorders>
      <w:tblLayout w:type="fixed"/>
    </w:tblPr>
    <w:tblGrid>
      <w:gridCol w:w="1778"/>
    </w:tblGrid>
    <w:tr>
      <w:tblPrEx>
        <w:tblW w:w="1778" w:type="dxa"/>
        <w:tblInd w:w="7362" w:type="dxa"/>
        <w:tblBorders>
          <w:top w:val="single" w:sz="10" w:space="0" w:color="FFFFFF"/>
          <w:left w:val="single" w:sz="10" w:space="0" w:color="FFFFFF"/>
          <w:bottom w:val="single" w:sz="10" w:space="0" w:color="FFFFFF"/>
          <w:right w:val="single" w:sz="10" w:space="0" w:color="FFFFFF"/>
        </w:tblBorders>
        <w:tblLayout w:type="fixed"/>
      </w:tblPrEx>
      <w:trPr>
        <w:trHeight w:val="233"/>
      </w:trPr>
      <w:tc>
        <w:tcPr>
          <w:tcW w:w="1778" w:type="dxa"/>
          <w:vAlign w:val="top"/>
        </w:tcPr>
        <w:p>
          <w:pPr>
            <w:pStyle w:val="TableText"/>
            <w:spacing w:before="28" w:line="200" w:lineRule="auto"/>
            <w:ind w:left="117"/>
          </w:pPr>
          <w:r>
            <w:pict>
              <v:shape id="_x0000_s2109" style="width:453.55pt;height:0.75pt;margin-top:53.85pt;margin-left:70.9pt;mso-position-horizontal-relative:page;mso-position-vertical-relative:page;position:absolute;z-index:251689984" coordorigin="0,0" coordsize="9070,15" o:allowincell="f" path="m,l9070,l9070,14l,14l,xe" filled="t" fillcolor="black" stroked="f"/>
            </w:pict>
          </w:r>
          <w:r>
            <w:pict>
              <v:shapetype id="_x0000_t202" coordsize="21600,21600" o:spt="202" path="m,l,21600r21600,l21600,xe">
                <v:stroke joinstyle="miter"/>
                <v:path gradientshapeok="t" o:connecttype="rect"/>
              </v:shapetype>
              <v:shape id="_x0000_s2110" type="#_x0000_t202" style="width:84pt;height:10.55pt;margin-top:43.4pt;margin-left:70.37pt;mso-position-horizontal-relative:page;mso-position-vertical-relative:page;position:absolute;z-index:251688960"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5"/>
            </w:rPr>
            <w:t>第</w:t>
          </w:r>
          <w:r>
            <w:rPr>
              <w:spacing w:val="22"/>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4"/>
            </w:rPr>
            <w:t xml:space="preserve">  </w:t>
          </w:r>
          <w:r>
            <w:rPr>
              <w:spacing w:val="-5"/>
            </w:rPr>
            <w:t>页</w:t>
          </w:r>
          <w:r>
            <w:rPr>
              <w:spacing w:val="8"/>
            </w:rPr>
            <w:t xml:space="preserve"> </w:t>
          </w:r>
          <w:r>
            <w:rPr>
              <w:spacing w:val="-5"/>
            </w:rPr>
            <w:t xml:space="preserve">共 </w:t>
          </w:r>
          <w:r>
            <w:rPr>
              <w:rFonts w:ascii="Times New Roman" w:eastAsia="Times New Roman" w:hAnsi="Times New Roman" w:cs="Times New Roman"/>
              <w:spacing w:val="-5"/>
            </w:rPr>
            <w:t>25</w:t>
          </w:r>
          <w:r>
            <w:rPr>
              <w:rFonts w:ascii="Times New Roman" w:eastAsia="Times New Roman" w:hAnsi="Times New Roman" w:cs="Times New Roman"/>
              <w:spacing w:val="5"/>
            </w:rPr>
            <w:t xml:space="preserve">  </w:t>
          </w:r>
          <w:r>
            <w:rPr>
              <w:spacing w:val="-5"/>
            </w:rPr>
            <w:t>页</w:t>
          </w:r>
        </w:p>
      </w:tc>
    </w:tr>
  </w:tbl>
  <w:p>
    <w:pPr>
      <w:spacing w:line="18" w:lineRule="exact"/>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5"/>
      <w:tblW w:w="1666" w:type="dxa"/>
      <w:tblInd w:w="12278" w:type="dxa"/>
      <w:tblBorders>
        <w:top w:val="single" w:sz="14" w:space="0" w:color="FFFFFF"/>
        <w:left w:val="single" w:sz="14" w:space="0" w:color="FFFFFF"/>
        <w:bottom w:val="single" w:sz="14" w:space="0" w:color="FFFFFF"/>
        <w:right w:val="single" w:sz="14" w:space="0" w:color="FFFFFF"/>
      </w:tblBorders>
      <w:tblLayout w:type="fixed"/>
    </w:tblPr>
    <w:tblGrid>
      <w:gridCol w:w="1666"/>
    </w:tblGrid>
    <w:tr>
      <w:tblPrEx>
        <w:tblW w:w="1666" w:type="dxa"/>
        <w:tblInd w:w="12278" w:type="dxa"/>
        <w:tblBorders>
          <w:top w:val="single" w:sz="14" w:space="0" w:color="FFFFFF"/>
          <w:left w:val="single" w:sz="14" w:space="0" w:color="FFFFFF"/>
          <w:bottom w:val="single" w:sz="14" w:space="0" w:color="FFFFFF"/>
          <w:right w:val="single" w:sz="14" w:space="0" w:color="FFFFFF"/>
        </w:tblBorders>
        <w:tblLayout w:type="fixed"/>
      </w:tblPrEx>
      <w:trPr>
        <w:trHeight w:val="177"/>
      </w:trPr>
      <w:tc>
        <w:tcPr>
          <w:tcW w:w="1666" w:type="dxa"/>
          <w:vAlign w:val="top"/>
        </w:tcPr>
        <w:p>
          <w:pPr>
            <w:pStyle w:val="TableText"/>
            <w:spacing w:before="18" w:line="148" w:lineRule="exact"/>
            <w:ind w:left="60"/>
          </w:pPr>
          <w:r>
            <w:pict>
              <v:shape id="_x0000_s2113" style="width:686pt;height:0.75pt;margin-top:53.85pt;margin-left:77.95pt;mso-position-horizontal-relative:page;mso-position-vertical-relative:page;position:absolute;z-index:251692032" coordorigin="0,0" coordsize="13720,15" o:allowincell="f" path="m,l13720,l13720,14l,14l,xem84,l13634,l13634,14l84,14l84,xe" filled="t" fillcolor="black" stroked="f"/>
            </w:pict>
          </w:r>
          <w:r>
            <w:pict>
              <v:shapetype id="_x0000_t202" coordsize="21600,21600" o:spt="202" path="m,l,21600r21600,l21600,xe">
                <v:stroke joinstyle="miter"/>
                <v:path gradientshapeok="t" o:connecttype="rect"/>
              </v:shapetype>
              <v:shape id="_x0000_s2114" type="#_x0000_t202" style="width:84pt;height:10.55pt;margin-top:43.4pt;margin-left:81.65pt;mso-position-horizontal-relative:page;mso-position-vertical-relative:page;position:absolute;z-index:251691008"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6"/>
              <w:position w:val="-2"/>
            </w:rPr>
            <w:t>第</w:t>
          </w:r>
          <w:r>
            <w:rPr>
              <w:spacing w:val="25"/>
              <w:position w:val="-2"/>
            </w:rPr>
            <w:t xml:space="preserve"> </w:t>
          </w:r>
          <w:r>
            <w:rPr>
              <w:rFonts w:ascii="Times New Roman" w:eastAsia="Times New Roman" w:hAnsi="Times New Roman" w:cs="Times New Roman"/>
              <w:spacing w:val="-6"/>
              <w:position w:val="-2"/>
            </w:rPr>
            <w:t>11</w:t>
          </w:r>
          <w:r>
            <w:rPr>
              <w:rFonts w:ascii="Times New Roman" w:eastAsia="Times New Roman" w:hAnsi="Times New Roman" w:cs="Times New Roman"/>
              <w:spacing w:val="3"/>
              <w:position w:val="-2"/>
            </w:rPr>
            <w:t xml:space="preserve">  </w:t>
          </w:r>
          <w:r>
            <w:rPr>
              <w:spacing w:val="-6"/>
              <w:position w:val="-2"/>
            </w:rPr>
            <w:t>页</w:t>
          </w:r>
          <w:r>
            <w:rPr>
              <w:spacing w:val="8"/>
              <w:position w:val="-2"/>
            </w:rPr>
            <w:t xml:space="preserve"> </w:t>
          </w:r>
          <w:r>
            <w:rPr>
              <w:spacing w:val="-6"/>
              <w:position w:val="-2"/>
            </w:rPr>
            <w:t xml:space="preserve">共 </w:t>
          </w:r>
          <w:r>
            <w:rPr>
              <w:rFonts w:ascii="Times New Roman" w:eastAsia="Times New Roman" w:hAnsi="Times New Roman" w:cs="Times New Roman"/>
              <w:spacing w:val="-6"/>
              <w:position w:val="-2"/>
            </w:rPr>
            <w:t>25</w:t>
          </w:r>
          <w:r>
            <w:rPr>
              <w:rFonts w:ascii="Times New Roman" w:eastAsia="Times New Roman" w:hAnsi="Times New Roman" w:cs="Times New Roman"/>
              <w:spacing w:val="6"/>
              <w:position w:val="-2"/>
            </w:rPr>
            <w:t xml:space="preserve">  </w:t>
          </w:r>
          <w:r>
            <w:rPr>
              <w:spacing w:val="-6"/>
              <w:position w:val="-2"/>
            </w:rPr>
            <w:t>页</w:t>
          </w:r>
        </w:p>
      </w:tc>
    </w:tr>
  </w:tbl>
  <w:p>
    <w:pPr>
      <w:spacing w:line="54" w:lineRule="exact"/>
      <w:rPr>
        <w:rFonts w:ascii="Arial"/>
        <w:sz w:val="4"/>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6"/>
      <w:tblW w:w="1666" w:type="dxa"/>
      <w:tblInd w:w="12278" w:type="dxa"/>
      <w:tblBorders>
        <w:top w:val="single" w:sz="14" w:space="0" w:color="FFFFFF"/>
        <w:left w:val="single" w:sz="14" w:space="0" w:color="FFFFFF"/>
        <w:bottom w:val="single" w:sz="14" w:space="0" w:color="FFFFFF"/>
        <w:right w:val="single" w:sz="14" w:space="0" w:color="FFFFFF"/>
      </w:tblBorders>
      <w:tblLayout w:type="fixed"/>
    </w:tblPr>
    <w:tblGrid>
      <w:gridCol w:w="1666"/>
    </w:tblGrid>
    <w:tr>
      <w:tblPrEx>
        <w:tblW w:w="1666" w:type="dxa"/>
        <w:tblInd w:w="12278" w:type="dxa"/>
        <w:tblBorders>
          <w:top w:val="single" w:sz="14" w:space="0" w:color="FFFFFF"/>
          <w:left w:val="single" w:sz="14" w:space="0" w:color="FFFFFF"/>
          <w:bottom w:val="single" w:sz="14" w:space="0" w:color="FFFFFF"/>
          <w:right w:val="single" w:sz="14" w:space="0" w:color="FFFFFF"/>
        </w:tblBorders>
        <w:tblLayout w:type="fixed"/>
      </w:tblPrEx>
      <w:trPr>
        <w:trHeight w:val="177"/>
      </w:trPr>
      <w:tc>
        <w:tcPr>
          <w:tcW w:w="1666" w:type="dxa"/>
          <w:vAlign w:val="top"/>
        </w:tcPr>
        <w:p>
          <w:pPr>
            <w:pStyle w:val="TableText"/>
            <w:spacing w:before="18" w:line="148" w:lineRule="exact"/>
            <w:ind w:left="60"/>
          </w:pPr>
          <w:r>
            <w:pict>
              <v:shape id="_x0000_s2117" style="width:686pt;height:0.75pt;margin-top:53.85pt;margin-left:77.95pt;mso-position-horizontal-relative:page;mso-position-vertical-relative:page;position:absolute;z-index:251694080" coordorigin="0,0" coordsize="13720,15" o:allowincell="f" path="m,l13720,l13720,14l,14l,xem84,l13634,l13634,14l84,14l84,xe" filled="t" fillcolor="black" stroked="f"/>
            </w:pict>
          </w:r>
          <w:r>
            <w:pict>
              <v:shapetype id="_x0000_t202" coordsize="21600,21600" o:spt="202" path="m,l,21600r21600,l21600,xe">
                <v:stroke joinstyle="miter"/>
                <v:path gradientshapeok="t" o:connecttype="rect"/>
              </v:shapetype>
              <v:shape id="_x0000_s2118" type="#_x0000_t202" style="width:84pt;height:10.55pt;margin-top:43.4pt;margin-left:81.65pt;mso-position-horizontal-relative:page;mso-position-vertical-relative:page;position:absolute;z-index:251693056"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6"/>
              <w:position w:val="-2"/>
            </w:rPr>
            <w:t>第</w:t>
          </w:r>
          <w:r>
            <w:rPr>
              <w:spacing w:val="25"/>
              <w:position w:val="-2"/>
            </w:rPr>
            <w:t xml:space="preserve"> </w:t>
          </w:r>
          <w:r>
            <w:rPr>
              <w:rFonts w:ascii="Times New Roman" w:eastAsia="Times New Roman" w:hAnsi="Times New Roman" w:cs="Times New Roman"/>
              <w:spacing w:val="-6"/>
              <w:position w:val="-2"/>
            </w:rPr>
            <w:t>11</w:t>
          </w:r>
          <w:r>
            <w:rPr>
              <w:rFonts w:ascii="Times New Roman" w:eastAsia="Times New Roman" w:hAnsi="Times New Roman" w:cs="Times New Roman"/>
              <w:spacing w:val="3"/>
              <w:position w:val="-2"/>
            </w:rPr>
            <w:t xml:space="preserve">  </w:t>
          </w:r>
          <w:r>
            <w:rPr>
              <w:spacing w:val="-6"/>
              <w:position w:val="-2"/>
            </w:rPr>
            <w:t>页</w:t>
          </w:r>
          <w:r>
            <w:rPr>
              <w:spacing w:val="8"/>
              <w:position w:val="-2"/>
            </w:rPr>
            <w:t xml:space="preserve"> </w:t>
          </w:r>
          <w:r>
            <w:rPr>
              <w:spacing w:val="-6"/>
              <w:position w:val="-2"/>
            </w:rPr>
            <w:t xml:space="preserve">共 </w:t>
          </w:r>
          <w:r>
            <w:rPr>
              <w:rFonts w:ascii="Times New Roman" w:eastAsia="Times New Roman" w:hAnsi="Times New Roman" w:cs="Times New Roman"/>
              <w:spacing w:val="-6"/>
              <w:position w:val="-2"/>
            </w:rPr>
            <w:t>25</w:t>
          </w:r>
          <w:r>
            <w:rPr>
              <w:rFonts w:ascii="Times New Roman" w:eastAsia="Times New Roman" w:hAnsi="Times New Roman" w:cs="Times New Roman"/>
              <w:spacing w:val="6"/>
              <w:position w:val="-2"/>
            </w:rPr>
            <w:t xml:space="preserve">  </w:t>
          </w:r>
          <w:r>
            <w:rPr>
              <w:spacing w:val="-6"/>
              <w:position w:val="-2"/>
            </w:rPr>
            <w:t>页</w:t>
          </w:r>
        </w:p>
      </w:tc>
    </w:tr>
  </w:tbl>
  <w:p>
    <w:pPr>
      <w:spacing w:line="54" w:lineRule="exact"/>
      <w:rPr>
        <w:rFonts w:ascii="Arial"/>
        <w:sz w:val="4"/>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17"/>
      <w:tblW w:w="1666" w:type="dxa"/>
      <w:tblInd w:w="12278" w:type="dxa"/>
      <w:tblBorders>
        <w:top w:val="single" w:sz="14" w:space="0" w:color="FFFFFF"/>
        <w:left w:val="single" w:sz="14" w:space="0" w:color="FFFFFF"/>
        <w:bottom w:val="single" w:sz="14" w:space="0" w:color="FFFFFF"/>
        <w:right w:val="single" w:sz="14" w:space="0" w:color="FFFFFF"/>
      </w:tblBorders>
      <w:tblLayout w:type="fixed"/>
    </w:tblPr>
    <w:tblGrid>
      <w:gridCol w:w="1666"/>
    </w:tblGrid>
    <w:tr>
      <w:tblPrEx>
        <w:tblW w:w="1666" w:type="dxa"/>
        <w:tblInd w:w="12278" w:type="dxa"/>
        <w:tblBorders>
          <w:top w:val="single" w:sz="14" w:space="0" w:color="FFFFFF"/>
          <w:left w:val="single" w:sz="14" w:space="0" w:color="FFFFFF"/>
          <w:bottom w:val="single" w:sz="14" w:space="0" w:color="FFFFFF"/>
          <w:right w:val="single" w:sz="14" w:space="0" w:color="FFFFFF"/>
        </w:tblBorders>
        <w:tblLayout w:type="fixed"/>
      </w:tblPrEx>
      <w:trPr>
        <w:trHeight w:val="177"/>
      </w:trPr>
      <w:tc>
        <w:tcPr>
          <w:tcW w:w="1666" w:type="dxa"/>
          <w:vAlign w:val="top"/>
        </w:tcPr>
        <w:p>
          <w:pPr>
            <w:pStyle w:val="TableText"/>
            <w:spacing w:before="18" w:line="148" w:lineRule="exact"/>
            <w:ind w:left="57"/>
          </w:pPr>
          <w:r>
            <w:pict>
              <v:shape id="_x0000_s2121" style="width:686pt;height:0.75pt;margin-top:53.85pt;margin-left:77.95pt;mso-position-horizontal-relative:page;mso-position-vertical-relative:page;position:absolute;z-index:251696128" coordorigin="0,0" coordsize="13720,15" o:allowincell="f" path="m,l13720,l13720,14l,14l,xem84,l13634,l13634,14l84,14l84,xe" filled="t" fillcolor="black" stroked="f"/>
            </w:pict>
          </w:r>
          <w:r>
            <w:pict>
              <v:shapetype id="_x0000_t202" coordsize="21600,21600" o:spt="202" path="m,l,21600r21600,l21600,xe">
                <v:stroke joinstyle="miter"/>
                <v:path gradientshapeok="t" o:connecttype="rect"/>
              </v:shapetype>
              <v:shape id="_x0000_s2122" type="#_x0000_t202" style="width:84pt;height:10.55pt;margin-top:43.4pt;margin-left:81.65pt;mso-position-horizontal-relative:page;mso-position-vertical-relative:page;position:absolute;z-index:251695104" o:allowincell="f" filled="f" stroked="f">
                <o:lock v:ext="edit" aspectratio="f"/>
                <v:textbox inset="0,0,0,0">
                  <w:txbxContent>
                    <w:p>
                      <w:pPr>
                        <w:spacing w:before="20" w:line="198" w:lineRule="auto"/>
                        <w:ind w:left="20"/>
                        <w:rPr>
                          <w:rFonts w:ascii="Arial" w:eastAsia="Arial" w:hAnsi="Arial" w:cs="Arial"/>
                          <w:sz w:val="18"/>
                          <w:szCs w:val="18"/>
                        </w:rPr>
                      </w:pPr>
                      <w:r>
                        <w:rPr>
                          <w:rFonts w:ascii="Arial" w:eastAsia="Arial" w:hAnsi="Arial" w:cs="Arial"/>
                          <w:spacing w:val="-1"/>
                          <w:sz w:val="18"/>
                          <w:szCs w:val="18"/>
                        </w:rPr>
                        <w:t>CNAS-GLXXX:20XX</w:t>
                      </w:r>
                    </w:p>
                  </w:txbxContent>
                </v:textbox>
              </v:shape>
            </w:pict>
          </w:r>
          <w:r>
            <w:rPr>
              <w:spacing w:val="-5"/>
              <w:position w:val="-2"/>
            </w:rPr>
            <w:t>第</w:t>
          </w:r>
          <w:r>
            <w:rPr>
              <w:spacing w:val="21"/>
              <w:position w:val="-2"/>
            </w:rPr>
            <w:t xml:space="preserve"> </w:t>
          </w:r>
          <w:r>
            <w:rPr>
              <w:rFonts w:ascii="Times New Roman" w:eastAsia="Times New Roman" w:hAnsi="Times New Roman" w:cs="Times New Roman"/>
              <w:spacing w:val="-5"/>
              <w:position w:val="-2"/>
            </w:rPr>
            <w:t>12</w:t>
          </w:r>
          <w:r>
            <w:rPr>
              <w:rFonts w:ascii="Times New Roman" w:eastAsia="Times New Roman" w:hAnsi="Times New Roman" w:cs="Times New Roman"/>
              <w:spacing w:val="6"/>
              <w:position w:val="-2"/>
            </w:rPr>
            <w:t xml:space="preserve">  </w:t>
          </w:r>
          <w:r>
            <w:rPr>
              <w:spacing w:val="-5"/>
              <w:position w:val="-2"/>
            </w:rPr>
            <w:t>页 共</w:t>
          </w:r>
          <w:r>
            <w:rPr>
              <w:spacing w:val="5"/>
              <w:position w:val="-2"/>
            </w:rPr>
            <w:t xml:space="preserve"> </w:t>
          </w:r>
          <w:r>
            <w:rPr>
              <w:rFonts w:ascii="Times New Roman" w:eastAsia="Times New Roman" w:hAnsi="Times New Roman" w:cs="Times New Roman"/>
              <w:spacing w:val="-5"/>
              <w:position w:val="-2"/>
            </w:rPr>
            <w:t>25</w:t>
          </w:r>
          <w:r>
            <w:rPr>
              <w:rFonts w:ascii="Times New Roman" w:eastAsia="Times New Roman" w:hAnsi="Times New Roman" w:cs="Times New Roman"/>
              <w:spacing w:val="4"/>
              <w:position w:val="-2"/>
            </w:rPr>
            <w:t xml:space="preserve">  </w:t>
          </w:r>
          <w:r>
            <w:rPr>
              <w:spacing w:val="-5"/>
              <w:position w:val="-2"/>
            </w:rPr>
            <w:t>页</w:t>
          </w:r>
        </w:p>
      </w:tc>
    </w:tr>
  </w:tbl>
  <w:p>
    <w:pPr>
      <w:spacing w:line="54" w:lineRule="exact"/>
      <w:rPr>
        <w:rFonts w:ascii="Arial"/>
        <w:sz w:val="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618062104075006041" TargetMode="Externa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林志国</dc:creator>
  <cp:revision>0</cp:revision>
  <dcterms:created xsi:type="dcterms:W3CDTF">2024-03-01T21:38:30Z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2024-03-01T21:52:27Z</vt:filetime>
  </property>
  <property fmtid="{D5CDD505-2E9C-101B-9397-08002B2CF9AE}" pid="3" name="CRO">
    <vt:lpwstr>wqlLaW5nc29mdCBQREYgdG8gV1BTIDkw</vt:lpwstr>
  </property>
</Properties>
</file>