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新型可控气氛炉行业相关公司设立可行性研究报告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23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_Toc19238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79" w:history="1">
        <w:r>
          <w:rPr>
            <w:rFonts w:ascii="仿宋" w:eastAsia="仿宋" w:hAnsi="仿宋" w:cs="仿宋" w:hint="eastAsia"/>
            <w:lang w:eastAsia="zh-CN"/>
          </w:rPr>
          <w:t>一、新型可控气氛炉项目概况</w:t>
        </w:r>
        <w:r>
          <w:tab/>
        </w:r>
        <w:r>
          <w:fldChar w:fldCharType="begin"/>
        </w:r>
        <w:r>
          <w:instrText xml:space="preserve"> PAGEREF _Toc9079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_Toc32534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" w:history="1">
        <w:r>
          <w:rPr>
            <w:rFonts w:ascii="仿宋" w:eastAsia="仿宋" w:hAnsi="仿宋" w:cs="仿宋" w:hint="eastAsia"/>
            <w:lang w:eastAsia="zh-CN"/>
          </w:rPr>
          <w:t>(二)、新型可控气氛炉项目提出的理由</w:t>
        </w:r>
        <w:r>
          <w:tab/>
        </w:r>
        <w:r>
          <w:fldChar w:fldCharType="begin"/>
        </w:r>
        <w:r>
          <w:instrText xml:space="preserve"> PAGEREF _Toc1011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1" w:history="1">
        <w:r>
          <w:rPr>
            <w:rFonts w:ascii="仿宋" w:eastAsia="仿宋" w:hAnsi="仿宋" w:cs="仿宋" w:hint="eastAsia"/>
            <w:lang w:eastAsia="zh-CN"/>
          </w:rPr>
          <w:t>(三)、新型可控气氛炉项目选址</w:t>
        </w:r>
        <w:r>
          <w:tab/>
        </w:r>
        <w:r>
          <w:fldChar w:fldCharType="begin"/>
        </w:r>
        <w:r>
          <w:instrText xml:space="preserve"> PAGEREF _Toc7651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_Toc18284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_Toc20980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6" w:history="1">
        <w:r>
          <w:rPr>
            <w:rFonts w:ascii="仿宋" w:eastAsia="仿宋" w:hAnsi="仿宋" w:cs="仿宋" w:hint="eastAsia"/>
            <w:lang w:eastAsia="zh-CN"/>
          </w:rPr>
          <w:t>(六)、新型可控气氛炉项目投资</w:t>
        </w:r>
        <w:r>
          <w:tab/>
        </w:r>
        <w:r>
          <w:fldChar w:fldCharType="begin"/>
        </w:r>
        <w:r>
          <w:instrText xml:space="preserve"> PAGEREF _Toc5476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8" w:history="1">
        <w:r>
          <w:rPr>
            <w:rFonts w:ascii="仿宋" w:eastAsia="仿宋" w:hAnsi="仿宋" w:cs="仿宋" w:hint="eastAsia"/>
            <w:lang w:eastAsia="zh-CN"/>
          </w:rPr>
          <w:t>(七)、新型可控气氛炉项目进度规划</w:t>
        </w:r>
        <w:r>
          <w:tab/>
        </w:r>
        <w:r>
          <w:fldChar w:fldCharType="begin"/>
        </w:r>
        <w:r>
          <w:instrText xml:space="preserve"> PAGEREF _Toc30898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1" w:history="1">
        <w:r>
          <w:rPr>
            <w:rFonts w:ascii="仿宋" w:eastAsia="仿宋" w:hAnsi="仿宋" w:cs="仿宋" w:hint="eastAsia"/>
            <w:lang w:eastAsia="zh-CN"/>
          </w:rPr>
          <w:t>(九)、新型可控气氛炉项目综合评价</w:t>
        </w:r>
        <w:r>
          <w:tab/>
        </w:r>
        <w:r>
          <w:fldChar w:fldCharType="begin"/>
        </w:r>
        <w:r>
          <w:instrText xml:space="preserve"> PAGEREF _Toc22861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30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_Toc5530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_Toc14659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_Toc27585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_Toc8844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_Toc18442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_Toc7136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7" w:history="1">
        <w:r>
          <w:rPr>
            <w:rFonts w:ascii="仿宋" w:eastAsia="仿宋" w:hAnsi="仿宋" w:cs="仿宋" w:hint="eastAsia"/>
            <w:lang w:eastAsia="zh-CN"/>
          </w:rPr>
          <w:t>(七)、新型可控气氛炉项目建设必要性分析</w:t>
        </w:r>
        <w:r>
          <w:tab/>
        </w:r>
        <w:r>
          <w:fldChar w:fldCharType="begin"/>
        </w:r>
        <w:r>
          <w:instrText xml:space="preserve"> PAGEREF _Toc11677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1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_Toc541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2" w:history="1">
        <w:r>
          <w:rPr>
            <w:rFonts w:ascii="仿宋" w:eastAsia="仿宋" w:hAnsi="仿宋" w:cs="仿宋" w:hint="eastAsia"/>
            <w:lang w:eastAsia="zh-CN"/>
          </w:rPr>
          <w:t>(一)、新型可控气氛炉项目选址原则</w:t>
        </w:r>
        <w:r>
          <w:tab/>
        </w:r>
        <w:r>
          <w:fldChar w:fldCharType="begin"/>
        </w:r>
        <w:r>
          <w:instrText xml:space="preserve"> PAGEREF _Toc4902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_Toc29022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_Toc11252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_Toc8423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7" w:history="1">
        <w:r>
          <w:rPr>
            <w:rFonts w:ascii="仿宋" w:eastAsia="仿宋" w:hAnsi="仿宋" w:cs="仿宋" w:hint="eastAsia"/>
            <w:lang w:eastAsia="zh-CN"/>
          </w:rPr>
          <w:t>(五)、新型可控气氛炉项目选址综合评价</w:t>
        </w:r>
        <w:r>
          <w:tab/>
        </w:r>
        <w:r>
          <w:fldChar w:fldCharType="begin"/>
        </w:r>
        <w:r>
          <w:instrText xml:space="preserve"> PAGEREF _Toc9887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11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_Toc12211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_Toc11761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_Toc28215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_Toc9752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45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_Toc22345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_Toc12395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_Toc14680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_Toc4675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_Toc23131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_Toc16314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_Toc29717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_Toc4434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27" w:history="1">
        <w:r>
          <w:rPr>
            <w:rFonts w:ascii="仿宋" w:eastAsia="仿宋" w:hAnsi="仿宋" w:cs="仿宋" w:hint="eastAsia"/>
            <w:lang w:eastAsia="zh-CN"/>
          </w:rPr>
          <w:t>六、新型可控气氛炉项目风险分析</w:t>
        </w:r>
        <w:r>
          <w:tab/>
        </w:r>
        <w:r>
          <w:fldChar w:fldCharType="begin"/>
        </w:r>
        <w:r>
          <w:instrText xml:space="preserve"> PAGEREF _Toc5027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1" w:history="1">
        <w:r>
          <w:rPr>
            <w:rFonts w:ascii="仿宋" w:eastAsia="仿宋" w:hAnsi="仿宋" w:cs="仿宋" w:hint="eastAsia"/>
            <w:lang w:eastAsia="zh-CN"/>
          </w:rPr>
          <w:t>(一)、新型可控气氛炉项目风险分析</w:t>
        </w:r>
        <w:r>
          <w:tab/>
        </w:r>
        <w:r>
          <w:fldChar w:fldCharType="begin"/>
        </w:r>
        <w:r>
          <w:instrText xml:space="preserve"> PAGEREF _Toc9161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7" w:history="1">
        <w:r>
          <w:rPr>
            <w:rFonts w:ascii="仿宋" w:eastAsia="仿宋" w:hAnsi="仿宋" w:cs="仿宋" w:hint="eastAsia"/>
            <w:lang w:eastAsia="zh-CN"/>
          </w:rPr>
          <w:t>(二)、新型可控气氛炉项目风险对策</w:t>
        </w:r>
        <w:r>
          <w:tab/>
        </w:r>
        <w:r>
          <w:fldChar w:fldCharType="begin"/>
        </w:r>
        <w:r>
          <w:instrText xml:space="preserve"> PAGEREF _Toc32377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86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_Toc7086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146" w:history="1">
        <w:r>
          <w:rPr>
            <w:rFonts w:ascii="仿宋" w:eastAsia="仿宋" w:hAnsi="仿宋" w:cs="仿宋" w:hint="eastAsia"/>
            <w:lang w:eastAsia="zh-CN"/>
          </w:rPr>
          <w:t>(一)、新型可控气氛炉项目进度安排</w:t>
        </w:r>
        <w:r>
          <w:tab/>
        </w:r>
        <w:r>
          <w:fldChar w:fldCharType="begin"/>
        </w:r>
        <w:r>
          <w:instrText xml:space="preserve"> PAGEREF _Toc4146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7" w:history="1">
        <w:r>
          <w:rPr>
            <w:rFonts w:ascii="仿宋" w:eastAsia="仿宋" w:hAnsi="仿宋" w:cs="仿宋" w:hint="eastAsia"/>
            <w:lang w:eastAsia="zh-CN"/>
          </w:rPr>
          <w:t>(二)、新型可控气氛炉项目实施保障措施</w:t>
        </w:r>
        <w:r>
          <w:tab/>
        </w:r>
        <w:r>
          <w:fldChar w:fldCharType="begin"/>
        </w:r>
        <w:r>
          <w:instrText xml:space="preserve"> PAGEREF _Toc4717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3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_Toc24537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_Toc24812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_Toc12447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_Toc23541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_Toc4373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_Toc30973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_Toc25955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_Toc17923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_Toc15386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_Toc13732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_Toc5291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_Toc10285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4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_Toc9841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7" w:history="1">
        <w:r>
          <w:rPr>
            <w:rFonts w:ascii="仿宋" w:eastAsia="仿宋" w:hAnsi="仿宋" w:cs="仿宋" w:hint="eastAsia"/>
            <w:lang w:eastAsia="zh-CN"/>
          </w:rPr>
          <w:t>(一)、新型可控气氛炉项目背景分析</w:t>
        </w:r>
        <w:r>
          <w:tab/>
        </w:r>
        <w:r>
          <w:fldChar w:fldCharType="begin"/>
        </w:r>
        <w:r>
          <w:instrText xml:space="preserve"> PAGEREF _Toc8567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4" w:history="1">
        <w:r>
          <w:rPr>
            <w:rFonts w:ascii="仿宋" w:eastAsia="仿宋" w:hAnsi="仿宋" w:cs="仿宋" w:hint="eastAsia"/>
            <w:lang w:eastAsia="zh-CN"/>
          </w:rPr>
          <w:t>(二)、新型可控气氛炉项目建设必要性分析</w:t>
        </w:r>
        <w:r>
          <w:tab/>
        </w:r>
        <w:r>
          <w:fldChar w:fldCharType="begin"/>
        </w:r>
        <w:r>
          <w:instrText xml:space="preserve"> PAGEREF _Toc11874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_Toc12125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_Toc4141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93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_Toc29093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_Toc29681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_Toc8613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_Toc16560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_Toc22860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34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_Toc9134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_Toc26522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_Toc21387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_Toc17866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31" w:history="1">
        <w:r>
          <w:rPr>
            <w:rFonts w:ascii="仿宋" w:eastAsia="仿宋" w:hAnsi="仿宋" w:cs="仿宋" w:hint="eastAsia"/>
            <w:lang w:eastAsia="zh-CN"/>
          </w:rPr>
          <w:t>十二、新型可控气氛炉项目总结分析</w:t>
        </w:r>
        <w:r>
          <w:tab/>
        </w:r>
        <w:r>
          <w:fldChar w:fldCharType="begin"/>
        </w:r>
        <w:r>
          <w:instrText xml:space="preserve"> PAGEREF _Toc30031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26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_Toc6826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_Toc31434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_Toc26116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_Toc19697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_Toc31751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66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_Toc27166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_Toc30974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_Toc8032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04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_Toc22504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0" w:history="1">
        <w:r>
          <w:rPr>
            <w:rFonts w:ascii="仿宋" w:eastAsia="仿宋" w:hAnsi="仿宋" w:cs="仿宋" w:hint="eastAsia"/>
            <w:lang w:eastAsia="zh-CN"/>
          </w:rPr>
          <w:t>(一)、社会责任新型可控气氛炉项目</w:t>
        </w:r>
        <w:r>
          <w:tab/>
        </w:r>
        <w:r>
          <w:fldChar w:fldCharType="begin"/>
        </w:r>
        <w:r>
          <w:instrText xml:space="preserve"> PAGEREF _Toc32060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_Toc27306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_Toc27538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23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079"/>
      <w:r>
        <w:rPr>
          <w:rFonts w:ascii="仿宋" w:eastAsia="仿宋" w:hAnsi="仿宋" w:cs="仿宋" w:hint="eastAsia"/>
          <w:sz w:val="28"/>
          <w:lang w:eastAsia="zh-CN"/>
        </w:rPr>
        <w:t>一、新型可控气氛炉项目概况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53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11"/>
      <w:r>
        <w:rPr>
          <w:rFonts w:ascii="仿宋" w:eastAsia="仿宋" w:hAnsi="仿宋" w:cs="仿宋" w:hint="eastAsia"/>
          <w:sz w:val="28"/>
          <w:lang w:eastAsia="zh-CN"/>
        </w:rPr>
        <w:t>(二)、新型可控气氛炉项目提出的理由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新型可控气氛炉项目提出的理由可能包括以下几个方面：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市场需求：随着人们对生活品质的追求，对新型可控气氛炉的需求也在不断增加。市场上对于高品质、符合个性化需求的新型可控气氛炉需求量大，因此新型可控气氛炉项目可以满足这一市场需求。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利润空间：新型可控气氛炉行业的利润空间较大，通过生产和销售高品质的新型可控气氛炉，可以获得可观的利润。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新型可控气氛炉行业是一个不断创新和发展的行业，随着人们生活方式和审美观念的改变，对新型可控气氛炉的需求也在不断变化。因此，在新型可控气氛炉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新型可控气氛炉行业也开始注重环保和可持续性发展。通过使用环保材料和生产工艺，新型可控气氛炉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个人兴趣和激情：一些人可能对新型可控气氛炉设计和制造有着浓厚的兴趣和激情，他们希望通过自己的努力和创新，提供更好的新型可控气氛炉产品和服务，满足消费者的需求。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新型可控气氛炉项目的理由可能因具体情况而异，不同的新型可控气氛炉项目可能有不同的原因和背景。因此，在选择新型可控气氛炉项目时，我们需要根据自己的实际情况和需求来综合考虑各种因素，并选择最适合自己的新型可控气氛炉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651"/>
      <w:r>
        <w:rPr>
          <w:rFonts w:ascii="仿宋" w:eastAsia="仿宋" w:hAnsi="仿宋" w:cs="仿宋" w:hint="eastAsia"/>
          <w:sz w:val="28"/>
          <w:lang w:eastAsia="zh-CN"/>
        </w:rPr>
        <w:t>(三)、新型可控气氛炉项目选址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该新型可控气氛炉项目计划选址于xx园区，占地面积约XXX亩。所选地理位置得天独厚，交通便捷，同时享有完善的电力、供水、排水、通讯等公用设施，非常适合本新型可控气氛炉项目的建设需求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284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https://d.book118.com/618134027131006036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新型可控气氛炉行业相关公司设立可行性研究报告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新型可控气氛炉行业相关公司设立可行性研究报告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新型可控气氛炉行业相关公司设立可行性研究报告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新型可控气氛炉行业相关公司设立可行性研究报告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新型可控气氛炉行业相关公司设立可行性研究报告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18134027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2024-02-03T14:37:00Z</dcterms:created>
  <dcterms:modified xsi:type="dcterms:W3CDTF">2024-02-03T14:37:47Z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A5BCDD90820547A28A31A8BE464133E5_11</vt:lpwstr>
  </property>
  <property fmtid="{D5CDD505-2E9C-101B-9397-08002B2CF9AE}" pid="3" name="KSOProductBuildVer">
    <vt:lpwstr>2052-12.1.0.16250</vt:lpwstr>
  </property>
</Properties>
</file>