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程序指令配电器行业相关公司筹备报告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三、程序指令配电器筹建公司基本信息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_Toc21466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_Toc14486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(七)、程序指令配电器项目建设必要性分析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_Toc22433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_Toc25000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_Toc5614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六、程序指令配电器项目经济效益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(三)、程序指令配电器项目盈利能力分析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(一)、程序指令配电器项目进度安排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(二)、程序指令配电器项目实施保障措施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_Toc13376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9" w:history="1">
        <w:r>
          <w:rPr>
            <w:rFonts w:ascii="仿宋" w:eastAsia="仿宋" w:hAnsi="仿宋" w:cs="仿宋" w:hint="eastAsia"/>
            <w:lang w:eastAsia="zh-CN"/>
          </w:rPr>
          <w:t>(一)、程序指令配电器项目背景分析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(二)、程序指令配电器项目建设必要性分析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_Toc23593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_Toc30846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_Toc20821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_Toc6207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_Toc23680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_Toc16495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_Toc12510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_Toc15318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_Toc19621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(一)、社会责任程序指令配电器项目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3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7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https://d.book118.com/618137025052006037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程序指令配电器行业相关公司筹备报告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程序指令配电器行业相关公司筹备报告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程序指令配电器行业相关公司筹备报告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程序指令配电器行业相关公司筹备报告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程序指令配电器行业相关公司筹备报告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137025052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2024-02-04T04:17:00Z</dcterms:created>
  <dcterms:modified xsi:type="dcterms:W3CDTF">2024-02-04T04:17:49Z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1B78235C8FD74F91850F812180209E26_11</vt:lpwstr>
  </property>
  <property fmtid="{D5CDD505-2E9C-101B-9397-08002B2CF9AE}" pid="3" name="KSOProductBuildVer">
    <vt:lpwstr>2052-12.1.0.16250</vt:lpwstr>
  </property>
</Properties>
</file>