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82" w:lineRule="auto"/>
        <w:rPr>
          <w:rFonts w:ascii="Arial"/>
          <w:sz w:val="21"/>
        </w:rPr>
      </w:pPr>
    </w:p>
    <w:p>
      <w:pPr>
        <w:spacing w:before="91" w:line="222" w:lineRule="auto"/>
        <w:ind w:left="210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5"/>
          <w:sz w:val="28"/>
          <w:szCs w:val="28"/>
        </w:rPr>
        <w:t>机动车近光检测仪校准器检定规程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72" w:line="223" w:lineRule="auto"/>
        <w:ind w:left="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pStyle w:val="BodyText"/>
        <w:spacing w:before="245" w:line="253" w:lineRule="auto"/>
        <w:ind w:left="9" w:right="58" w:firstLine="449"/>
        <w:jc w:val="both"/>
      </w:pPr>
      <w:r>
        <w:rPr>
          <w:spacing w:val="8"/>
        </w:rPr>
        <w:t>本规程适用于机动车近光检测仪校准器(以下简称近光校准器)的首次检定、后续</w:t>
      </w:r>
      <w:r>
        <w:rPr>
          <w:spacing w:val="2"/>
        </w:rPr>
        <w:t xml:space="preserve"> </w:t>
      </w:r>
      <w:r>
        <w:rPr>
          <w:spacing w:val="8"/>
        </w:rPr>
        <w:t>检定和使用中的检验。定型鉴定、样机试验中主要计量性能的试验，可参照本规程执</w:t>
      </w:r>
      <w:r>
        <w:rPr>
          <w:spacing w:val="2"/>
        </w:rPr>
        <w:t xml:space="preserve"> </w:t>
      </w:r>
      <w:r>
        <w:rPr>
          <w:spacing w:val="-5"/>
        </w:rPr>
        <w:t>行。</w:t>
      </w:r>
    </w:p>
    <w:p>
      <w:pPr>
        <w:spacing w:before="222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2</w:t>
      </w:r>
      <w:r>
        <w:rPr>
          <w:rFonts w:ascii="SimHei" w:eastAsia="SimHei" w:hAnsi="SimHei" w:cs="SimHei"/>
          <w:spacing w:val="-7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引用文献</w:t>
      </w:r>
    </w:p>
    <w:p>
      <w:pPr>
        <w:pStyle w:val="BodyText"/>
        <w:spacing w:before="220" w:line="219" w:lineRule="auto"/>
        <w:ind w:left="459"/>
      </w:pPr>
      <w:r>
        <w:rPr>
          <w:spacing w:val="-1"/>
        </w:rPr>
        <w:t>GB4599—1994《汽车前照灯配光性能》</w:t>
      </w:r>
    </w:p>
    <w:p>
      <w:pPr>
        <w:pStyle w:val="BodyText"/>
        <w:spacing w:before="77" w:line="219" w:lineRule="auto"/>
        <w:ind w:left="459"/>
      </w:pPr>
      <w:r>
        <w:rPr>
          <w:spacing w:val="1"/>
        </w:rPr>
        <w:t>使用本规程时，应注意使用上述文献的现行</w:t>
      </w:r>
      <w:r>
        <w:t>有效版本。</w:t>
      </w:r>
    </w:p>
    <w:p>
      <w:pPr>
        <w:spacing w:before="215" w:line="221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3</w:t>
      </w:r>
      <w:r>
        <w:rPr>
          <w:rFonts w:ascii="SimHei" w:eastAsia="SimHei" w:hAnsi="SimHei" w:cs="SimHei"/>
          <w:spacing w:val="9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概述</w:t>
      </w:r>
    </w:p>
    <w:p>
      <w:pPr>
        <w:pStyle w:val="BodyText"/>
        <w:spacing w:before="238" w:line="259" w:lineRule="auto"/>
        <w:ind w:left="9" w:right="57" w:firstLine="449"/>
        <w:jc w:val="both"/>
      </w:pPr>
      <w:r>
        <w:rPr>
          <w:spacing w:val="2"/>
        </w:rPr>
        <w:t>近光校准器是装有近光标准光源，带有垂直和水平精密旋转机构的装置，由标准灯</w:t>
      </w:r>
      <w:r>
        <w:t xml:space="preserve"> </w:t>
      </w:r>
      <w:r>
        <w:rPr>
          <w:spacing w:val="2"/>
        </w:rPr>
        <w:t>泡、角度旋转机构、找正机构、电压稳压调压机构及光强一电压对应表组成。它用来校</w:t>
      </w:r>
      <w:r>
        <w:rPr>
          <w:spacing w:val="1"/>
        </w:rPr>
        <w:t xml:space="preserve"> </w:t>
      </w:r>
      <w:r>
        <w:rPr>
          <w:spacing w:val="2"/>
        </w:rPr>
        <w:t>准机动车近光检测仪明暗截止线转角和发光强度的示值准确性。其工作原理是通过调节</w:t>
      </w:r>
      <w:r>
        <w:rPr>
          <w:spacing w:val="4"/>
        </w:rPr>
        <w:t xml:space="preserve"> </w:t>
      </w:r>
      <w:r>
        <w:rPr>
          <w:spacing w:val="2"/>
        </w:rPr>
        <w:t>电压稳压调压装置和水平、垂直角度旋钮，使校准器发出一束已知发光强度和明暗截止</w:t>
      </w:r>
      <w:r>
        <w:rPr>
          <w:spacing w:val="3"/>
        </w:rPr>
        <w:t xml:space="preserve"> </w:t>
      </w:r>
      <w:r>
        <w:rPr>
          <w:spacing w:val="1"/>
        </w:rPr>
        <w:t>线偏移角的近光光束，用以对近光检测仪进行校准。</w:t>
      </w:r>
    </w:p>
    <w:p>
      <w:pPr>
        <w:spacing w:before="247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4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计量性能要求</w:t>
      </w:r>
    </w:p>
    <w:p>
      <w:pPr>
        <w:pStyle w:val="BodyText"/>
        <w:spacing w:before="229" w:line="219" w:lineRule="auto"/>
        <w:ind w:left="9"/>
      </w:pPr>
      <w:r>
        <w:rPr>
          <w:spacing w:val="-2"/>
        </w:rPr>
        <w:t>4.1</w:t>
      </w:r>
      <w:r>
        <w:rPr>
          <w:spacing w:val="92"/>
        </w:rPr>
        <w:t xml:space="preserve"> </w:t>
      </w:r>
      <w:r>
        <w:rPr>
          <w:spacing w:val="-2"/>
        </w:rPr>
        <w:t>发光强度的示值误差</w:t>
      </w:r>
    </w:p>
    <w:p>
      <w:pPr>
        <w:pStyle w:val="BodyText"/>
        <w:spacing w:before="75" w:line="212" w:lineRule="auto"/>
        <w:ind w:left="459"/>
      </w:pPr>
      <w:r>
        <w:rPr>
          <w:spacing w:val="8"/>
        </w:rPr>
        <w:t>近光校准器发光强度(在明区最亮处测量)的变化范围为(3000～11000)</w:t>
      </w:r>
      <w:r>
        <w:rPr>
          <w:rFonts w:ascii="Times New Roman" w:eastAsia="Times New Roman" w:hAnsi="Times New Roman" w:cs="Times New Roman"/>
        </w:rPr>
        <w:t>cd</w:t>
      </w:r>
      <w:r>
        <w:rPr>
          <w:rFonts w:ascii="Times New Roman" w:eastAsia="Times New Roman" w:hAnsi="Times New Roman" w:cs="Times New Roman"/>
          <w:spacing w:val="8"/>
        </w:rPr>
        <w:t>,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8"/>
        </w:rPr>
        <w:t>且发</w:t>
      </w:r>
    </w:p>
    <w:p>
      <w:pPr>
        <w:pStyle w:val="BodyText"/>
        <w:spacing w:before="81" w:line="219" w:lineRule="auto"/>
        <w:ind w:left="9"/>
      </w:pPr>
      <w:r>
        <w:rPr>
          <w:spacing w:val="5"/>
        </w:rPr>
        <w:t>光强度的示值误差不大于±4%。</w:t>
      </w:r>
    </w:p>
    <w:p>
      <w:pPr>
        <w:pStyle w:val="BodyText"/>
        <w:spacing w:before="59" w:line="219" w:lineRule="auto"/>
        <w:ind w:left="9"/>
      </w:pPr>
      <w:r>
        <w:t>4.2</w:t>
      </w:r>
      <w:r>
        <w:rPr>
          <w:spacing w:val="97"/>
        </w:rPr>
        <w:t xml:space="preserve"> </w:t>
      </w:r>
      <w:r>
        <w:t>发光强度的稳定性</w:t>
      </w:r>
    </w:p>
    <w:p>
      <w:pPr>
        <w:pStyle w:val="BodyText"/>
        <w:spacing w:before="79" w:line="309" w:lineRule="exact"/>
        <w:ind w:left="459"/>
      </w:pPr>
      <w:r>
        <w:rPr>
          <w:spacing w:val="10"/>
          <w:position w:val="6"/>
        </w:rPr>
        <w:t>近光校准器发光强度在20</w:t>
      </w:r>
      <w:r>
        <w:rPr>
          <w:rFonts w:ascii="Times New Roman" w:eastAsia="Times New Roman" w:hAnsi="Times New Roman" w:cs="Times New Roman"/>
          <w:position w:val="6"/>
        </w:rPr>
        <w:t>min</w:t>
      </w:r>
      <w:r>
        <w:rPr>
          <w:rFonts w:ascii="Times New Roman" w:eastAsia="Times New Roman" w:hAnsi="Times New Roman" w:cs="Times New Roman"/>
          <w:spacing w:val="10"/>
          <w:position w:val="6"/>
        </w:rPr>
        <w:t xml:space="preserve"> </w:t>
      </w:r>
      <w:r>
        <w:rPr>
          <w:spacing w:val="10"/>
          <w:position w:val="6"/>
        </w:rPr>
        <w:t>内的变化率不超过2%。</w:t>
      </w:r>
    </w:p>
    <w:p>
      <w:pPr>
        <w:pStyle w:val="BodyText"/>
        <w:spacing w:before="1" w:line="218" w:lineRule="auto"/>
        <w:ind w:left="9"/>
      </w:pPr>
      <w:r>
        <w:rPr>
          <w:spacing w:val="-1"/>
        </w:rPr>
        <w:t>4.3  明暗截止线转角的零位示值误差</w:t>
      </w:r>
    </w:p>
    <w:p>
      <w:pPr>
        <w:pStyle w:val="BodyText"/>
        <w:spacing w:before="79" w:line="219" w:lineRule="auto"/>
        <w:ind w:left="459"/>
      </w:pPr>
      <w:r>
        <w:rPr>
          <w:spacing w:val="-4"/>
        </w:rPr>
        <w:t>近光校准器明暗截止线转角的零位示值误差不超过±</w:t>
      </w:r>
      <w:r>
        <w:rPr>
          <w:spacing w:val="-5"/>
        </w:rPr>
        <w:t>5’。</w:t>
      </w:r>
    </w:p>
    <w:p>
      <w:pPr>
        <w:pStyle w:val="BodyText"/>
        <w:spacing w:before="49" w:line="219" w:lineRule="auto"/>
        <w:ind w:left="13"/>
      </w:pPr>
      <w:r>
        <w:rPr>
          <w:b/>
          <w:bCs/>
          <w:spacing w:val="-1"/>
        </w:rPr>
        <w:t>4.4</w:t>
      </w:r>
      <w:r>
        <w:rPr>
          <w:spacing w:val="96"/>
        </w:rPr>
        <w:t xml:space="preserve"> </w:t>
      </w:r>
      <w:r>
        <w:rPr>
          <w:spacing w:val="-1"/>
        </w:rPr>
        <w:t>明暗截止线转角的示值误差</w:t>
      </w:r>
    </w:p>
    <w:p>
      <w:pPr>
        <w:pStyle w:val="BodyText"/>
        <w:spacing w:before="55" w:line="256" w:lineRule="auto"/>
        <w:ind w:left="9" w:right="61" w:firstLine="449"/>
      </w:pPr>
      <w:r>
        <w:rPr>
          <w:spacing w:val="6"/>
        </w:rPr>
        <w:t>近光校准器明暗截止线转角在左</w:t>
      </w:r>
      <w:r>
        <w:rPr>
          <w:rFonts w:ascii="Times New Roman" w:eastAsia="Times New Roman" w:hAnsi="Times New Roman" w:cs="Times New Roman"/>
          <w:spacing w:val="6"/>
        </w:rPr>
        <w:t>(L)3°</w:t>
      </w:r>
      <w:r>
        <w:rPr>
          <w:spacing w:val="6"/>
        </w:rPr>
        <w:t>~</w:t>
      </w:r>
      <w:r>
        <w:rPr>
          <w:spacing w:val="-31"/>
        </w:rPr>
        <w:t xml:space="preserve"> </w:t>
      </w:r>
      <w:r>
        <w:rPr>
          <w:spacing w:val="6"/>
        </w:rPr>
        <w:t>右</w:t>
      </w:r>
      <w:r>
        <w:rPr>
          <w:rFonts w:ascii="Times New Roman" w:eastAsia="Times New Roman" w:hAnsi="Times New Roman" w:cs="Times New Roman"/>
          <w:spacing w:val="6"/>
        </w:rPr>
        <w:t xml:space="preserve">(R)3°,  </w:t>
      </w:r>
      <w:r>
        <w:rPr>
          <w:spacing w:val="6"/>
        </w:rPr>
        <w:t>上</w:t>
      </w:r>
      <w:r>
        <w:rPr>
          <w:rFonts w:ascii="Times New Roman" w:eastAsia="Times New Roman" w:hAnsi="Times New Roman" w:cs="Times New Roman"/>
          <w:spacing w:val="6"/>
        </w:rPr>
        <w:t>(U)2°</w:t>
      </w:r>
      <w:r>
        <w:rPr>
          <w:spacing w:val="6"/>
        </w:rPr>
        <w:t>~</w:t>
      </w:r>
      <w:r>
        <w:rPr>
          <w:spacing w:val="-26"/>
        </w:rPr>
        <w:t xml:space="preserve"> </w:t>
      </w:r>
      <w:r>
        <w:rPr>
          <w:spacing w:val="6"/>
        </w:rPr>
        <w:t>下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(D)3° </w:t>
      </w:r>
      <w:r>
        <w:rPr>
          <w:spacing w:val="6"/>
        </w:rPr>
        <w:t>范围内的</w:t>
      </w:r>
      <w:r>
        <w:rPr>
          <w:spacing w:val="5"/>
        </w:rPr>
        <w:t>示值</w:t>
      </w:r>
      <w:r>
        <w:t xml:space="preserve"> </w:t>
      </w:r>
      <w:r>
        <w:rPr>
          <w:spacing w:val="-9"/>
        </w:rPr>
        <w:t>误差不超过±5'。</w:t>
      </w:r>
    </w:p>
    <w:p>
      <w:pPr>
        <w:spacing w:before="222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通用技术要求</w:t>
      </w:r>
    </w:p>
    <w:p>
      <w:pPr>
        <w:pStyle w:val="BodyText"/>
        <w:spacing w:before="240" w:line="220" w:lineRule="auto"/>
        <w:ind w:left="12"/>
        <w:sectPr>
          <w:headerReference w:type="default" r:id="rId4"/>
          <w:footerReference w:type="default" r:id="rId5"/>
          <w:pgSz w:w="10040" w:h="14660"/>
          <w:pgMar w:top="1149" w:right="719" w:bottom="808" w:left="810" w:header="879" w:footer="669" w:gutter="0"/>
          <w:cols w:space="708"/>
        </w:sectPr>
      </w:pPr>
      <w:r>
        <w:rPr>
          <w:b/>
          <w:bCs/>
          <w:spacing w:val="-9"/>
        </w:rPr>
        <w:t>5.1</w:t>
      </w:r>
      <w:r>
        <w:rPr>
          <w:spacing w:val="-9"/>
        </w:rPr>
        <w:t xml:space="preserve">  外观</w:t>
      </w:r>
    </w:p>
    <w:p>
      <w:pPr>
        <w:pStyle w:val="BodyText"/>
        <w:spacing w:before="66" w:line="244" w:lineRule="auto"/>
        <w:ind w:left="9" w:right="60" w:firstLine="2"/>
      </w:pPr>
      <w:r>
        <w:rPr>
          <w:b/>
          <w:bCs/>
          <w:spacing w:val="5"/>
        </w:rPr>
        <w:t>5.1.1</w:t>
      </w:r>
      <w:r>
        <w:rPr>
          <w:spacing w:val="102"/>
        </w:rPr>
        <w:t xml:space="preserve"> </w:t>
      </w:r>
      <w:r>
        <w:rPr>
          <w:spacing w:val="5"/>
        </w:rPr>
        <w:t>近光校准器应有铭牌，标明仪器名称、型号、制</w:t>
      </w:r>
      <w:r>
        <w:rPr>
          <w:spacing w:val="4"/>
        </w:rPr>
        <w:t>造厂、出厂编号、制造计量器</w:t>
      </w:r>
      <w:r>
        <w:t xml:space="preserve"> </w:t>
      </w:r>
      <w:r>
        <w:rPr>
          <w:spacing w:val="1"/>
        </w:rPr>
        <w:t>具许可证标志</w:t>
      </w:r>
      <w:r>
        <w:rPr>
          <w:spacing w:val="21"/>
        </w:rPr>
        <w:t xml:space="preserve">   </w:t>
      </w:r>
      <w:r>
        <w:rPr>
          <w:spacing w:val="1"/>
        </w:rPr>
        <w:t>及编号、制造日期等。</w:t>
      </w:r>
    </w:p>
    <w:p>
      <w:pPr>
        <w:pStyle w:val="BodyText"/>
        <w:spacing w:before="70" w:line="252" w:lineRule="auto"/>
        <w:ind w:left="9" w:right="51"/>
      </w:pPr>
      <w:r>
        <w:rPr>
          <w:spacing w:val="6"/>
        </w:rPr>
        <w:t>5.1.2</w:t>
      </w:r>
      <w:r>
        <w:rPr>
          <w:spacing w:val="87"/>
        </w:rPr>
        <w:t xml:space="preserve"> </w:t>
      </w:r>
      <w:r>
        <w:rPr>
          <w:spacing w:val="6"/>
        </w:rPr>
        <w:t>近光校准器的所有光学零部件应清洁，无明显</w:t>
      </w:r>
      <w:r>
        <w:rPr>
          <w:spacing w:val="5"/>
        </w:rPr>
        <w:t>霉点、疵点、气泡、划痕等影响</w:t>
      </w:r>
      <w:r>
        <w:t xml:space="preserve"> </w:t>
      </w:r>
      <w:r>
        <w:t>使用的缺陷；各转动手柄、旋钮应转动灵活、平稳、锁定可靠。</w:t>
      </w:r>
    </w:p>
    <w:p>
      <w:pPr>
        <w:spacing w:line="252" w:lineRule="auto"/>
        <w:sectPr>
          <w:headerReference w:type="default" r:id="rId6"/>
          <w:footerReference w:type="default" r:id="rId7"/>
          <w:type w:val="nextPage"/>
          <w:pgSz w:w="10040" w:h="14660"/>
          <w:pgMar w:top="1149" w:right="719" w:bottom="808" w:left="810" w:header="879" w:footer="669" w:gutter="0"/>
          <w:pgNumType w:start="2"/>
          <w:cols w:space="708"/>
          <w:titlePg w:val="0"/>
        </w:sectPr>
      </w:pPr>
    </w:p>
    <w:p>
      <w:pPr>
        <w:pStyle w:val="BodyText"/>
        <w:spacing w:before="168" w:line="261" w:lineRule="auto"/>
        <w:ind w:left="9" w:right="30" w:firstLine="3"/>
      </w:pPr>
      <w:r>
        <w:rPr>
          <w:b/>
          <w:bCs/>
          <w:spacing w:val="6"/>
        </w:rPr>
        <w:t>5.1.3</w:t>
      </w:r>
      <w:r>
        <w:rPr>
          <w:spacing w:val="90"/>
        </w:rPr>
        <w:t xml:space="preserve"> </w:t>
      </w:r>
      <w:r>
        <w:rPr>
          <w:spacing w:val="6"/>
        </w:rPr>
        <w:t>近光校准器的旋钮刻线、数字显示应清晰，不应有模糊</w:t>
      </w:r>
      <w:r>
        <w:rPr>
          <w:spacing w:val="5"/>
        </w:rPr>
        <w:t>、断线、笔划短缺等影</w:t>
      </w:r>
      <w:r>
        <w:t xml:space="preserve"> </w:t>
      </w:r>
      <w:r>
        <w:rPr>
          <w:spacing w:val="-7"/>
        </w:rPr>
        <w:t>响读数的缺陷。</w:t>
      </w:r>
    </w:p>
    <w:p>
      <w:pPr>
        <w:pStyle w:val="BodyText"/>
        <w:spacing w:before="79" w:line="219" w:lineRule="auto"/>
        <w:ind w:left="12"/>
      </w:pPr>
      <w:r>
        <w:rPr>
          <w:b/>
          <w:bCs/>
          <w:spacing w:val="-5"/>
        </w:rPr>
        <w:t>5.1.4</w:t>
      </w:r>
      <w:r>
        <w:rPr>
          <w:spacing w:val="-5"/>
        </w:rPr>
        <w:t xml:space="preserve">  近光校准器的水泡应完好。</w:t>
      </w:r>
    </w:p>
    <w:p>
      <w:pPr>
        <w:pStyle w:val="BodyText"/>
        <w:spacing w:before="69" w:line="219" w:lineRule="auto"/>
        <w:ind w:left="9"/>
      </w:pPr>
      <w:r>
        <w:rPr>
          <w:spacing w:val="-3"/>
        </w:rPr>
        <w:t>5.2</w:t>
      </w:r>
      <w:r>
        <w:rPr>
          <w:spacing w:val="83"/>
        </w:rPr>
        <w:t xml:space="preserve"> </w:t>
      </w:r>
      <w:r>
        <w:rPr>
          <w:spacing w:val="-3"/>
        </w:rPr>
        <w:t>配光性能</w:t>
      </w:r>
    </w:p>
    <w:p>
      <w:pPr>
        <w:pStyle w:val="BodyText"/>
        <w:spacing w:before="14" w:line="271" w:lineRule="auto"/>
        <w:ind w:left="9" w:right="119" w:firstLine="469"/>
      </w:pPr>
      <w:r>
        <w:rPr>
          <w:spacing w:val="5"/>
        </w:rPr>
        <w:t>近光校准器标准光源的配光性能应符合</w:t>
      </w:r>
      <w:r>
        <w:rPr>
          <w:spacing w:val="-20"/>
        </w:rPr>
        <w:t xml:space="preserve"> </w:t>
      </w:r>
      <w:r>
        <w:t>GB</w:t>
      </w:r>
      <w:r>
        <w:rPr>
          <w:spacing w:val="5"/>
        </w:rPr>
        <w:t>4599—199</w:t>
      </w:r>
      <w:r>
        <w:rPr>
          <w:spacing w:val="4"/>
        </w:rPr>
        <w:t>4</w:t>
      </w:r>
      <w:r>
        <w:rPr>
          <w:spacing w:val="-44"/>
        </w:rPr>
        <w:t xml:space="preserve"> </w:t>
      </w:r>
      <w:r>
        <w:rPr>
          <w:spacing w:val="4"/>
        </w:rPr>
        <w:t>中7</w:t>
      </w:r>
      <w:r>
        <w:rPr>
          <w:spacing w:val="-64"/>
        </w:rPr>
        <w:t xml:space="preserve"> </w:t>
      </w:r>
      <w:r>
        <w:rPr>
          <w:spacing w:val="4"/>
        </w:rPr>
        <w:t>.</w:t>
      </w:r>
      <w:r>
        <w:rPr>
          <w:spacing w:val="-66"/>
        </w:rPr>
        <w:t xml:space="preserve"> </w:t>
      </w:r>
      <w:r>
        <w:rPr>
          <w:spacing w:val="4"/>
        </w:rPr>
        <w:t>3(见附录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A)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4"/>
        </w:rPr>
        <w:t>的要求</w:t>
      </w:r>
      <w:r>
        <w:t xml:space="preserve"> </w:t>
      </w:r>
      <w:r>
        <w:rPr>
          <w:spacing w:val="-3"/>
        </w:rPr>
        <w:t>且明区光照度只有一个最大值。</w:t>
      </w:r>
    </w:p>
    <w:p>
      <w:pPr>
        <w:spacing w:before="236" w:line="223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6</w:t>
      </w:r>
      <w:r>
        <w:rPr>
          <w:rFonts w:ascii="SimHei" w:eastAsia="SimHei" w:hAnsi="SimHei" w:cs="SimHei"/>
          <w:spacing w:val="-3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计量器具控制</w:t>
      </w:r>
    </w:p>
    <w:p>
      <w:pPr>
        <w:pStyle w:val="BodyText"/>
        <w:spacing w:before="226" w:line="219" w:lineRule="auto"/>
        <w:ind w:left="479"/>
      </w:pPr>
      <w:r>
        <w:rPr>
          <w:spacing w:val="1"/>
        </w:rPr>
        <w:t>计量器具控制包括首次检定、后续检定和使</w:t>
      </w:r>
      <w:r>
        <w:t>用中检验。</w:t>
      </w:r>
    </w:p>
    <w:p>
      <w:pPr>
        <w:pStyle w:val="BodyText"/>
        <w:spacing w:before="88" w:line="219" w:lineRule="auto"/>
        <w:ind w:left="9"/>
      </w:pPr>
      <w:r>
        <w:rPr>
          <w:spacing w:val="-7"/>
        </w:rPr>
        <w:t>6.1</w:t>
      </w:r>
      <w:r>
        <w:rPr>
          <w:spacing w:val="5"/>
        </w:rPr>
        <w:t xml:space="preserve">  </w:t>
      </w:r>
      <w:r>
        <w:rPr>
          <w:spacing w:val="-7"/>
        </w:rPr>
        <w:t>检定条件</w:t>
      </w:r>
    </w:p>
    <w:p>
      <w:pPr>
        <w:pStyle w:val="BodyText"/>
        <w:spacing w:before="59" w:line="219" w:lineRule="auto"/>
        <w:ind w:left="12"/>
      </w:pPr>
      <w:r>
        <w:rPr>
          <w:b/>
          <w:bCs/>
          <w:spacing w:val="-7"/>
        </w:rPr>
        <w:t>6.1.1</w:t>
      </w:r>
      <w:r>
        <w:rPr>
          <w:spacing w:val="-7"/>
        </w:rPr>
        <w:t xml:space="preserve">  检定用设备</w:t>
      </w:r>
    </w:p>
    <w:p>
      <w:pPr>
        <w:pStyle w:val="BodyText"/>
        <w:spacing w:before="55" w:line="212" w:lineRule="auto"/>
        <w:ind w:left="12"/>
      </w:pPr>
      <w:hyperlink r:id="rId8" w:history="1">
        <w:r>
          <w:rPr>
            <w:b/>
            <w:bCs/>
            <w:spacing w:val="1"/>
          </w:rPr>
          <w:t>6.1.1.1</w:t>
        </w:r>
      </w:hyperlink>
      <w:r>
        <w:rPr>
          <w:spacing w:val="1"/>
        </w:rPr>
        <w:t xml:space="preserve">  数字照度计。测量范围(20～500)</w:t>
      </w:r>
      <w:r>
        <w:rPr>
          <w:rFonts w:ascii="Times New Roman" w:eastAsia="Times New Roman" w:hAnsi="Times New Roman" w:cs="Times New Roman"/>
        </w:rPr>
        <w:t>lx</w:t>
      </w:r>
      <w:r>
        <w:rPr>
          <w:rFonts w:ascii="Times New Roman" w:eastAsia="Times New Roman" w:hAnsi="Times New Roman" w:cs="Times New Roman"/>
          <w:spacing w:val="1"/>
        </w:rPr>
        <w:t xml:space="preserve">,    </w:t>
      </w:r>
      <w:r>
        <w:rPr>
          <w:spacing w:val="1"/>
        </w:rPr>
        <w:t>相对示值误差满足±1%</w:t>
      </w:r>
      <w:r>
        <w:t>的要求。</w:t>
      </w:r>
    </w:p>
    <w:p>
      <w:pPr>
        <w:pStyle w:val="BodyText"/>
        <w:spacing w:before="91" w:line="219" w:lineRule="auto"/>
        <w:ind w:left="12"/>
      </w:pPr>
      <w:hyperlink r:id="rId9" w:history="1">
        <w:r>
          <w:rPr>
            <w:b/>
            <w:bCs/>
            <w:spacing w:val="-8"/>
          </w:rPr>
          <w:t>6.1.1.2</w:t>
        </w:r>
      </w:hyperlink>
      <w:r>
        <w:rPr>
          <w:spacing w:val="-8"/>
        </w:rPr>
        <w:t xml:space="preserve">  经纬仪(6”级)。</w:t>
      </w:r>
    </w:p>
    <w:p>
      <w:pPr>
        <w:pStyle w:val="BodyText"/>
        <w:spacing w:before="54" w:line="212" w:lineRule="auto"/>
        <w:ind w:left="12"/>
      </w:pPr>
      <w:hyperlink r:id="rId10" w:history="1">
        <w:r>
          <w:rPr>
            <w:b/>
            <w:bCs/>
            <w:spacing w:val="-5"/>
          </w:rPr>
          <w:t>6.1.1.3</w:t>
        </w:r>
      </w:hyperlink>
      <w:r>
        <w:rPr>
          <w:spacing w:val="-5"/>
        </w:rPr>
        <w:t xml:space="preserve">  水准仪 </w:t>
      </w:r>
      <w:r>
        <w:rPr>
          <w:rFonts w:ascii="Times New Roman" w:eastAsia="Times New Roman" w:hAnsi="Times New Roman" w:cs="Times New Roman"/>
          <w:spacing w:val="-5"/>
        </w:rPr>
        <w:t>(S3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5"/>
        </w:rPr>
        <w:t>级)。</w:t>
      </w:r>
    </w:p>
    <w:p>
      <w:pPr>
        <w:pStyle w:val="BodyText"/>
        <w:spacing w:before="68" w:line="212" w:lineRule="auto"/>
        <w:ind w:left="12"/>
        <w:rPr>
          <w:rFonts w:ascii="Times New Roman" w:eastAsia="Times New Roman" w:hAnsi="Times New Roman" w:cs="Times New Roman"/>
        </w:rPr>
      </w:pPr>
      <w:hyperlink r:id="rId11" w:history="1">
        <w:r>
          <w:rPr>
            <w:b/>
            <w:bCs/>
            <w:spacing w:val="1"/>
          </w:rPr>
          <w:t>6.1.1.4</w:t>
        </w:r>
      </w:hyperlink>
      <w:r>
        <w:rPr>
          <w:spacing w:val="1"/>
        </w:rPr>
        <w:t xml:space="preserve">  近光校准器检测装置(详见附录 </w:t>
      </w:r>
      <w:r>
        <w:rPr>
          <w:rFonts w:ascii="Times New Roman" w:eastAsia="Times New Roman" w:hAnsi="Times New Roman" w:cs="Times New Roman"/>
          <w:spacing w:val="1"/>
        </w:rPr>
        <w:t>C)</w:t>
      </w:r>
    </w:p>
    <w:p>
      <w:pPr>
        <w:pStyle w:val="BodyText"/>
        <w:spacing w:before="122" w:line="219" w:lineRule="auto"/>
        <w:ind w:left="12"/>
      </w:pPr>
      <w:r>
        <w:rPr>
          <w:b/>
          <w:bCs/>
          <w:spacing w:val="-4"/>
        </w:rPr>
        <w:t>6.1.2</w:t>
      </w:r>
      <w:r>
        <w:rPr>
          <w:spacing w:val="102"/>
        </w:rPr>
        <w:t xml:space="preserve"> </w:t>
      </w:r>
      <w:r>
        <w:rPr>
          <w:spacing w:val="-4"/>
        </w:rPr>
        <w:t>检定环境和其他要求</w:t>
      </w:r>
    </w:p>
    <w:p>
      <w:pPr>
        <w:pStyle w:val="BodyText"/>
        <w:spacing w:before="70" w:line="220" w:lineRule="auto"/>
        <w:ind w:left="12"/>
      </w:pPr>
      <w:hyperlink r:id="rId12" w:history="1">
        <w:r>
          <w:rPr>
            <w:b/>
            <w:bCs/>
            <w:spacing w:val="2"/>
          </w:rPr>
          <w:t>6.1.2.1</w:t>
        </w:r>
      </w:hyperlink>
      <w:r>
        <w:rPr>
          <w:spacing w:val="92"/>
        </w:rPr>
        <w:t xml:space="preserve"> </w:t>
      </w:r>
      <w:r>
        <w:rPr>
          <w:spacing w:val="2"/>
        </w:rPr>
        <w:t>相对湿度：≤85%</w:t>
      </w:r>
    </w:p>
    <w:p>
      <w:pPr>
        <w:pStyle w:val="BodyText"/>
        <w:spacing w:before="58" w:line="220" w:lineRule="auto"/>
        <w:ind w:left="12"/>
      </w:pPr>
      <w:hyperlink r:id="rId13" w:history="1">
        <w:r>
          <w:rPr>
            <w:b/>
            <w:bCs/>
            <w:spacing w:val="-5"/>
          </w:rPr>
          <w:t>6.1.2.2</w:t>
        </w:r>
      </w:hyperlink>
      <w:r>
        <w:rPr>
          <w:spacing w:val="-5"/>
        </w:rPr>
        <w:t xml:space="preserve">  温度：(20±5)℃</w:t>
      </w:r>
    </w:p>
    <w:p>
      <w:pPr>
        <w:pStyle w:val="BodyText"/>
        <w:spacing w:before="80" w:line="222" w:lineRule="auto"/>
        <w:ind w:left="12"/>
      </w:pPr>
      <w:hyperlink r:id="rId14" w:history="1">
        <w:r>
          <w:rPr>
            <w:b/>
            <w:bCs/>
            <w:spacing w:val="-6"/>
          </w:rPr>
          <w:t>6.1.2.3</w:t>
        </w:r>
      </w:hyperlink>
      <w:r>
        <w:rPr>
          <w:spacing w:val="-6"/>
        </w:rPr>
        <w:t xml:space="preserve">  电源电压：</w:t>
      </w:r>
      <w:r>
        <w:rPr>
          <w:spacing w:val="-32"/>
        </w:rPr>
        <w:t xml:space="preserve"> </w:t>
      </w:r>
      <w:r>
        <w:rPr>
          <w:spacing w:val="-6"/>
        </w:rPr>
        <w:t>AC(220±10)V</w:t>
      </w:r>
    </w:p>
    <w:p>
      <w:pPr>
        <w:pStyle w:val="BodyText"/>
        <w:spacing w:before="62" w:line="219" w:lineRule="auto"/>
        <w:ind w:left="9"/>
      </w:pPr>
      <w:r>
        <w:t>6.2</w:t>
      </w:r>
      <w:r>
        <w:rPr>
          <w:spacing w:val="91"/>
        </w:rPr>
        <w:t xml:space="preserve"> </w:t>
      </w:r>
      <w:r>
        <w:t>检定项目</w:t>
      </w:r>
    </w:p>
    <w:p>
      <w:pPr>
        <w:pStyle w:val="BodyText"/>
        <w:spacing w:before="59" w:line="219" w:lineRule="auto"/>
        <w:ind w:left="479"/>
      </w:pPr>
      <w:r>
        <w:rPr>
          <w:spacing w:val="2"/>
        </w:rPr>
        <w:t>检定项目见表1。</w:t>
      </w:r>
    </w:p>
    <w:p>
      <w:pPr>
        <w:spacing w:before="45" w:line="222" w:lineRule="auto"/>
        <w:ind w:left="33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1"/>
          <w:sz w:val="22"/>
          <w:szCs w:val="22"/>
        </w:rPr>
        <w:t>表1</w:t>
      </w:r>
      <w:r>
        <w:rPr>
          <w:rFonts w:ascii="SimHei" w:eastAsia="SimHei" w:hAnsi="SimHei" w:cs="SimHei"/>
          <w:spacing w:val="6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2"/>
          <w:szCs w:val="22"/>
        </w:rPr>
        <w:t>检定项目一览表</w:t>
      </w:r>
    </w:p>
    <w:tbl>
      <w:tblPr>
        <w:tblStyle w:val="TableNormal0"/>
        <w:tblW w:w="8349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3865"/>
        <w:gridCol w:w="1178"/>
        <w:gridCol w:w="1159"/>
        <w:gridCol w:w="1373"/>
      </w:tblGrid>
      <w:tr>
        <w:tblPrEx>
          <w:tblW w:w="8349" w:type="dxa"/>
          <w:tblInd w:w="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3"/>
        </w:trPr>
        <w:tc>
          <w:tcPr>
            <w:tcW w:w="774" w:type="dxa"/>
            <w:vAlign w:val="top"/>
          </w:tcPr>
          <w:p>
            <w:pPr>
              <w:pStyle w:val="TableText"/>
              <w:spacing w:before="93" w:line="221" w:lineRule="auto"/>
              <w:ind w:left="1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序号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2" w:line="219" w:lineRule="auto"/>
              <w:ind w:left="1541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检定项目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92" w:line="219" w:lineRule="auto"/>
              <w:ind w:left="206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首次检定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92" w:line="219" w:lineRule="auto"/>
              <w:ind w:left="19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后续检定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92" w:line="219" w:lineRule="auto"/>
              <w:ind w:left="20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使用中检验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0" w:line="220" w:lineRule="auto"/>
              <w:ind w:left="1730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外观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0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30" w:line="184" w:lineRule="exact"/>
              <w:ind w:left="538"/>
            </w:pPr>
            <w:r>
              <w:rPr>
                <w:position w:val="1"/>
              </w:rPr>
              <w:t>+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18" w:line="221" w:lineRule="auto"/>
              <w:ind w:left="618"/>
            </w:pPr>
            <w:r>
              <w:t>十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pStyle w:val="TableText"/>
              <w:spacing w:before="139" w:line="183" w:lineRule="auto"/>
              <w:ind w:left="3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0" w:line="219" w:lineRule="auto"/>
              <w:ind w:left="154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配光性能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1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30" w:line="100" w:lineRule="exact"/>
              <w:ind w:left="508"/>
            </w:pPr>
            <w:r>
              <w:rPr>
                <w:position w:val="-3"/>
              </w:rPr>
              <w:t>一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79" w:line="54" w:lineRule="exact"/>
              <w:ind w:left="64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pStyle w:val="TableText"/>
              <w:spacing w:before="140" w:line="183" w:lineRule="auto"/>
              <w:ind w:left="3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1" w:line="219" w:lineRule="auto"/>
              <w:ind w:left="1070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发光强度的示值误差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2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32" w:line="184" w:lineRule="exact"/>
              <w:ind w:left="538"/>
            </w:pPr>
            <w:r>
              <w:rPr>
                <w:position w:val="1"/>
              </w:rPr>
              <w:t>+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32" w:line="184" w:lineRule="exact"/>
              <w:ind w:left="648"/>
            </w:pPr>
            <w:r>
              <w:rPr>
                <w:position w:val="1"/>
              </w:rPr>
              <w:t>+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pStyle w:val="TableText"/>
              <w:spacing w:before="141" w:line="183" w:lineRule="auto"/>
              <w:ind w:left="3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2" w:line="219" w:lineRule="auto"/>
              <w:ind w:left="116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发光强度的稳定性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3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33" w:line="184" w:lineRule="exact"/>
              <w:ind w:left="538"/>
            </w:pPr>
            <w:r>
              <w:rPr>
                <w:position w:val="1"/>
              </w:rPr>
              <w:t>+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33" w:line="184" w:lineRule="exact"/>
              <w:ind w:left="648"/>
            </w:pPr>
            <w:r>
              <w:rPr>
                <w:position w:val="1"/>
              </w:rPr>
              <w:t>+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pStyle w:val="TableText"/>
              <w:spacing w:before="143" w:line="182" w:lineRule="auto"/>
              <w:ind w:left="3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2" w:line="219" w:lineRule="auto"/>
              <w:ind w:left="59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明暗截止线转角的零位示值误差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4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34" w:line="184" w:lineRule="exact"/>
              <w:ind w:left="538"/>
            </w:pPr>
            <w:r>
              <w:rPr>
                <w:position w:val="1"/>
              </w:rPr>
              <w:t>+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34" w:line="184" w:lineRule="exact"/>
              <w:ind w:left="648"/>
            </w:pPr>
            <w:r>
              <w:rPr>
                <w:position w:val="1"/>
              </w:rPr>
              <w:t>+</w:t>
            </w:r>
          </w:p>
        </w:tc>
      </w:tr>
    </w:tbl>
    <w:p>
      <w:pPr>
        <w:sectPr>
          <w:headerReference w:type="default" r:id="rId15"/>
          <w:footerReference w:type="default" r:id="rId16"/>
          <w:pgSz w:w="10040" w:h="14660"/>
          <w:pgMar w:top="1300" w:right="690" w:bottom="638" w:left="840" w:header="1019" w:footer="499" w:gutter="0"/>
          <w:pgNumType w:start="3"/>
          <w:cols w:space="708"/>
        </w:sectPr>
      </w:pPr>
    </w:p>
    <w:tbl>
      <w:tblPr>
        <w:tblStyle w:val="TableNormal1"/>
        <w:tblW w:w="8349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3865"/>
        <w:gridCol w:w="1178"/>
        <w:gridCol w:w="1159"/>
        <w:gridCol w:w="1373"/>
      </w:tblGrid>
      <w:tr>
        <w:tblPrEx>
          <w:tblW w:w="8349" w:type="dxa"/>
          <w:tblInd w:w="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9"/>
        </w:trPr>
        <w:tc>
          <w:tcPr>
            <w:tcW w:w="774" w:type="dxa"/>
            <w:vAlign w:val="top"/>
          </w:tcPr>
          <w:p>
            <w:pPr>
              <w:pStyle w:val="TableText"/>
              <w:spacing w:before="143" w:line="183" w:lineRule="auto"/>
              <w:ind w:left="3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3865" w:type="dxa"/>
            <w:vAlign w:val="top"/>
          </w:tcPr>
          <w:p>
            <w:pPr>
              <w:pStyle w:val="TableText"/>
              <w:spacing w:before="93" w:line="219" w:lineRule="auto"/>
              <w:ind w:left="7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明暗截止线转角的示值误差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5" w:line="184" w:lineRule="exact"/>
              <w:ind w:left="545"/>
            </w:pPr>
            <w:r>
              <w:rPr>
                <w:position w:val="1"/>
              </w:rPr>
              <w:t>+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73" w:line="221" w:lineRule="auto"/>
              <w:ind w:left="508"/>
            </w:pPr>
            <w:r>
              <w:t>十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135" w:line="184" w:lineRule="exact"/>
              <w:ind w:left="648"/>
            </w:pPr>
            <w:r>
              <w:rPr>
                <w:position w:val="1"/>
              </w:rPr>
              <w:t>+</w:t>
            </w:r>
          </w:p>
        </w:tc>
      </w:tr>
      <w:tr>
        <w:tblPrEx>
          <w:tblW w:w="8349" w:type="dxa"/>
          <w:tblInd w:w="89" w:type="dxa"/>
          <w:tblLayout w:type="fixed"/>
        </w:tblPrEx>
        <w:trPr>
          <w:trHeight w:val="373"/>
        </w:trPr>
        <w:tc>
          <w:tcPr>
            <w:tcW w:w="8349" w:type="dxa"/>
            <w:gridSpan w:val="5"/>
            <w:vAlign w:val="top"/>
          </w:tcPr>
          <w:p>
            <w:pPr>
              <w:pStyle w:val="TableText"/>
              <w:spacing w:before="96" w:line="219" w:lineRule="auto"/>
              <w:ind w:left="50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注：“+”表示应检项目，“-”表示可不检项目。</w:t>
            </w:r>
          </w:p>
        </w:tc>
      </w:tr>
    </w:tbl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9"/>
      </w:pPr>
      <w:r>
        <w:rPr>
          <w:spacing w:val="-3"/>
        </w:rPr>
        <w:t>6.3</w:t>
      </w:r>
      <w:r>
        <w:rPr>
          <w:spacing w:val="83"/>
        </w:rPr>
        <w:t xml:space="preserve"> </w:t>
      </w:r>
      <w:r>
        <w:rPr>
          <w:spacing w:val="-3"/>
        </w:rPr>
        <w:t>检定方法</w:t>
      </w:r>
    </w:p>
    <w:p>
      <w:pPr>
        <w:pStyle w:val="BodyText"/>
        <w:spacing w:before="70" w:line="220" w:lineRule="auto"/>
        <w:ind w:left="12"/>
      </w:pPr>
      <w:r>
        <w:rPr>
          <w:b/>
          <w:bCs/>
          <w:spacing w:val="-9"/>
        </w:rPr>
        <w:t>6.3.1</w:t>
      </w:r>
      <w:r>
        <w:rPr>
          <w:spacing w:val="-9"/>
        </w:rPr>
        <w:t xml:space="preserve">  外观</w:t>
      </w:r>
    </w:p>
    <w:p>
      <w:pPr>
        <w:pStyle w:val="BodyText"/>
        <w:spacing w:before="57" w:line="219" w:lineRule="auto"/>
        <w:ind w:left="479"/>
      </w:pPr>
      <w:r>
        <w:rPr>
          <w:spacing w:val="1"/>
        </w:rPr>
        <w:t>目视观察和试验，应满足5.1的要求。</w:t>
      </w:r>
    </w:p>
    <w:p>
      <w:pPr>
        <w:pStyle w:val="BodyText"/>
        <w:spacing w:before="89" w:line="219" w:lineRule="auto"/>
        <w:ind w:left="12"/>
      </w:pPr>
      <w:r>
        <w:rPr>
          <w:b/>
          <w:bCs/>
          <w:spacing w:val="-6"/>
        </w:rPr>
        <w:t>6.3.2</w:t>
      </w:r>
      <w:r>
        <w:rPr>
          <w:spacing w:val="91"/>
        </w:rPr>
        <w:t xml:space="preserve"> </w:t>
      </w:r>
      <w:r>
        <w:rPr>
          <w:spacing w:val="-6"/>
        </w:rPr>
        <w:t>配光性能</w:t>
      </w:r>
    </w:p>
    <w:p>
      <w:pPr>
        <w:pStyle w:val="BodyText"/>
        <w:spacing w:before="69" w:line="219" w:lineRule="auto"/>
        <w:ind w:left="479"/>
      </w:pPr>
      <w:r>
        <w:rPr>
          <w:spacing w:val="2"/>
        </w:rPr>
        <w:t>目视观察和数字照度计试验，应满足5.2的要求。</w:t>
      </w:r>
    </w:p>
    <w:p>
      <w:pPr>
        <w:spacing w:line="219" w:lineRule="auto"/>
        <w:sectPr>
          <w:headerReference w:type="default" r:id="rId17"/>
          <w:footerReference w:type="default" r:id="rId18"/>
          <w:type w:val="nextPage"/>
          <w:pgSz w:w="10040" w:h="14660"/>
          <w:pgMar w:top="1300" w:right="690" w:bottom="638" w:left="840" w:header="1019" w:footer="499" w:gutter="0"/>
          <w:pgNumType w:start="4"/>
          <w:cols w:space="708"/>
          <w:titlePg w:val="0"/>
        </w:sectPr>
      </w:pPr>
    </w:p>
    <w:p>
      <w:pPr>
        <w:pStyle w:val="BodyText"/>
        <w:spacing w:before="217" w:line="219" w:lineRule="auto"/>
        <w:rPr>
          <w:sz w:val="20"/>
          <w:szCs w:val="20"/>
        </w:rPr>
      </w:pPr>
      <w:r>
        <w:rPr>
          <w:spacing w:val="15"/>
          <w:sz w:val="20"/>
          <w:szCs w:val="20"/>
        </w:rPr>
        <w:t>6.3.3  明暗截止线转角的零位示值误差</w:t>
      </w:r>
    </w:p>
    <w:p>
      <w:pPr>
        <w:pStyle w:val="BodyText"/>
        <w:spacing w:before="81" w:line="283" w:lineRule="auto"/>
        <w:ind w:right="65" w:firstLine="460"/>
        <w:jc w:val="both"/>
        <w:rPr>
          <w:sz w:val="20"/>
          <w:szCs w:val="20"/>
        </w:rPr>
      </w:pPr>
      <w:r>
        <w:rPr>
          <w:spacing w:val="22"/>
          <w:sz w:val="20"/>
          <w:szCs w:val="20"/>
        </w:rPr>
        <w:t>检定在近光校准器检测装置上进行，检测距离</w:t>
      </w:r>
      <w:r>
        <w:rPr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L  </w:t>
      </w:r>
      <w:r>
        <w:rPr>
          <w:spacing w:val="22"/>
          <w:sz w:val="20"/>
          <w:szCs w:val="20"/>
        </w:rPr>
        <w:t>(</w:t>
      </w:r>
      <w:r>
        <w:rPr>
          <w:spacing w:val="21"/>
          <w:sz w:val="20"/>
          <w:szCs w:val="20"/>
        </w:rPr>
        <w:t>近光校准器发光面中心到配光屏</w:t>
      </w:r>
      <w:r>
        <w:rPr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的</w:t>
      </w:r>
      <w:r>
        <w:rPr>
          <w:spacing w:val="-44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距</w:t>
      </w:r>
      <w:r>
        <w:rPr>
          <w:spacing w:val="-40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离</w:t>
      </w:r>
      <w:r>
        <w:rPr>
          <w:spacing w:val="-42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)</w:t>
      </w:r>
      <w:r>
        <w:rPr>
          <w:spacing w:val="-41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为</w:t>
      </w:r>
      <w:r>
        <w:rPr>
          <w:spacing w:val="-28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1</w:t>
      </w:r>
      <w:r>
        <w:rPr>
          <w:spacing w:val="-42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。将被检近光校准器置于装置的可调工</w:t>
      </w:r>
      <w:r>
        <w:rPr>
          <w:spacing w:val="25"/>
          <w:sz w:val="20"/>
          <w:szCs w:val="20"/>
        </w:rPr>
        <w:t>作台上(见图1),先把近光校</w:t>
      </w:r>
      <w:r>
        <w:rPr>
          <w:sz w:val="20"/>
          <w:szCs w:val="20"/>
        </w:rPr>
        <w:t xml:space="preserve"> </w:t>
      </w:r>
      <w:r>
        <w:rPr>
          <w:spacing w:val="25"/>
          <w:sz w:val="20"/>
          <w:szCs w:val="20"/>
        </w:rPr>
        <w:t>准器的角度调节旋钮调至零位，并使其水泡处于圆环中央，再转动、平移工作台(这些</w:t>
      </w:r>
      <w:r>
        <w:rPr>
          <w:sz w:val="20"/>
          <w:szCs w:val="20"/>
        </w:rPr>
        <w:t xml:space="preserve"> </w:t>
      </w:r>
      <w:r>
        <w:rPr>
          <w:spacing w:val="28"/>
          <w:sz w:val="20"/>
          <w:szCs w:val="20"/>
        </w:rPr>
        <w:t>调整需交替、反复地进行),用经纬仪瞄准，直到</w:t>
      </w:r>
      <w:r>
        <w:rPr>
          <w:spacing w:val="27"/>
          <w:sz w:val="20"/>
          <w:szCs w:val="20"/>
        </w:rPr>
        <w:t>近光校准器光轴找正机构的两个尖锥</w:t>
      </w:r>
      <w:r>
        <w:rPr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顶点与过坐标原点的配光屏垂线处于同一铅垂面内；同时，用水准仪</w:t>
      </w:r>
      <w:r>
        <w:rPr>
          <w:spacing w:val="21"/>
          <w:sz w:val="20"/>
          <w:szCs w:val="20"/>
        </w:rPr>
        <w:t>瞄准，使近光校准</w:t>
      </w:r>
      <w:r>
        <w:rPr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器的发光面中心与配光屏的坐标原点等高，且近光校准器的水泡处于圆环中</w:t>
      </w:r>
      <w:r>
        <w:rPr>
          <w:spacing w:val="21"/>
          <w:sz w:val="20"/>
          <w:szCs w:val="20"/>
        </w:rPr>
        <w:t>心。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line="1800" w:lineRule="exact"/>
        <w:ind w:firstLine="1140"/>
      </w:pPr>
      <w:r>
        <w:rPr>
          <w:position w:val="-35"/>
        </w:rPr>
        <w:pict>
          <v:group id="_x0000_i1025" style="width:315.5pt;height:90pt;mso-position-horizontal-relative:char;mso-position-vertical-relative:line" coordorigin="0,0" coordsize="6310,18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300;height:1800;left:9;position:absolute" filled="f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536;height:1761;left:269;position:absolute;top:26" filled="f" stroked="f">
              <o:lock v:ext="edit" aspectratio="f"/>
              <v:textbox inset="0,0,0,0">
                <w:txbxContent>
                  <w:p>
                    <w:pPr>
                      <w:spacing w:before="19" w:line="192" w:lineRule="auto"/>
                      <w:ind w:left="2149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0"/>
                        <w:szCs w:val="20"/>
                      </w:rPr>
                      <w:t>L(10m)</w:t>
                    </w:r>
                  </w:p>
                  <w:p>
                    <w:pPr>
                      <w:spacing w:before="267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0"/>
                        <w:sz w:val="20"/>
                        <w:szCs w:val="20"/>
                      </w:rPr>
                      <w:t>近光校准器检</w:t>
                    </w:r>
                    <w:r>
                      <w:rPr>
                        <w:rFonts w:ascii="SimSun" w:eastAsia="SimSun" w:hAnsi="SimSun" w:cs="SimSun"/>
                        <w:spacing w:val="-14"/>
                        <w:w w:val="90"/>
                        <w:sz w:val="20"/>
                        <w:szCs w:val="20"/>
                      </w:rPr>
                      <w:t>测装</w:t>
                    </w:r>
                    <w:r>
                      <w:rPr>
                        <w:rFonts w:ascii="SimSun" w:eastAsia="SimSun" w:hAnsi="SimSun" w:cs="SimSun"/>
                        <w:spacing w:val="-8"/>
                        <w:w w:val="90"/>
                        <w:sz w:val="20"/>
                        <w:szCs w:val="20"/>
                      </w:rPr>
                      <w:t>置</w:t>
                    </w:r>
                  </w:p>
                  <w:p>
                    <w:pPr>
                      <w:spacing w:before="302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w w:val="95"/>
                        <w:sz w:val="20"/>
                        <w:szCs w:val="20"/>
                      </w:rPr>
                      <w:t>照度计探头</w:t>
                    </w:r>
                  </w:p>
                  <w:p>
                    <w:pPr>
                      <w:spacing w:before="293" w:line="219" w:lineRule="auto"/>
                      <w:ind w:left="134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sz w:val="20"/>
                        <w:szCs w:val="20"/>
                      </w:rPr>
                      <w:t>配光屏</w:t>
                    </w:r>
                  </w:p>
                </w:txbxContent>
              </v:textbox>
            </v:shape>
            <v:shape id="_x0000_s1028" type="#_x0000_t202" style="width:879;height:1271;left:4509;position:absolute;top:418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3"/>
                        <w:w w:val="88"/>
                        <w:sz w:val="20"/>
                        <w:szCs w:val="20"/>
                      </w:rPr>
                      <w:t>被检</w:t>
                    </w:r>
                    <w:r>
                      <w:rPr>
                        <w:rFonts w:ascii="SimHei" w:eastAsia="SimHei" w:hAnsi="SimHei" w:cs="SimHei"/>
                        <w:spacing w:val="-12"/>
                        <w:w w:val="88"/>
                        <w:sz w:val="20"/>
                        <w:szCs w:val="20"/>
                      </w:rPr>
                      <w:t>校准</w:t>
                    </w:r>
                    <w:r>
                      <w:rPr>
                        <w:rFonts w:ascii="SimHei" w:eastAsia="SimHei" w:hAnsi="SimHei" w:cs="SimHei"/>
                        <w:spacing w:val="-10"/>
                        <w:w w:val="88"/>
                        <w:sz w:val="20"/>
                        <w:szCs w:val="20"/>
                      </w:rPr>
                      <w:t>器</w:t>
                    </w: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w w:val="94"/>
                        <w:sz w:val="20"/>
                        <w:szCs w:val="20"/>
                      </w:rPr>
                      <w:t>可调工作台</w:t>
                    </w:r>
                  </w:p>
                  <w:p>
                    <w:pPr>
                      <w:spacing w:before="202" w:line="221" w:lineRule="auto"/>
                      <w:ind w:left="20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8"/>
                        <w:sz w:val="20"/>
                        <w:szCs w:val="20"/>
                      </w:rPr>
                      <w:t>底座</w:t>
                    </w:r>
                  </w:p>
                </w:txbxContent>
              </v:textbox>
            </v:shape>
            <v:shape id="_x0000_s1029" type="#_x0000_t202" style="width:1195;height:240;left:-20;position:absolute;top:39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w w:val="91"/>
                        <w:sz w:val="20"/>
                        <w:szCs w:val="20"/>
                      </w:rPr>
                      <w:t>配</w:t>
                    </w:r>
                    <w:r>
                      <w:rPr>
                        <w:rFonts w:ascii="SimSun" w:eastAsia="SimSun" w:hAnsi="SimSun" w:cs="SimSun"/>
                        <w:spacing w:val="-19"/>
                        <w:w w:val="91"/>
                        <w:sz w:val="20"/>
                        <w:szCs w:val="20"/>
                      </w:rPr>
                      <w:t>光屏坐标原</w:t>
                    </w:r>
                    <w:r>
                      <w:rPr>
                        <w:rFonts w:ascii="SimSun" w:eastAsia="SimSun" w:hAnsi="SimSun" w:cs="SimSun"/>
                        <w:spacing w:val="-18"/>
                        <w:w w:val="91"/>
                        <w:sz w:val="20"/>
                        <w:szCs w:val="20"/>
                      </w:rPr>
                      <w:t>点</w:t>
                    </w:r>
                  </w:p>
                </w:txbxContent>
              </v:textbox>
            </v:shape>
            <v:shape id="_x0000_s1030" type="#_x0000_t202" style="width:549;height:240;left:5689;position:absolute;top:28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2"/>
                        <w:sz w:val="20"/>
                        <w:szCs w:val="20"/>
                      </w:rPr>
                      <w:t>经</w:t>
                    </w:r>
                    <w:r>
                      <w:rPr>
                        <w:rFonts w:ascii="SimSun" w:eastAsia="SimSun" w:hAnsi="SimSun" w:cs="SimSun"/>
                        <w:spacing w:val="-17"/>
                        <w:w w:val="92"/>
                        <w:sz w:val="20"/>
                        <w:szCs w:val="20"/>
                      </w:rPr>
                      <w:t>纬</w:t>
                    </w:r>
                    <w:r>
                      <w:rPr>
                        <w:rFonts w:ascii="SimSun" w:eastAsia="SimSun" w:hAnsi="SimSun" w:cs="SimSun"/>
                        <w:spacing w:val="-10"/>
                        <w:w w:val="92"/>
                        <w:sz w:val="20"/>
                        <w:szCs w:val="20"/>
                      </w:rPr>
                      <w:t>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85" w:line="212" w:lineRule="auto"/>
        <w:ind w:left="457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3"/>
          <w:w w:val="95"/>
          <w:sz w:val="20"/>
          <w:szCs w:val="20"/>
        </w:rPr>
        <w:t>(a)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spacing w:val="-13"/>
          <w:w w:val="95"/>
          <w:sz w:val="20"/>
          <w:szCs w:val="20"/>
        </w:rPr>
        <w:t>水平视图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4570"/>
        <w:rPr>
          <w:sz w:val="20"/>
          <w:szCs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641365</wp:posOffset>
            </wp:positionH>
            <wp:positionV relativeFrom="paragraph">
              <wp:posOffset>-1105020</wp:posOffset>
            </wp:positionV>
            <wp:extent cx="4095747" cy="118113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95747" cy="1181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12"/>
          <w:w w:val="95"/>
          <w:sz w:val="20"/>
          <w:szCs w:val="20"/>
        </w:rPr>
        <w:t>(b)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spacing w:val="-12"/>
          <w:w w:val="95"/>
          <w:sz w:val="20"/>
          <w:szCs w:val="20"/>
        </w:rPr>
        <w:t>俯视图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329"/>
        <w:rPr>
          <w:sz w:val="20"/>
          <w:szCs w:val="20"/>
        </w:rPr>
      </w:pPr>
      <w:r>
        <w:rPr>
          <w:spacing w:val="-5"/>
          <w:sz w:val="20"/>
          <w:szCs w:val="20"/>
        </w:rPr>
        <w:t>图1  检测安置示意图</w:t>
      </w:r>
    </w:p>
    <w:p>
      <w:pPr>
        <w:pStyle w:val="BodyText"/>
        <w:spacing w:before="178" w:line="291" w:lineRule="auto"/>
        <w:ind w:firstLine="460"/>
        <w:jc w:val="both"/>
        <w:rPr>
          <w:sz w:val="20"/>
          <w:szCs w:val="20"/>
        </w:rPr>
      </w:pPr>
      <w:r>
        <w:rPr>
          <w:spacing w:val="23"/>
          <w:sz w:val="20"/>
          <w:szCs w:val="20"/>
        </w:rPr>
        <w:t xml:space="preserve">将近光校准器发光强度调到7000 </w:t>
      </w:r>
      <w:r>
        <w:rPr>
          <w:rFonts w:ascii="Times New Roman" w:eastAsia="Times New Roman" w:hAnsi="Times New Roman" w:cs="Times New Roman"/>
          <w:sz w:val="20"/>
          <w:szCs w:val="20"/>
        </w:rPr>
        <w:t>cd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 </w:t>
      </w:r>
      <w:r>
        <w:rPr>
          <w:spacing w:val="22"/>
          <w:sz w:val="20"/>
          <w:szCs w:val="20"/>
        </w:rPr>
        <w:t>对配光屏上的近光图形进行</w:t>
      </w:r>
      <w:r>
        <w:rPr>
          <w:spacing w:val="-56"/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一</w:t>
      </w:r>
      <w:r>
        <w:rPr>
          <w:spacing w:val="-53"/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次图像采集，</w:t>
      </w:r>
      <w:r>
        <w:rPr>
          <w:sz w:val="20"/>
          <w:szCs w:val="20"/>
        </w:rPr>
        <w:t xml:space="preserve"> </w:t>
      </w:r>
      <w:r>
        <w:rPr>
          <w:spacing w:val="20"/>
          <w:sz w:val="20"/>
          <w:szCs w:val="20"/>
        </w:rPr>
        <w:t>经分析处理后得出明暗截止线转角的零点位置和零位示值误差，记为△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H₀/</w:t>
      </w:r>
      <w:r>
        <w:rPr>
          <w:spacing w:val="20"/>
          <w:sz w:val="20"/>
          <w:szCs w:val="20"/>
        </w:rPr>
        <w:t>△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₀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spacing w:val="19"/>
          <w:sz w:val="20"/>
          <w:szCs w:val="20"/>
        </w:rPr>
        <w:t>(</w:t>
      </w:r>
      <w:r>
        <w:rPr>
          <w:spacing w:val="-38"/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>水</w:t>
      </w:r>
      <w:r>
        <w:rPr>
          <w:spacing w:val="-42"/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 xml:space="preserve">平 </w:t>
      </w:r>
      <w:r>
        <w:rPr>
          <w:spacing w:val="22"/>
          <w:sz w:val="20"/>
          <w:szCs w:val="20"/>
        </w:rPr>
        <w:t>方向/垂直方向),它应符合4</w:t>
      </w:r>
      <w:r>
        <w:rPr>
          <w:spacing w:val="-52"/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.3的要求。</w:t>
      </w:r>
    </w:p>
    <w:p>
      <w:pPr>
        <w:pStyle w:val="BodyText"/>
        <w:spacing w:before="108" w:line="219" w:lineRule="auto"/>
        <w:rPr>
          <w:sz w:val="20"/>
          <w:szCs w:val="20"/>
        </w:rPr>
      </w:pPr>
      <w:r>
        <w:rPr>
          <w:spacing w:val="15"/>
          <w:sz w:val="20"/>
          <w:szCs w:val="20"/>
        </w:rPr>
        <w:t>6.3.4  明暗截止线转角的示值误差</w:t>
      </w:r>
    </w:p>
    <w:p>
      <w:pPr>
        <w:pStyle w:val="BodyText"/>
        <w:spacing w:before="101" w:line="268" w:lineRule="auto"/>
        <w:ind w:right="71" w:firstLine="460"/>
        <w:rPr>
          <w:sz w:val="20"/>
          <w:szCs w:val="20"/>
        </w:rPr>
        <w:sectPr>
          <w:headerReference w:type="default" r:id="rId21"/>
          <w:footerReference w:type="default" r:id="rId22"/>
          <w:pgSz w:w="10040" w:h="14660"/>
          <w:pgMar w:top="1139" w:right="720" w:bottom="808" w:left="780" w:header="854" w:footer="669" w:gutter="0"/>
          <w:pgNumType w:start="5"/>
          <w:cols w:space="708"/>
        </w:sectPr>
      </w:pPr>
      <w:r>
        <w:rPr>
          <w:spacing w:val="34"/>
          <w:sz w:val="20"/>
          <w:szCs w:val="20"/>
        </w:rPr>
        <w:t>利用专用夹具将激光器安装到被检近光校准</w:t>
      </w:r>
      <w:r>
        <w:rPr>
          <w:spacing w:val="33"/>
          <w:sz w:val="20"/>
          <w:szCs w:val="20"/>
        </w:rPr>
        <w:t>器透镜的顶点附近(见图2),接通激</w:t>
      </w:r>
      <w:r>
        <w:rPr>
          <w:sz w:val="20"/>
          <w:szCs w:val="20"/>
        </w:rPr>
        <w:t xml:space="preserve"> </w:t>
      </w:r>
      <w:r>
        <w:rPr>
          <w:spacing w:val="22"/>
          <w:sz w:val="20"/>
          <w:szCs w:val="20"/>
        </w:rPr>
        <w:t>光器电源，调整可调工作平台，使激光光斑中心与</w:t>
      </w:r>
      <w:r>
        <w:rPr>
          <w:spacing w:val="21"/>
          <w:sz w:val="20"/>
          <w:szCs w:val="20"/>
        </w:rPr>
        <w:t>配光屏上标记的坐标原点重合。</w:t>
      </w:r>
    </w:p>
    <w:p>
      <w:pPr>
        <w:pStyle w:val="BodyText"/>
        <w:spacing w:before="101" w:line="320" w:lineRule="auto"/>
        <w:ind w:right="51" w:firstLine="460"/>
        <w:rPr>
          <w:sz w:val="20"/>
          <w:szCs w:val="20"/>
        </w:rPr>
      </w:pPr>
      <w:r>
        <w:rPr>
          <w:spacing w:val="26"/>
          <w:sz w:val="20"/>
          <w:szCs w:val="20"/>
        </w:rPr>
        <w:t>转动近光校准器的角度旋钮，使明暗截止线转角分别偏移到表</w:t>
      </w:r>
      <w:r>
        <w:rPr>
          <w:spacing w:val="25"/>
          <w:sz w:val="20"/>
          <w:szCs w:val="20"/>
        </w:rPr>
        <w:t>2所列的标称值，从</w:t>
      </w:r>
      <w:r>
        <w:rPr>
          <w:sz w:val="20"/>
          <w:szCs w:val="20"/>
        </w:rPr>
        <w:t xml:space="preserve"> </w:t>
      </w:r>
      <w:r>
        <w:rPr>
          <w:spacing w:val="24"/>
          <w:sz w:val="20"/>
          <w:szCs w:val="20"/>
        </w:rPr>
        <w:t xml:space="preserve">配光屏上读出激光光斑中心偏离坐标原点的距离 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D,   </w:t>
      </w:r>
      <w:r>
        <w:rPr>
          <w:spacing w:val="24"/>
          <w:sz w:val="20"/>
          <w:szCs w:val="20"/>
        </w:rPr>
        <w:t>取顺、逆时针方向的两次平均值</w:t>
      </w:r>
      <w:r>
        <w:rPr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。</w:t>
      </w:r>
      <w:r>
        <w:rPr>
          <w:spacing w:val="-51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 xml:space="preserve">激光器到配光屏的距离 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>L</w:t>
      </w:r>
      <w:r>
        <w:rPr>
          <w:spacing w:val="23"/>
          <w:sz w:val="20"/>
          <w:szCs w:val="20"/>
        </w:rPr>
        <w:t>。事先测得，按式(1</w:t>
      </w:r>
      <w:r>
        <w:rPr>
          <w:spacing w:val="22"/>
          <w:sz w:val="20"/>
          <w:szCs w:val="20"/>
        </w:rPr>
        <w:t>)计算被检近光校准器明暗截止线转</w:t>
      </w:r>
    </w:p>
    <w:p>
      <w:pPr>
        <w:pStyle w:val="BodyText"/>
        <w:spacing w:before="1" w:line="218" w:lineRule="auto"/>
        <w:rPr>
          <w:sz w:val="20"/>
          <w:szCs w:val="20"/>
        </w:rPr>
      </w:pPr>
      <w:r>
        <w:rPr>
          <w:spacing w:val="5"/>
          <w:sz w:val="20"/>
          <w:szCs w:val="20"/>
        </w:rPr>
        <w:t>角的实际转动角度</w:t>
      </w:r>
      <w:r>
        <w:rPr>
          <w:spacing w:val="-1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αo:</w:t>
      </w: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50951914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pStyle w:val="BodyText"/>
            <w:spacing w:before="137" w:line="207" w:lineRule="auto"/>
            <w:ind w:left="3340"/>
            <w:rPr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i/>
              <w:iCs/>
              <w:spacing w:val="-1"/>
              <w:sz w:val="20"/>
              <w:szCs w:val="20"/>
            </w:rPr>
            <w:t xml:space="preserve">ao;=arctan(D/L₀)                                                   </w:t>
          </w:r>
          <w:r>
            <w:rPr>
              <w:rFonts w:ascii="Times New Roman" w:eastAsia="Times New Roman" w:hAnsi="Times New Roman" w:cs="Times New Roman"/>
              <w:i/>
              <w:iCs/>
              <w:spacing w:val="-2"/>
              <w:sz w:val="20"/>
              <w:szCs w:val="20"/>
            </w:rPr>
            <w:t xml:space="preserve">                   </w:t>
          </w:r>
          <w:r>
            <w:rPr>
              <w:spacing w:val="-2"/>
              <w:sz w:val="20"/>
              <w:szCs w:val="20"/>
            </w:rPr>
            <w:t>(</w:t>
          </w:r>
          <w:hyperlink w:anchor="bookmark1" w:history="1">
            <w:r>
              <w:rPr>
                <w:spacing w:val="-2"/>
                <w:sz w:val="20"/>
                <w:szCs w:val="20"/>
              </w:rPr>
              <w:t>1)</w:t>
            </w:r>
          </w:hyperlink>
        </w:p>
        <w:p>
          <w:pPr>
            <w:pStyle w:val="BodyText"/>
            <w:spacing w:before="150" w:line="212" w:lineRule="auto"/>
            <w:jc w:val="right"/>
            <w:rPr>
              <w:sz w:val="20"/>
              <w:szCs w:val="20"/>
            </w:rPr>
          </w:pPr>
          <w:r>
            <w:rPr>
              <w:spacing w:val="22"/>
              <w:sz w:val="20"/>
              <w:szCs w:val="20"/>
            </w:rPr>
            <w:t>按式(2)计算近光校准器明暗截止线转角的示值误差△</w:t>
          </w:r>
          <w:r>
            <w:rPr>
              <w:rFonts w:ascii="Times New Roman" w:eastAsia="Times New Roman" w:hAnsi="Times New Roman" w:cs="Times New Roman"/>
              <w:spacing w:val="22"/>
              <w:sz w:val="20"/>
              <w:szCs w:val="20"/>
            </w:rPr>
            <w:t xml:space="preserve">a₀;,    </w:t>
          </w:r>
          <w:r>
            <w:rPr>
              <w:spacing w:val="22"/>
              <w:sz w:val="20"/>
              <w:szCs w:val="20"/>
            </w:rPr>
            <w:t>它应满足4</w:t>
          </w:r>
          <w:r>
            <w:rPr>
              <w:spacing w:val="-44"/>
              <w:sz w:val="20"/>
              <w:szCs w:val="20"/>
            </w:rPr>
            <w:t xml:space="preserve"> </w:t>
          </w:r>
          <w:r>
            <w:rPr>
              <w:spacing w:val="22"/>
              <w:sz w:val="20"/>
              <w:szCs w:val="20"/>
            </w:rPr>
            <w:t>.4的要求。</w:t>
          </w:r>
        </w:p>
        <w:p>
          <w:pPr>
            <w:pStyle w:val="BodyText"/>
            <w:spacing w:before="108" w:line="218" w:lineRule="auto"/>
            <w:ind w:right="41"/>
            <w:jc w:val="right"/>
            <w:rPr>
              <w:sz w:val="24"/>
              <w:szCs w:val="24"/>
            </w:rPr>
          </w:pPr>
          <w:r>
            <w:rPr>
              <w:spacing w:val="-7"/>
              <w:sz w:val="20"/>
              <w:szCs w:val="20"/>
            </w:rPr>
            <w:t>△</w:t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>a;=a-αo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 xml:space="preserve">                               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                                       </w:t>
          </w:r>
          <w:r>
            <w:rPr>
              <w:spacing w:val="-7"/>
              <w:sz w:val="24"/>
              <w:szCs w:val="24"/>
            </w:rPr>
            <w:t>(</w:t>
          </w:r>
          <w:hyperlink w:anchor="bookmark2" w:history="1">
            <w:r>
              <w:rPr>
                <w:spacing w:val="-7"/>
                <w:sz w:val="24"/>
                <w:szCs w:val="24"/>
              </w:rPr>
              <w:t>2)</w:t>
            </w:r>
          </w:hyperlink>
        </w:p>
      </w:sdtContent>
    </w:sdt>
    <w:p>
      <w:pPr>
        <w:spacing w:line="218" w:lineRule="auto"/>
        <w:rPr>
          <w:sz w:val="24"/>
          <w:szCs w:val="24"/>
        </w:rPr>
        <w:sectPr>
          <w:headerReference w:type="default" r:id="rId23"/>
          <w:footerReference w:type="default" r:id="rId24"/>
          <w:type w:val="nextPage"/>
          <w:pgSz w:w="10040" w:h="14660"/>
          <w:pgMar w:top="1139" w:right="720" w:bottom="808" w:left="780" w:header="854" w:footer="669" w:gutter="0"/>
          <w:pgNumType w:start="6"/>
          <w:cols w:space="708"/>
          <w:titlePg w:val="0"/>
        </w:sectPr>
      </w:pPr>
    </w:p>
    <w:p>
      <w:pPr>
        <w:spacing w:line="477" w:lineRule="auto"/>
        <w:rPr>
          <w:rFonts w:ascii="Arial"/>
          <w:sz w:val="21"/>
        </w:rPr>
      </w:pPr>
    </w:p>
    <w:p>
      <w:pPr>
        <w:spacing w:line="2379" w:lineRule="exact"/>
        <w:ind w:firstLine="1370"/>
      </w:pPr>
      <w:r>
        <w:rPr>
          <w:position w:val="-47"/>
        </w:rPr>
        <w:drawing>
          <wp:inline distT="0" distB="0" distL="0" distR="0">
            <wp:extent cx="3670254" cy="151123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70254" cy="1511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58" w:line="219" w:lineRule="auto"/>
        <w:ind w:left="2480"/>
        <w:rPr>
          <w:sz w:val="18"/>
          <w:szCs w:val="18"/>
        </w:rPr>
      </w:pPr>
      <w:r>
        <w:rPr>
          <w:spacing w:val="11"/>
          <w:sz w:val="18"/>
          <w:szCs w:val="18"/>
        </w:rPr>
        <w:t>图</w:t>
      </w:r>
      <w:r>
        <w:rPr>
          <w:spacing w:val="-23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2</w:t>
      </w:r>
      <w:r>
        <w:rPr>
          <w:spacing w:val="4"/>
          <w:sz w:val="18"/>
          <w:szCs w:val="18"/>
        </w:rPr>
        <w:t xml:space="preserve">  </w:t>
      </w:r>
      <w:r>
        <w:rPr>
          <w:spacing w:val="11"/>
          <w:sz w:val="18"/>
          <w:szCs w:val="18"/>
        </w:rPr>
        <w:t>明暗截止线转角示值误差检定示意图</w:t>
      </w:r>
    </w:p>
    <w:p>
      <w:pPr>
        <w:pStyle w:val="BodyText"/>
        <w:spacing w:before="217" w:line="219" w:lineRule="auto"/>
        <w:ind w:left="460"/>
      </w:pPr>
      <w:r>
        <w:rPr>
          <w:spacing w:val="-6"/>
        </w:rPr>
        <w:t>式中：</w:t>
      </w:r>
      <w:r>
        <w:rPr>
          <w:spacing w:val="43"/>
        </w:rPr>
        <w:t xml:space="preserve">  </w:t>
      </w:r>
      <w:r>
        <w:rPr>
          <w:spacing w:val="-6"/>
        </w:rPr>
        <w:t>α</w:t>
      </w:r>
      <w:r>
        <w:rPr>
          <w:rFonts w:ascii="Calibri" w:eastAsia="Calibri" w:hAnsi="Calibri" w:cs="Calibri"/>
          <w:spacing w:val="-6"/>
        </w:rPr>
        <w:t>₁</w:t>
      </w:r>
      <w:r>
        <w:rPr>
          <w:spacing w:val="-6"/>
        </w:rPr>
        <w:t>——第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i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6"/>
        </w:rPr>
        <w:t>个明暗截止线转角的标称值。</w:t>
      </w:r>
    </w:p>
    <w:p>
      <w:pPr>
        <w:spacing w:before="94" w:line="219" w:lineRule="auto"/>
        <w:ind w:left="237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9"/>
          <w:sz w:val="18"/>
          <w:szCs w:val="18"/>
        </w:rPr>
        <w:t>表</w:t>
      </w:r>
      <w:r>
        <w:rPr>
          <w:rFonts w:ascii="SimHei" w:eastAsia="SimHei" w:hAnsi="SimHei" w:cs="SimHei"/>
          <w:spacing w:val="-30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18"/>
          <w:szCs w:val="18"/>
        </w:rPr>
        <w:t>2</w:t>
      </w:r>
      <w:r>
        <w:rPr>
          <w:rFonts w:ascii="SimHei" w:eastAsia="SimHei" w:hAnsi="SimHei" w:cs="SimHei"/>
          <w:spacing w:val="9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18"/>
          <w:szCs w:val="18"/>
        </w:rPr>
        <w:t>明暗截止线转角示值误差的检定点序列</w:t>
      </w:r>
    </w:p>
    <w:p>
      <w:pPr>
        <w:spacing w:line="119" w:lineRule="exact"/>
      </w:pPr>
    </w:p>
    <w:tbl>
      <w:tblPr>
        <w:tblStyle w:val="TableNormal2"/>
        <w:tblW w:w="8360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60"/>
        <w:gridCol w:w="4100"/>
      </w:tblGrid>
      <w:tr>
        <w:tblPrEx>
          <w:tblW w:w="8360" w:type="dxa"/>
          <w:tblInd w:w="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4"/>
        </w:trPr>
        <w:tc>
          <w:tcPr>
            <w:tcW w:w="4260" w:type="dxa"/>
            <w:vAlign w:val="top"/>
          </w:tcPr>
          <w:p>
            <w:pPr>
              <w:pStyle w:val="TableText"/>
              <w:spacing w:before="112" w:line="221" w:lineRule="auto"/>
              <w:ind w:left="1745"/>
              <w:rPr>
                <w:sz w:val="15"/>
                <w:szCs w:val="15"/>
              </w:rPr>
            </w:pPr>
            <w:r>
              <w:rPr>
                <w:spacing w:val="-13"/>
                <w:sz w:val="15"/>
                <w:szCs w:val="15"/>
              </w:rPr>
              <w:t>序</w:t>
            </w:r>
            <w:r>
              <w:rPr>
                <w:spacing w:val="4"/>
                <w:sz w:val="15"/>
                <w:szCs w:val="15"/>
              </w:rPr>
              <w:t xml:space="preserve"> </w:t>
            </w:r>
            <w:r>
              <w:rPr>
                <w:spacing w:val="-13"/>
                <w:sz w:val="15"/>
                <w:szCs w:val="15"/>
              </w:rPr>
              <w:t>号</w:t>
            </w:r>
            <w:r>
              <w:rPr>
                <w:spacing w:val="25"/>
                <w:sz w:val="15"/>
                <w:szCs w:val="15"/>
              </w:rPr>
              <w:t xml:space="preserve"> </w:t>
            </w:r>
            <w:r>
              <w:rPr>
                <w:spacing w:val="-13"/>
                <w:sz w:val="15"/>
                <w:szCs w:val="15"/>
              </w:rPr>
              <w:t>(</w:t>
            </w:r>
            <w:r>
              <w:rPr>
                <w:spacing w:val="9"/>
                <w:sz w:val="15"/>
                <w:szCs w:val="15"/>
              </w:rPr>
              <w:t xml:space="preserve"> </w:t>
            </w:r>
            <w:r>
              <w:rPr>
                <w:spacing w:val="-13"/>
                <w:sz w:val="15"/>
                <w:szCs w:val="15"/>
              </w:rPr>
              <w:t>i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13"/>
                <w:sz w:val="15"/>
                <w:szCs w:val="15"/>
              </w:rPr>
              <w:t>)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0" w:line="219" w:lineRule="auto"/>
              <w:ind w:left="804"/>
              <w:rPr>
                <w:sz w:val="15"/>
                <w:szCs w:val="15"/>
              </w:rPr>
            </w:pPr>
            <w:r>
              <w:rPr>
                <w:spacing w:val="-7"/>
                <w:sz w:val="15"/>
                <w:szCs w:val="15"/>
              </w:rPr>
              <w:t>角</w:t>
            </w:r>
            <w:r>
              <w:rPr>
                <w:spacing w:val="-17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度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偏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移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标</w:t>
            </w:r>
            <w:r>
              <w:rPr>
                <w:spacing w:val="-20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称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值 (</w:t>
            </w:r>
            <w:r>
              <w:rPr>
                <w:spacing w:val="-18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水</w:t>
            </w:r>
            <w:r>
              <w:rPr>
                <w:spacing w:val="-20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平</w:t>
            </w:r>
            <w:r>
              <w:rPr>
                <w:spacing w:val="-20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/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垂</w:t>
            </w:r>
            <w:r>
              <w:rPr>
                <w:spacing w:val="-18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直</w:t>
            </w:r>
            <w:r>
              <w:rPr>
                <w:spacing w:val="-19"/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)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1" w:line="224" w:lineRule="auto"/>
              <w:ind w:left="162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0°00'/000'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46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2" w:line="224" w:lineRule="auto"/>
              <w:ind w:left="159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R100'/0°00'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47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3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R2°00'/0°00'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70"/>
        </w:trPr>
        <w:tc>
          <w:tcPr>
            <w:tcW w:w="4260" w:type="dxa"/>
            <w:vAlign w:val="top"/>
          </w:tcPr>
          <w:p>
            <w:pPr>
              <w:pStyle w:val="TableText"/>
              <w:spacing w:before="148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4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R3°00'/0°00'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70"/>
        </w:trPr>
        <w:tc>
          <w:tcPr>
            <w:tcW w:w="4260" w:type="dxa"/>
            <w:vAlign w:val="top"/>
          </w:tcPr>
          <w:p>
            <w:pPr>
              <w:pStyle w:val="TableText"/>
              <w:spacing w:before="149" w:line="182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4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L1°00'/0°00'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48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4" w:line="224" w:lineRule="auto"/>
              <w:ind w:left="159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L2°00'/000'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50" w:line="182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5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L3°00'/0°00'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50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6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0°00'/U1°00'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51" w:line="183" w:lineRule="auto"/>
              <w:ind w:left="208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7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0°00'/U2°00'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52" w:line="184" w:lineRule="auto"/>
              <w:ind w:left="2045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8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0°00'/D1°00'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69"/>
        </w:trPr>
        <w:tc>
          <w:tcPr>
            <w:tcW w:w="4260" w:type="dxa"/>
            <w:vAlign w:val="top"/>
          </w:tcPr>
          <w:p>
            <w:pPr>
              <w:pStyle w:val="TableText"/>
              <w:spacing w:before="153" w:line="184" w:lineRule="auto"/>
              <w:ind w:left="2045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19" w:line="224" w:lineRule="auto"/>
              <w:ind w:left="159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0°00'/D200'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70"/>
        </w:trPr>
        <w:tc>
          <w:tcPr>
            <w:tcW w:w="4260" w:type="dxa"/>
            <w:vAlign w:val="top"/>
          </w:tcPr>
          <w:p>
            <w:pPr>
              <w:pStyle w:val="TableText"/>
              <w:spacing w:before="154" w:line="184" w:lineRule="auto"/>
              <w:ind w:left="2045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  <w:spacing w:before="120" w:line="224" w:lineRule="auto"/>
              <w:ind w:left="151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0°00'/D3°00'</w:t>
            </w:r>
          </w:p>
        </w:tc>
      </w:tr>
      <w:tr>
        <w:tblPrEx>
          <w:tblW w:w="8360" w:type="dxa"/>
          <w:tblInd w:w="99" w:type="dxa"/>
          <w:tblLayout w:type="fixed"/>
        </w:tblPrEx>
        <w:trPr>
          <w:trHeight w:val="374"/>
        </w:trPr>
        <w:tc>
          <w:tcPr>
            <w:tcW w:w="8360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494"/>
              <w:rPr>
                <w:sz w:val="15"/>
                <w:szCs w:val="15"/>
              </w:rPr>
            </w:pPr>
            <w:r>
              <w:rPr>
                <w:spacing w:val="-8"/>
                <w:sz w:val="15"/>
                <w:szCs w:val="15"/>
              </w:rPr>
              <w:t>注 ： L</w:t>
            </w:r>
            <w:r>
              <w:rPr>
                <w:spacing w:val="-6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表</w:t>
            </w:r>
            <w:r>
              <w:rPr>
                <w:spacing w:val="-14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示</w:t>
            </w:r>
            <w:r>
              <w:rPr>
                <w:spacing w:val="-13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左 ，</w:t>
            </w:r>
            <w:r>
              <w:rPr>
                <w:spacing w:val="-16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R 表</w:t>
            </w:r>
            <w:r>
              <w:rPr>
                <w:spacing w:val="-14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示</w:t>
            </w:r>
            <w:r>
              <w:rPr>
                <w:spacing w:val="-14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右 ，</w:t>
            </w:r>
            <w:r>
              <w:rPr>
                <w:spacing w:val="-18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U</w:t>
            </w:r>
            <w:r>
              <w:rPr>
                <w:spacing w:val="-16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表</w:t>
            </w:r>
            <w:r>
              <w:rPr>
                <w:spacing w:val="-14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示</w:t>
            </w:r>
            <w:r>
              <w:rPr>
                <w:spacing w:val="-13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上 ，</w:t>
            </w:r>
            <w:r>
              <w:rPr>
                <w:spacing w:val="-18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D</w:t>
            </w:r>
            <w:r>
              <w:rPr>
                <w:spacing w:val="-15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表</w:t>
            </w:r>
            <w:r>
              <w:rPr>
                <w:spacing w:val="-14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示</w:t>
            </w:r>
            <w:r>
              <w:rPr>
                <w:spacing w:val="-10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下</w:t>
            </w:r>
            <w:r>
              <w:rPr>
                <w:spacing w:val="-21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。</w:t>
            </w:r>
          </w:p>
        </w:tc>
      </w:tr>
    </w:tbl>
    <w:p>
      <w:pPr>
        <w:spacing w:line="390" w:lineRule="auto"/>
        <w:rPr>
          <w:rFonts w:ascii="Arial"/>
          <w:sz w:val="21"/>
        </w:rPr>
        <w:sectPr>
          <w:headerReference w:type="default" r:id="rId26"/>
          <w:footerReference w:type="default" r:id="rId27"/>
          <w:pgSz w:w="10040" w:h="14660"/>
          <w:pgMar w:top="1250" w:right="740" w:bottom="698" w:left="769" w:header="961" w:footer="559" w:gutter="0"/>
          <w:pgNumType w:start="7"/>
          <w:cols w:space="708"/>
        </w:sectPr>
      </w:pPr>
    </w:p>
    <w:p>
      <w:pPr>
        <w:pStyle w:val="BodyText"/>
        <w:spacing w:before="72" w:line="219" w:lineRule="auto"/>
      </w:pPr>
      <w:r>
        <w:rPr>
          <w:spacing w:val="-2"/>
        </w:rPr>
        <w:t>6.3.5</w:t>
      </w:r>
      <w:r>
        <w:rPr>
          <w:spacing w:val="99"/>
        </w:rPr>
        <w:t xml:space="preserve"> </w:t>
      </w:r>
      <w:r>
        <w:rPr>
          <w:spacing w:val="-2"/>
        </w:rPr>
        <w:t>发光强度的示值误差</w:t>
      </w:r>
    </w:p>
    <w:p>
      <w:pPr>
        <w:pStyle w:val="BodyText"/>
        <w:spacing w:before="58" w:line="273" w:lineRule="auto"/>
        <w:ind w:right="48" w:firstLine="460"/>
        <w:jc w:val="both"/>
      </w:pPr>
      <w:r>
        <w:rPr>
          <w:spacing w:val="3"/>
        </w:rPr>
        <w:t>把照度计的光电探头固定在配光屏上的坐标原点，交替缓慢旋转</w:t>
      </w:r>
      <w:r>
        <w:rPr>
          <w:spacing w:val="2"/>
        </w:rPr>
        <w:t>近光校准器的明暗</w:t>
      </w:r>
      <w:r>
        <w:t xml:space="preserve"> </w:t>
      </w:r>
      <w:r>
        <w:rPr>
          <w:spacing w:val="2"/>
        </w:rPr>
        <w:t>截止线转角左右与上下旋钮，同时观察照度计的读数变化，直到照度计出现最大读数为</w:t>
      </w:r>
      <w:r>
        <w:rPr>
          <w:spacing w:val="4"/>
        </w:rPr>
        <w:t xml:space="preserve"> </w:t>
      </w:r>
      <w:r>
        <w:rPr>
          <w:spacing w:val="-11"/>
        </w:rPr>
        <w:t>止。</w:t>
      </w:r>
    </w:p>
    <w:p>
      <w:pPr>
        <w:pStyle w:val="BodyText"/>
        <w:spacing w:before="20" w:line="281" w:lineRule="auto"/>
        <w:ind w:right="31" w:firstLine="460"/>
        <w:jc w:val="both"/>
      </w:pPr>
      <w:r>
        <w:rPr>
          <w:spacing w:val="33"/>
        </w:rPr>
        <w:t>调节近光校准器的电压旋钮，在其发光强度(标称值)依次为4000,</w:t>
      </w:r>
      <w:r>
        <w:rPr>
          <w:spacing w:val="32"/>
        </w:rPr>
        <w:t>6000,</w:t>
      </w:r>
      <w:r>
        <w:t xml:space="preserve"> </w:t>
      </w:r>
      <w:r>
        <w:rPr>
          <w:spacing w:val="5"/>
        </w:rPr>
        <w:t>7000,8000,9000</w:t>
      </w:r>
      <w:r>
        <w:rPr>
          <w:spacing w:val="39"/>
        </w:rPr>
        <w:t xml:space="preserve">   </w:t>
      </w:r>
      <w:r>
        <w:t>cd</w:t>
      </w:r>
      <w:r>
        <w:rPr>
          <w:spacing w:val="5"/>
        </w:rPr>
        <w:t xml:space="preserve">时，分别读取照度的示值 </w:t>
      </w:r>
      <w:r>
        <w:rPr>
          <w:rFonts w:ascii="Times New Roman" w:eastAsia="Times New Roman" w:hAnsi="Times New Roman" w:cs="Times New Roman"/>
          <w:spacing w:val="5"/>
        </w:rPr>
        <w:t xml:space="preserve">E;,   </w:t>
      </w:r>
      <w:r>
        <w:rPr>
          <w:spacing w:val="5"/>
        </w:rPr>
        <w:t xml:space="preserve">取上升、下降两次的平均值 </w:t>
      </w:r>
      <w:r>
        <w:rPr>
          <w:rFonts w:ascii="Times New Roman" w:eastAsia="Times New Roman" w:hAnsi="Times New Roman" w:cs="Times New Roman"/>
          <w:spacing w:val="5"/>
        </w:rPr>
        <w:t>E,,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13"/>
        </w:rPr>
        <w:t>按式(3)计算发光强度的实际值</w:t>
      </w:r>
      <w:r>
        <w:rPr>
          <w:spacing w:val="-59"/>
        </w:rPr>
        <w:t xml:space="preserve"> </w:t>
      </w:r>
      <w:r>
        <w:rPr>
          <w:spacing w:val="13"/>
        </w:rPr>
        <w:t>I</w:t>
      </w:r>
      <w:r>
        <w:rPr>
          <w:rFonts w:ascii="Calibri" w:eastAsia="Calibri" w:hAnsi="Calibri" w:cs="Calibri"/>
          <w:spacing w:val="13"/>
        </w:rPr>
        <w:t>₀₁</w:t>
      </w:r>
      <w:r>
        <w:rPr>
          <w:spacing w:val="13"/>
        </w:rPr>
        <w:t>:</w:t>
      </w:r>
    </w:p>
    <w:p>
      <w:pPr>
        <w:spacing w:line="281" w:lineRule="auto"/>
        <w:sectPr>
          <w:headerReference w:type="default" r:id="rId28"/>
          <w:footerReference w:type="default" r:id="rId29"/>
          <w:type w:val="nextPage"/>
          <w:pgSz w:w="10040" w:h="14660"/>
          <w:pgMar w:top="1250" w:right="740" w:bottom="698" w:left="769" w:header="961" w:footer="559" w:gutter="0"/>
          <w:pgNumType w:start="8"/>
          <w:cols w:space="708"/>
          <w:titlePg w:val="0"/>
        </w:sectPr>
      </w:pPr>
    </w:p>
    <w:sdt>
      <w:sdtPr>
        <w:rPr>
          <w:rFonts w:ascii="Times New Roman" w:eastAsia="Times New Roman" w:hAnsi="Times New Roman" w:cs="Times New Roman"/>
          <w:sz w:val="27"/>
          <w:szCs w:val="27"/>
        </w:rPr>
        <w:id w:val="175465051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189" w:line="198" w:lineRule="auto"/>
            <w:ind w:right="37"/>
            <w:jc w:val="right"/>
          </w:pPr>
          <w:r>
            <w:rPr>
              <w:rFonts w:ascii="Times New Roman" w:eastAsia="Times New Roman" w:hAnsi="Times New Roman" w:cs="Times New Roman"/>
              <w:spacing w:val="-3"/>
              <w:sz w:val="27"/>
              <w:szCs w:val="27"/>
            </w:rPr>
            <w:t xml:space="preserve">I₀;=E,×L²                                                     </w:t>
          </w:r>
          <w:r>
            <w:rPr>
              <w:spacing w:val="-3"/>
              <w:position w:val="-2"/>
            </w:rPr>
            <w:t>(</w:t>
          </w:r>
          <w:hyperlink w:anchor="bookmark3" w:history="1">
            <w:r>
              <w:rPr>
                <w:spacing w:val="-3"/>
                <w:position w:val="-2"/>
              </w:rPr>
              <w:t>3)</w:t>
            </w:r>
          </w:hyperlink>
        </w:p>
        <w:p>
          <w:pPr>
            <w:pStyle w:val="BodyText"/>
            <w:spacing w:before="74" w:line="216" w:lineRule="auto"/>
            <w:ind w:left="479"/>
          </w:pPr>
          <w:r>
            <w:rPr>
              <w:spacing w:val="8"/>
            </w:rPr>
            <w:t>按式(4)计算发光强度的示值误差△I,</w:t>
          </w:r>
          <w:r>
            <w:rPr>
              <w:spacing w:val="78"/>
            </w:rPr>
            <w:t xml:space="preserve"> </w:t>
          </w:r>
          <w:r>
            <w:rPr>
              <w:spacing w:val="8"/>
            </w:rPr>
            <w:t>它应满足4.1的要求。</w:t>
          </w:r>
        </w:p>
        <w:p>
          <w:pPr>
            <w:pStyle w:val="BodyText"/>
            <w:spacing w:before="116"/>
            <w:ind w:right="27"/>
            <w:jc w:val="right"/>
          </w:pPr>
          <w:r>
            <w:rPr>
              <w:position w:val="-14"/>
            </w:rPr>
            <w:drawing>
              <wp:inline distT="0" distB="0" distL="0" distR="0">
                <wp:extent cx="1238230" cy="311203"/>
                <wp:effectExtent l="0" t="0" r="0" b="0"/>
                <wp:docPr id="16" name="IM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 16"/>
                        <pic:cNvPicPr/>
                      </pic:nvPicPr>
                      <pic:blipFill>
                        <a:blip xmlns:r="http://schemas.openxmlformats.org/officeDocument/2006/relationships" r:embed="rId3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30" cy="3112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4"/>
            </w:rPr>
            <w:t xml:space="preserve">                    </w:t>
          </w:r>
          <w:r>
            <w:rPr>
              <w:spacing w:val="3"/>
            </w:rPr>
            <w:t xml:space="preserve">      </w:t>
          </w:r>
          <w:r>
            <w:rPr>
              <w:spacing w:val="-16"/>
            </w:rPr>
            <w:t>(</w:t>
          </w:r>
          <w:hyperlink w:anchor="bookmark4" w:history="1">
            <w:r>
              <w:rPr>
                <w:spacing w:val="-16"/>
              </w:rPr>
              <w:t>4)</w:t>
            </w:r>
          </w:hyperlink>
        </w:p>
      </w:sdtContent>
    </w:sdt>
    <w:p>
      <w:pPr>
        <w:spacing w:before="117" w:line="337" w:lineRule="exact"/>
        <w:ind w:left="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position w:val="8"/>
          <w:sz w:val="22"/>
          <w:szCs w:val="22"/>
        </w:rPr>
        <w:t>式中：</w:t>
      </w:r>
      <w:r>
        <w:rPr>
          <w:rFonts w:ascii="SimHei" w:eastAsia="SimHei" w:hAnsi="SimHei" w:cs="SimHei"/>
          <w:spacing w:val="-4"/>
          <w:position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8"/>
          <w:sz w:val="22"/>
          <w:szCs w:val="22"/>
        </w:rPr>
        <w:t>E——</w:t>
      </w:r>
      <w:r>
        <w:rPr>
          <w:rFonts w:ascii="Times New Roman" w:eastAsia="Times New Roman" w:hAnsi="Times New Roman" w:cs="Times New Roman"/>
          <w:spacing w:val="34"/>
          <w:position w:val="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position w:val="8"/>
          <w:sz w:val="22"/>
          <w:szCs w:val="22"/>
        </w:rPr>
        <w:t>第</w:t>
      </w:r>
      <w:r>
        <w:rPr>
          <w:rFonts w:ascii="SimHei" w:eastAsia="SimHei" w:hAnsi="SimHei" w:cs="SimHei"/>
          <w:spacing w:val="-41"/>
          <w:position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8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spacing w:val="30"/>
          <w:position w:val="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4"/>
          <w:position w:val="8"/>
          <w:sz w:val="22"/>
          <w:szCs w:val="22"/>
        </w:rPr>
        <w:t>个发光强度下照度计的两次读数平均</w:t>
      </w:r>
      <w:r>
        <w:rPr>
          <w:rFonts w:ascii="SimHei" w:eastAsia="SimHei" w:hAnsi="SimHei" w:cs="SimHei"/>
          <w:spacing w:val="-5"/>
          <w:position w:val="8"/>
          <w:sz w:val="22"/>
          <w:szCs w:val="22"/>
        </w:rPr>
        <w:t>值；</w:t>
      </w:r>
    </w:p>
    <w:p>
      <w:pPr>
        <w:spacing w:line="212" w:lineRule="auto"/>
        <w:ind w:left="76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L——</w:t>
      </w:r>
      <w:r>
        <w:rPr>
          <w:rFonts w:ascii="SimHei" w:eastAsia="SimHei" w:hAnsi="SimHei" w:cs="SimHei"/>
          <w:spacing w:val="-7"/>
          <w:sz w:val="22"/>
          <w:szCs w:val="22"/>
        </w:rPr>
        <w:t>检测距离，</w:t>
      </w:r>
      <w:r>
        <w:rPr>
          <w:rFonts w:ascii="SimHei" w:eastAsia="SimHei" w:hAnsi="SimHei" w:cs="SimHei"/>
          <w:spacing w:val="-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L=10   m;</w:t>
      </w:r>
    </w:p>
    <w:p>
      <w:pPr>
        <w:pStyle w:val="BodyText"/>
        <w:spacing w:before="82" w:line="219" w:lineRule="auto"/>
        <w:ind w:left="749"/>
      </w:pPr>
      <w:r>
        <w:rPr>
          <w:spacing w:val="-3"/>
        </w:rPr>
        <w:t>I</w:t>
      </w:r>
      <w:r>
        <w:rPr>
          <w:rFonts w:ascii="Calibri" w:eastAsia="Calibri" w:hAnsi="Calibri" w:cs="Calibri"/>
          <w:spacing w:val="-3"/>
        </w:rPr>
        <w:t>₁</w:t>
      </w:r>
      <w:r>
        <w:rPr>
          <w:spacing w:val="-3"/>
        </w:rPr>
        <w:t>——第</w:t>
      </w:r>
      <w:r>
        <w:rPr>
          <w:spacing w:val="-18"/>
        </w:rPr>
        <w:t xml:space="preserve"> </w:t>
      </w:r>
      <w:r>
        <w:rPr>
          <w:spacing w:val="-3"/>
        </w:rPr>
        <w:t>i个发光强度的标称值。</w:t>
      </w:r>
    </w:p>
    <w:p>
      <w:pPr>
        <w:pStyle w:val="BodyText"/>
        <w:spacing w:before="89" w:line="219" w:lineRule="auto"/>
        <w:ind w:left="19"/>
      </w:pPr>
      <w:r>
        <w:rPr>
          <w:spacing w:val="-4"/>
        </w:rPr>
        <w:t>6.3.6</w:t>
      </w:r>
      <w:r>
        <w:rPr>
          <w:spacing w:val="90"/>
        </w:rPr>
        <w:t xml:space="preserve"> </w:t>
      </w:r>
      <w:r>
        <w:rPr>
          <w:spacing w:val="-4"/>
        </w:rPr>
        <w:t>发光强度的稳定性</w:t>
      </w:r>
    </w:p>
    <w:p>
      <w:pPr>
        <w:pStyle w:val="BodyText"/>
        <w:spacing w:before="55" w:line="256" w:lineRule="auto"/>
        <w:ind w:left="29" w:firstLine="420"/>
        <w:jc w:val="both"/>
      </w:pPr>
      <w:r>
        <w:rPr>
          <w:spacing w:val="8"/>
        </w:rPr>
        <w:t>将被检近光校准器的发光强度调为7000</w:t>
      </w:r>
      <w:r>
        <w:rPr>
          <w:rFonts w:ascii="Times New Roman" w:eastAsia="Times New Roman" w:hAnsi="Times New Roman" w:cs="Times New Roman"/>
        </w:rPr>
        <w:t>cd</w:t>
      </w:r>
      <w:r>
        <w:rPr>
          <w:rFonts w:ascii="Times New Roman" w:eastAsia="Times New Roman" w:hAnsi="Times New Roman" w:cs="Times New Roman"/>
          <w:spacing w:val="8"/>
        </w:rPr>
        <w:t xml:space="preserve">,   </w:t>
      </w:r>
      <w:r>
        <w:rPr>
          <w:spacing w:val="8"/>
        </w:rPr>
        <w:t>自照度计</w:t>
      </w:r>
      <w:r>
        <w:rPr>
          <w:spacing w:val="7"/>
        </w:rPr>
        <w:t>的光电探头受光照开始，每</w:t>
      </w:r>
      <w:r>
        <w:t xml:space="preserve"> </w:t>
      </w:r>
      <w:r>
        <w:rPr>
          <w:spacing w:val="14"/>
        </w:rPr>
        <w:t>隔</w:t>
      </w:r>
      <w:r>
        <w:rPr>
          <w:spacing w:val="1"/>
        </w:rPr>
        <w:t xml:space="preserve"> </w:t>
      </w:r>
      <w:r>
        <w:rPr>
          <w:spacing w:val="14"/>
        </w:rPr>
        <w:t>4</w:t>
      </w:r>
      <w:r>
        <w:t>min</w:t>
      </w:r>
      <w:r>
        <w:rPr>
          <w:spacing w:val="14"/>
        </w:rPr>
        <w:t>读取1次照度计的示值，共测量6次，按式(5)计算被检近光校准器的变化率</w:t>
      </w:r>
      <w:r>
        <w:t xml:space="preserve"> </w:t>
      </w:r>
      <w:r>
        <w:rPr>
          <w:rFonts w:ascii="Times New Roman" w:eastAsia="Times New Roman" w:hAnsi="Times New Roman" w:cs="Times New Roman"/>
          <w:spacing w:val="9"/>
        </w:rPr>
        <w:t>u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9"/>
        </w:rPr>
        <w:t>应符合4.2的要求。</w:t>
      </w:r>
    </w:p>
    <w:p>
      <w:pPr>
        <w:pStyle w:val="BodyText"/>
        <w:spacing w:before="99"/>
        <w:ind w:right="32"/>
        <w:jc w:val="right"/>
      </w:pPr>
      <w:r>
        <w:rPr>
          <w:position w:val="-15"/>
        </w:rPr>
        <w:drawing>
          <wp:inline distT="0" distB="0" distL="0" distR="0">
            <wp:extent cx="1301729" cy="31120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01729" cy="31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                         </w:t>
      </w:r>
      <w:r>
        <w:rPr>
          <w:spacing w:val="-11"/>
        </w:rPr>
        <w:t>(5)</w:t>
      </w:r>
    </w:p>
    <w:p>
      <w:pPr>
        <w:pStyle w:val="BodyText"/>
        <w:spacing w:before="109" w:line="370" w:lineRule="exact"/>
        <w:ind w:left="19"/>
      </w:pPr>
      <w:r>
        <w:rPr>
          <w:spacing w:val="-13"/>
          <w:position w:val="11"/>
        </w:rPr>
        <w:t>式中：</w:t>
      </w:r>
      <w:r>
        <w:rPr>
          <w:spacing w:val="-31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11"/>
        </w:rPr>
        <w:t>Emin——</w:t>
      </w:r>
      <w:r>
        <w:rPr>
          <w:spacing w:val="-13"/>
          <w:position w:val="11"/>
        </w:rPr>
        <w:t>照度计的最小读数；</w:t>
      </w:r>
    </w:p>
    <w:p>
      <w:pPr>
        <w:pStyle w:val="BodyText"/>
        <w:spacing w:before="1" w:line="219" w:lineRule="auto"/>
        <w:ind w:left="659"/>
      </w:pPr>
      <w:r>
        <w:rPr>
          <w:rFonts w:ascii="Times New Roman" w:eastAsia="Times New Roman" w:hAnsi="Times New Roman" w:cs="Times New Roman"/>
          <w:spacing w:val="-4"/>
        </w:rPr>
        <w:t>Emx—-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r>
        <w:rPr>
          <w:spacing w:val="-4"/>
        </w:rPr>
        <w:t>照度计的最大读数。</w:t>
      </w:r>
    </w:p>
    <w:p>
      <w:pPr>
        <w:pStyle w:val="BodyText"/>
        <w:spacing w:before="69" w:line="219" w:lineRule="auto"/>
      </w:pPr>
      <w:r>
        <w:rPr>
          <w:spacing w:val="-5"/>
        </w:rPr>
        <w:t>6.4</w:t>
      </w:r>
      <w:r>
        <w:rPr>
          <w:spacing w:val="101"/>
        </w:rPr>
        <w:t xml:space="preserve"> </w:t>
      </w:r>
      <w:r>
        <w:rPr>
          <w:spacing w:val="-5"/>
        </w:rPr>
        <w:t>检定结果的处理</w:t>
      </w:r>
    </w:p>
    <w:p>
      <w:pPr>
        <w:pStyle w:val="BodyText"/>
        <w:spacing w:before="67" w:line="244" w:lineRule="auto"/>
        <w:ind w:left="29" w:right="43" w:firstLine="410"/>
      </w:pPr>
      <w:r>
        <w:rPr>
          <w:spacing w:val="2"/>
        </w:rPr>
        <w:t>按本规程要求经检定合格的近光校准器发给检定证书；不合格的发给</w:t>
      </w:r>
      <w:r>
        <w:rPr>
          <w:spacing w:val="1"/>
        </w:rPr>
        <w:t>检定结果通知</w:t>
      </w:r>
      <w:r>
        <w:t xml:space="preserve"> </w:t>
      </w:r>
      <w:r>
        <w:rPr>
          <w:spacing w:val="-4"/>
        </w:rPr>
        <w:t>书，并列出不合格项及数据。</w:t>
      </w:r>
    </w:p>
    <w:p>
      <w:pPr>
        <w:pStyle w:val="BodyText"/>
        <w:spacing w:before="60" w:line="219" w:lineRule="auto"/>
        <w:ind w:left="9"/>
      </w:pPr>
      <w:r>
        <w:rPr>
          <w:spacing w:val="-7"/>
        </w:rPr>
        <w:t>6.5</w:t>
      </w:r>
      <w:r>
        <w:rPr>
          <w:spacing w:val="91"/>
        </w:rPr>
        <w:t xml:space="preserve"> </w:t>
      </w:r>
      <w:r>
        <w:rPr>
          <w:spacing w:val="-7"/>
        </w:rPr>
        <w:t>检定周期</w:t>
      </w:r>
    </w:p>
    <w:p>
      <w:pPr>
        <w:pStyle w:val="BodyText"/>
        <w:spacing w:before="79" w:line="219" w:lineRule="auto"/>
        <w:ind w:left="449"/>
      </w:pPr>
      <w:r>
        <w:rPr>
          <w:spacing w:val="4"/>
        </w:rPr>
        <w:t>近光校准器的检定周期一般不超过1年。</w:t>
      </w:r>
    </w:p>
    <w:p>
      <w:pPr>
        <w:spacing w:line="219" w:lineRule="auto"/>
        <w:sectPr>
          <w:headerReference w:type="default" r:id="rId32"/>
          <w:footerReference w:type="default" r:id="rId33"/>
          <w:pgSz w:w="10040" w:h="14660"/>
          <w:pgMar w:top="1020" w:right="679" w:bottom="950" w:left="890" w:header="787" w:footer="822" w:gutter="0"/>
          <w:pgNumType w:start="9"/>
          <w:cols w:space="708"/>
        </w:sectPr>
      </w:pPr>
    </w:p>
    <w:p>
      <w:pPr>
        <w:pStyle w:val="BodyText"/>
        <w:spacing w:before="244" w:line="222" w:lineRule="auto"/>
        <w:ind w:left="196"/>
        <w:rPr>
          <w:sz w:val="21"/>
          <w:szCs w:val="21"/>
        </w:rPr>
      </w:pP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附录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b/>
          <w:bCs/>
          <w:spacing w:val="2"/>
          <w:sz w:val="21"/>
          <w:szCs w:val="21"/>
        </w:rPr>
        <w:t>A</w:t>
      </w:r>
    </w:p>
    <w:p>
      <w:pPr>
        <w:spacing w:before="227" w:line="221" w:lineRule="auto"/>
        <w:ind w:left="1727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z w:val="25"/>
          <w:szCs w:val="25"/>
        </w:rPr>
        <w:t>GB4599—1994《</w:t>
      </w:r>
      <w:r>
        <w:rPr>
          <w:rFonts w:ascii="SimHei" w:eastAsia="SimHei" w:hAnsi="SimHei" w:cs="SimHei"/>
          <w:spacing w:val="-31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z w:val="25"/>
          <w:szCs w:val="25"/>
        </w:rPr>
        <w:t>汽车前照灯配光性能》内容节选</w:t>
      </w:r>
    </w:p>
    <w:p>
      <w:pPr>
        <w:pStyle w:val="BodyText"/>
        <w:spacing w:before="215" w:line="219" w:lineRule="auto"/>
        <w:ind w:left="193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1"/>
          <w:szCs w:val="21"/>
        </w:rPr>
        <w:t>A.1</w:t>
      </w:r>
      <w:r>
        <w:rPr>
          <w:rFonts w:ascii="Times New Roman" w:eastAsia="Times New Roman" w:hAnsi="Times New Roman" w:cs="Times New Roman"/>
          <w:b/>
          <w:bCs/>
          <w:spacing w:val="9"/>
          <w:sz w:val="21"/>
          <w:szCs w:val="21"/>
        </w:rPr>
        <w:t xml:space="preserve">    </w:t>
      </w:r>
      <w:r>
        <w:rPr>
          <w:spacing w:val="5"/>
          <w:sz w:val="21"/>
          <w:szCs w:val="21"/>
        </w:rPr>
        <w:t>近光的配光要求</w:t>
      </w:r>
    </w:p>
    <w:p>
      <w:pPr>
        <w:pStyle w:val="BodyText"/>
        <w:spacing w:before="69" w:line="255" w:lineRule="auto"/>
        <w:ind w:left="193" w:right="7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6"/>
          <w:sz w:val="21"/>
          <w:szCs w:val="21"/>
        </w:rPr>
        <w:t xml:space="preserve">A.1.1     </w:t>
      </w:r>
      <w:r>
        <w:rPr>
          <w:spacing w:val="16"/>
          <w:sz w:val="21"/>
          <w:szCs w:val="21"/>
        </w:rPr>
        <w:t>在配光屏上，近光应产生明显</w:t>
      </w:r>
      <w:r>
        <w:rPr>
          <w:spacing w:val="15"/>
          <w:sz w:val="21"/>
          <w:szCs w:val="21"/>
        </w:rPr>
        <w:t>的明暗截止线，其水平部分在</w:t>
      </w:r>
      <w:r>
        <w:rPr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v-v     </w:t>
      </w:r>
      <w:r>
        <w:rPr>
          <w:spacing w:val="15"/>
          <w:sz w:val="21"/>
          <w:szCs w:val="21"/>
        </w:rPr>
        <w:t>线的左侧</w:t>
      </w:r>
      <w:r>
        <w:rPr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 xml:space="preserve">右侧为与水平线向上15°的斜线，或向上成45°斜线至水平线垂直距25 </w:t>
      </w:r>
      <w:r>
        <w:rPr>
          <w:rFonts w:ascii="Times New Roman" w:eastAsia="Times New Roman" w:hAnsi="Times New Roman" w:cs="Times New Roman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转向水平的折</w:t>
      </w:r>
    </w:p>
    <w:p>
      <w:pPr>
        <w:spacing w:line="39" w:lineRule="exact"/>
      </w:pPr>
    </w:p>
    <w:p>
      <w:pPr>
        <w:spacing w:line="39" w:lineRule="exact"/>
        <w:sectPr>
          <w:headerReference w:type="default" r:id="rId34"/>
          <w:footerReference w:type="default" r:id="rId35"/>
          <w:pgSz w:w="10040" w:h="14660"/>
          <w:pgMar w:top="1189" w:right="630" w:bottom="738" w:left="686" w:header="929" w:footer="599" w:gutter="0"/>
          <w:pgNumType w:start="10"/>
          <w:cols w:num="1" w:space="708" w:equalWidth="0">
            <w:col w:w="8724" w:space="0"/>
          </w:cols>
        </w:sectPr>
      </w:pPr>
    </w:p>
    <w:p>
      <w:pPr>
        <w:pStyle w:val="BodyText"/>
        <w:spacing w:before="42" w:line="220" w:lineRule="auto"/>
        <w:ind w:left="193"/>
        <w:rPr>
          <w:sz w:val="21"/>
          <w:szCs w:val="21"/>
        </w:rPr>
      </w:pPr>
      <w:r>
        <w:rPr>
          <w:spacing w:val="2"/>
          <w:sz w:val="21"/>
          <w:szCs w:val="21"/>
        </w:rPr>
        <w:t>线。</w:t>
      </w:r>
    </w:p>
    <w:p>
      <w:pPr>
        <w:pStyle w:val="BodyText"/>
        <w:spacing w:before="110" w:line="185" w:lineRule="auto"/>
        <w:ind w:left="196"/>
        <w:outlineLvl w:val="0"/>
        <w:rPr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A.1.2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rPr>
          <w:sz w:val="21"/>
          <w:szCs w:val="21"/>
        </w:rPr>
      </w:pPr>
      <w:r>
        <w:rPr>
          <w:spacing w:val="9"/>
          <w:sz w:val="21"/>
          <w:szCs w:val="21"/>
        </w:rPr>
        <w:t>在配光屏上的照度限值，应符合表</w:t>
      </w:r>
      <w:r>
        <w:rPr>
          <w:spacing w:val="-38"/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A.1 的规定。</w:t>
      </w:r>
    </w:p>
    <w:p>
      <w:pPr>
        <w:spacing w:before="57" w:line="187" w:lineRule="auto"/>
        <w:ind w:left="265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表</w:t>
      </w:r>
      <w:r>
        <w:rPr>
          <w:rFonts w:ascii="SimHei" w:eastAsia="SimHei" w:hAnsi="SimHei" w:cs="SimHei"/>
          <w:spacing w:val="-5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21"/>
          <w:szCs w:val="21"/>
        </w:rPr>
        <w:t xml:space="preserve">A.1   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照度限值表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61" w:line="165" w:lineRule="auto"/>
        <w:ind w:left="15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lx</w:t>
      </w:r>
    </w:p>
    <w:p>
      <w:pPr>
        <w:spacing w:line="165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36"/>
          <w:footerReference w:type="default" r:id="rId37"/>
          <w:type w:val="continuous"/>
          <w:pgSz w:w="10040" w:h="14660"/>
          <w:pgMar w:top="1189" w:right="630" w:bottom="738" w:left="686" w:header="929" w:footer="599" w:gutter="0"/>
          <w:pgNumType w:start="11"/>
          <w:cols w:num="3" w:space="708" w:equalWidth="0">
            <w:col w:w="834" w:space="100"/>
            <w:col w:w="6971" w:space="100"/>
            <w:col w:w="720" w:space="0"/>
          </w:cols>
        </w:sectPr>
      </w:pPr>
    </w:p>
    <w:p>
      <w:pPr>
        <w:spacing w:line="117" w:lineRule="exact"/>
      </w:pPr>
    </w:p>
    <w:tbl>
      <w:tblPr>
        <w:tblStyle w:val="TableNormal3"/>
        <w:tblW w:w="8349" w:type="dxa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22"/>
        <w:gridCol w:w="1548"/>
        <w:gridCol w:w="1558"/>
        <w:gridCol w:w="1558"/>
        <w:gridCol w:w="1563"/>
      </w:tblGrid>
      <w:tr>
        <w:tblPrEx>
          <w:tblW w:w="8349" w:type="dxa"/>
          <w:tblInd w:w="25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212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2" w:line="220" w:lineRule="auto"/>
              <w:ind w:left="33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测试点或测试区域</w:t>
            </w:r>
          </w:p>
        </w:tc>
        <w:tc>
          <w:tcPr>
            <w:tcW w:w="3106" w:type="dxa"/>
            <w:gridSpan w:val="2"/>
            <w:vAlign w:val="top"/>
          </w:tcPr>
          <w:p>
            <w:pPr>
              <w:pStyle w:val="TableText"/>
              <w:spacing w:before="93" w:line="220" w:lineRule="auto"/>
              <w:ind w:left="1102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白炽前照灯</w:t>
            </w:r>
          </w:p>
        </w:tc>
        <w:tc>
          <w:tcPr>
            <w:tcW w:w="3121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1086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卤钨前照灯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79"/>
        </w:trPr>
        <w:tc>
          <w:tcPr>
            <w:tcW w:w="21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98" w:line="219" w:lineRule="auto"/>
              <w:ind w:left="49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最大值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8" w:line="219" w:lineRule="auto"/>
              <w:ind w:left="50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最小值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8" w:line="219" w:lineRule="auto"/>
              <w:ind w:left="50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最大值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98" w:line="219" w:lineRule="auto"/>
              <w:ind w:left="50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最小值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45" w:line="183" w:lineRule="auto"/>
              <w:ind w:left="87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B50L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45" w:line="183" w:lineRule="auto"/>
              <w:ind w:left="6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0.3</w:t>
            </w:r>
          </w:p>
        </w:tc>
        <w:tc>
          <w:tcPr>
            <w:tcW w:w="1558" w:type="dxa"/>
            <w:vAlign w:val="top"/>
          </w:tcPr>
          <w:p>
            <w:pPr>
              <w:tabs>
                <w:tab w:val="left" w:pos="784"/>
              </w:tabs>
              <w:spacing w:line="199" w:lineRule="exact"/>
              <w:ind w:left="76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24" w:line="183" w:lineRule="auto"/>
              <w:ind w:left="4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0.3,0.4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0"/>
        </w:trPr>
        <w:tc>
          <w:tcPr>
            <w:tcW w:w="2122" w:type="dxa"/>
            <w:vAlign w:val="top"/>
          </w:tcPr>
          <w:p>
            <w:pPr>
              <w:pStyle w:val="TableText"/>
              <w:spacing w:before="137" w:line="182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75R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36" w:line="183" w:lineRule="auto"/>
              <w:ind w:left="7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58" w:type="dxa"/>
            <w:vAlign w:val="top"/>
          </w:tcPr>
          <w:p>
            <w:pPr>
              <w:tabs>
                <w:tab w:val="left" w:pos="795"/>
              </w:tabs>
              <w:spacing w:line="200" w:lineRule="exact"/>
              <w:ind w:left="75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35" w:line="184" w:lineRule="auto"/>
              <w:ind w:left="68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80"/>
        </w:trPr>
        <w:tc>
          <w:tcPr>
            <w:tcW w:w="2122" w:type="dxa"/>
            <w:vAlign w:val="top"/>
          </w:tcPr>
          <w:p>
            <w:pPr>
              <w:pStyle w:val="TableText"/>
              <w:spacing w:before="147" w:line="182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75L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85" w:line="13" w:lineRule="exact"/>
              <w:ind w:left="742"/>
              <w:rPr>
                <w:sz w:val="2"/>
                <w:szCs w:val="2"/>
              </w:rPr>
            </w:pPr>
            <w:r>
              <w:rPr>
                <w:spacing w:val="-1"/>
                <w:sz w:val="2"/>
                <w:szCs w:val="2"/>
              </w:rPr>
              <w:t>——</w:t>
            </w:r>
          </w:p>
        </w:tc>
        <w:tc>
          <w:tcPr>
            <w:tcW w:w="1558" w:type="dxa"/>
            <w:vAlign w:val="top"/>
          </w:tcPr>
          <w:p>
            <w:pPr>
              <w:tabs>
                <w:tab w:val="left" w:pos="784"/>
              </w:tabs>
              <w:spacing w:line="230" w:lineRule="exact"/>
              <w:ind w:left="76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45" w:line="184" w:lineRule="auto"/>
              <w:ind w:left="68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75" w:line="29" w:lineRule="exact"/>
              <w:ind w:left="758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—+-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46" w:line="183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50R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46" w:line="183" w:lineRule="auto"/>
              <w:ind w:left="7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45" w:line="184" w:lineRule="auto"/>
              <w:ind w:left="68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47" w:line="183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50L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tabs>
                <w:tab w:val="left" w:pos="794"/>
              </w:tabs>
              <w:spacing w:line="201" w:lineRule="exact"/>
              <w:ind w:left="75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46" w:line="184" w:lineRule="auto"/>
              <w:ind w:left="68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1563" w:type="dxa"/>
            <w:vAlign w:val="top"/>
          </w:tcPr>
          <w:p>
            <w:pPr>
              <w:tabs>
                <w:tab w:val="left" w:pos="788"/>
              </w:tabs>
              <w:spacing w:line="201" w:lineRule="exact"/>
              <w:ind w:left="76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48" w:line="183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50U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48" w:line="183" w:lineRule="auto"/>
              <w:ind w:left="7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49" w:line="183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25L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48" w:line="184" w:lineRule="auto"/>
              <w:ind w:left="63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1.5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49" w:line="183" w:lineRule="auto"/>
              <w:ind w:left="7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0"/>
        </w:trPr>
        <w:tc>
          <w:tcPr>
            <w:tcW w:w="2122" w:type="dxa"/>
            <w:vAlign w:val="top"/>
          </w:tcPr>
          <w:p>
            <w:pPr>
              <w:pStyle w:val="TableText"/>
              <w:spacing w:before="140" w:line="183" w:lineRule="auto"/>
              <w:ind w:left="9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25R</w:t>
            </w: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39" w:line="184" w:lineRule="auto"/>
              <w:ind w:left="63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1.5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40" w:line="183" w:lineRule="auto"/>
              <w:ind w:left="7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04" w:line="219" w:lineRule="auto"/>
              <w:ind w:left="604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Ⅲ区任何点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50" w:line="183" w:lineRule="auto"/>
              <w:ind w:left="6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0.7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50" w:line="183" w:lineRule="auto"/>
              <w:ind w:left="6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0.7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69"/>
        </w:trPr>
        <w:tc>
          <w:tcPr>
            <w:tcW w:w="2122" w:type="dxa"/>
            <w:vAlign w:val="top"/>
          </w:tcPr>
          <w:p>
            <w:pPr>
              <w:pStyle w:val="TableText"/>
              <w:spacing w:before="105" w:line="219" w:lineRule="auto"/>
              <w:ind w:left="6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IV</w:t>
            </w:r>
            <w:r>
              <w:rPr>
                <w:spacing w:val="4"/>
                <w:sz w:val="18"/>
                <w:szCs w:val="18"/>
              </w:rPr>
              <w:t>区任何点</w:t>
            </w:r>
          </w:p>
        </w:tc>
        <w:tc>
          <w:tcPr>
            <w:tcW w:w="1548" w:type="dxa"/>
            <w:vAlign w:val="top"/>
          </w:tcPr>
          <w:p>
            <w:pPr>
              <w:tabs>
                <w:tab w:val="left" w:pos="771"/>
              </w:tabs>
              <w:spacing w:line="235" w:lineRule="exact"/>
              <w:ind w:left="75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51" w:line="183" w:lineRule="auto"/>
              <w:ind w:left="7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pStyle w:val="TableText"/>
              <w:spacing w:before="151" w:line="183" w:lineRule="auto"/>
              <w:ind w:left="7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>
        <w:tblPrEx>
          <w:tblW w:w="8349" w:type="dxa"/>
          <w:tblInd w:w="253" w:type="dxa"/>
          <w:tblLayout w:type="fixed"/>
        </w:tblPrEx>
        <w:trPr>
          <w:trHeight w:val="379"/>
        </w:trPr>
        <w:tc>
          <w:tcPr>
            <w:tcW w:w="2122" w:type="dxa"/>
            <w:vAlign w:val="top"/>
          </w:tcPr>
          <w:p>
            <w:pPr>
              <w:pStyle w:val="TableText"/>
              <w:spacing w:before="106" w:line="219" w:lineRule="auto"/>
              <w:ind w:left="644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I区任何点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52" w:line="183" w:lineRule="auto"/>
              <w:ind w:left="67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61" w:line="32" w:lineRule="exact"/>
              <w:ind w:left="764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…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06" w:line="220" w:lineRule="auto"/>
              <w:ind w:left="36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    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₂</w:t>
            </w:r>
            <w:r>
              <w:rPr>
                <w:spacing w:val="-3"/>
                <w:sz w:val="18"/>
                <w:szCs w:val="18"/>
              </w:rPr>
              <w:t>om²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49" w:type="dxa"/>
          <w:tblInd w:w="253" w:type="dxa"/>
          <w:tblLayout w:type="fixed"/>
        </w:tblPrEx>
        <w:trPr>
          <w:trHeight w:val="744"/>
        </w:trPr>
        <w:tc>
          <w:tcPr>
            <w:tcW w:w="8349" w:type="dxa"/>
            <w:gridSpan w:val="5"/>
            <w:vAlign w:val="top"/>
          </w:tcPr>
          <w:p>
            <w:pPr>
              <w:pStyle w:val="TableText"/>
              <w:spacing w:before="94" w:line="293" w:lineRule="exact"/>
              <w:ind w:left="394"/>
              <w:rPr>
                <w:sz w:val="18"/>
                <w:szCs w:val="18"/>
              </w:rPr>
            </w:pPr>
            <w:r>
              <w:rPr>
                <w:position w:val="8"/>
                <w:sz w:val="18"/>
                <w:szCs w:val="18"/>
              </w:rPr>
              <w:t>注：1)单光束为0.3,双光束为0.4。</w:t>
            </w:r>
          </w:p>
          <w:p>
            <w:pPr>
              <w:pStyle w:val="TableText"/>
              <w:spacing w:line="220" w:lineRule="auto"/>
              <w:ind w:left="3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2)Esox为50R实测照度。</w:t>
            </w:r>
          </w:p>
        </w:tc>
      </w:tr>
    </w:tbl>
    <w:p>
      <w:pPr>
        <w:spacing w:line="353" w:lineRule="auto"/>
        <w:rPr>
          <w:rFonts w:ascii="Arial"/>
          <w:sz w:val="21"/>
        </w:rPr>
        <w:sectPr>
          <w:headerReference w:type="default" r:id="rId38"/>
          <w:footerReference w:type="default" r:id="rId39"/>
          <w:type w:val="continuous"/>
          <w:pgSz w:w="10040" w:h="14660"/>
          <w:pgMar w:top="1189" w:right="630" w:bottom="738" w:left="686" w:header="929" w:footer="599" w:gutter="0"/>
          <w:pgNumType w:start="12"/>
          <w:cols w:num="1" w:space="708" w:equalWidth="0">
            <w:col w:w="8724" w:space="0"/>
          </w:cols>
        </w:sectPr>
      </w:pPr>
    </w:p>
    <w:p>
      <w:pPr>
        <w:pStyle w:val="BodyText"/>
        <w:spacing w:before="68" w:line="219" w:lineRule="auto"/>
        <w:ind w:left="193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21"/>
          <w:szCs w:val="21"/>
        </w:rPr>
        <w:t xml:space="preserve">A.1.3    </w:t>
      </w:r>
      <w:r>
        <w:rPr>
          <w:spacing w:val="10"/>
          <w:sz w:val="21"/>
          <w:szCs w:val="21"/>
        </w:rPr>
        <w:t>在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1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Ⅱ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1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Ⅲ     </w:t>
      </w:r>
      <w:r>
        <w:rPr>
          <w:spacing w:val="10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sz w:val="21"/>
          <w:szCs w:val="21"/>
        </w:rPr>
        <w:t>IV</w:t>
      </w:r>
      <w:r>
        <w:rPr>
          <w:spacing w:val="10"/>
          <w:sz w:val="21"/>
          <w:szCs w:val="21"/>
        </w:rPr>
        <w:t>区域内，其水平方向相邻间的照度应无明显的陡变</w:t>
      </w:r>
      <w:r>
        <w:rPr>
          <w:spacing w:val="9"/>
          <w:sz w:val="21"/>
          <w:szCs w:val="21"/>
        </w:rPr>
        <w:t>，不致影</w:t>
      </w:r>
    </w:p>
    <w:p>
      <w:pPr>
        <w:pStyle w:val="BodyText"/>
        <w:spacing w:before="81" w:line="184" w:lineRule="auto"/>
        <w:ind w:left="193"/>
        <w:rPr>
          <w:sz w:val="21"/>
          <w:szCs w:val="21"/>
        </w:rPr>
      </w:pPr>
      <w:r>
        <w:rPr>
          <w:spacing w:val="4"/>
          <w:sz w:val="21"/>
          <w:szCs w:val="21"/>
        </w:rPr>
        <w:t>响良好的可见度。</w:t>
      </w:r>
    </w:p>
    <w:p>
      <w:pPr>
        <w:spacing w:line="184" w:lineRule="auto"/>
        <w:rPr>
          <w:sz w:val="21"/>
          <w:szCs w:val="21"/>
        </w:rPr>
        <w:sectPr>
          <w:headerReference w:type="default" r:id="rId40"/>
          <w:footerReference w:type="default" r:id="rId41"/>
          <w:type w:val="nextPage"/>
          <w:pgSz w:w="10040" w:h="14660"/>
          <w:pgMar w:top="1189" w:right="630" w:bottom="738" w:left="686" w:header="929" w:footer="599" w:gutter="0"/>
          <w:pgNumType w:start="13"/>
          <w:cols w:num="1" w:space="708" w:equalWidth="0">
            <w:col w:w="8724" w:space="0"/>
          </w:cols>
          <w:titlePg w:val="0"/>
        </w:sectPr>
      </w:pPr>
    </w:p>
    <w:p>
      <w:pPr>
        <w:spacing w:before="228" w:line="222" w:lineRule="auto"/>
        <w:ind w:left="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spacing w:val="7"/>
          <w:sz w:val="23"/>
          <w:szCs w:val="23"/>
        </w:rPr>
        <w:t>附录</w:t>
      </w:r>
      <w:r>
        <w:rPr>
          <w:rFonts w:ascii="SimHei" w:eastAsia="SimHei" w:hAnsi="SimHei" w:cs="SimHei"/>
          <w:spacing w:val="-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B</w:t>
      </w:r>
    </w:p>
    <w:p>
      <w:pPr>
        <w:spacing w:before="231" w:line="219" w:lineRule="auto"/>
        <w:ind w:left="113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8"/>
          <w:sz w:val="23"/>
          <w:szCs w:val="23"/>
        </w:rPr>
        <w:t>明暗截止线转角的定义及推荐采用的转角零位确定</w:t>
      </w:r>
      <w:r>
        <w:rPr>
          <w:rFonts w:ascii="SimHei" w:eastAsia="SimHei" w:hAnsi="SimHei" w:cs="SimHei"/>
          <w:spacing w:val="27"/>
          <w:sz w:val="23"/>
          <w:szCs w:val="23"/>
        </w:rPr>
        <w:t>方法</w:t>
      </w:r>
    </w:p>
    <w:p>
      <w:pPr>
        <w:pStyle w:val="BodyText"/>
        <w:spacing w:before="228" w:line="207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B.1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spacing w:val="14"/>
          <w:sz w:val="20"/>
          <w:szCs w:val="20"/>
        </w:rPr>
        <w:t>明暗截止线转角的定义</w:t>
      </w:r>
    </w:p>
    <w:p>
      <w:pPr>
        <w:pStyle w:val="BodyText"/>
        <w:spacing w:before="83" w:line="251" w:lineRule="auto"/>
        <w:ind w:left="39" w:right="241" w:firstLine="430"/>
        <w:rPr>
          <w:sz w:val="20"/>
          <w:szCs w:val="20"/>
        </w:rPr>
      </w:pPr>
      <w:r>
        <w:rPr>
          <w:spacing w:val="20"/>
          <w:sz w:val="20"/>
          <w:szCs w:val="20"/>
        </w:rPr>
        <w:t>一般近光灯在配光屏上投射的光斑图形如图</w:t>
      </w:r>
      <w:r>
        <w:rPr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>B.1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spacing w:val="20"/>
          <w:sz w:val="20"/>
          <w:szCs w:val="20"/>
        </w:rPr>
        <w:t>所示，把它的水平明暗分界线</w:t>
      </w:r>
      <w:r>
        <w:rPr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a-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与倾斜明暗分界线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b-b     </w:t>
      </w:r>
      <w:r>
        <w:rPr>
          <w:spacing w:val="11"/>
          <w:sz w:val="20"/>
          <w:szCs w:val="20"/>
        </w:rPr>
        <w:t>的</w:t>
      </w:r>
      <w:r>
        <w:rPr>
          <w:spacing w:val="-37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交</w:t>
      </w:r>
      <w:r>
        <w:rPr>
          <w:spacing w:val="-3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点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O,   </w:t>
      </w:r>
      <w:r>
        <w:rPr>
          <w:spacing w:val="11"/>
          <w:sz w:val="20"/>
          <w:szCs w:val="20"/>
        </w:rPr>
        <w:t>称为明</w:t>
      </w:r>
      <w:r>
        <w:rPr>
          <w:spacing w:val="10"/>
          <w:sz w:val="20"/>
          <w:szCs w:val="20"/>
        </w:rPr>
        <w:t>暗截止线转角。</w:t>
      </w:r>
    </w:p>
    <w:p>
      <w:pPr>
        <w:spacing w:line="412" w:lineRule="auto"/>
        <w:rPr>
          <w:rFonts w:ascii="Arial"/>
          <w:sz w:val="21"/>
        </w:rPr>
      </w:pPr>
    </w:p>
    <w:p>
      <w:pPr>
        <w:spacing w:line="2460" w:lineRule="exact"/>
        <w:ind w:firstLine="1499"/>
      </w:pPr>
      <w:r>
        <w:rPr>
          <w:position w:val="-49"/>
        </w:rPr>
        <w:drawing>
          <wp:inline distT="0" distB="0" distL="0" distR="0">
            <wp:extent cx="3549631" cy="156215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549631" cy="15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7" w:line="194" w:lineRule="auto"/>
        <w:ind w:left="2929"/>
        <w:rPr>
          <w:sz w:val="18"/>
          <w:szCs w:val="18"/>
        </w:rPr>
      </w:pPr>
      <w:r>
        <w:rPr>
          <w:spacing w:val="7"/>
          <w:sz w:val="18"/>
          <w:szCs w:val="18"/>
        </w:rPr>
        <w:t>图</w:t>
      </w:r>
      <w:r>
        <w:rPr>
          <w:spacing w:val="-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B.1</w:t>
      </w:r>
      <w:r>
        <w:rPr>
          <w:rFonts w:ascii="Times New Roman" w:eastAsia="Times New Roman" w:hAnsi="Times New Roman" w:cs="Times New Roman"/>
          <w:spacing w:val="21"/>
          <w:w w:val="101"/>
          <w:sz w:val="23"/>
          <w:szCs w:val="23"/>
        </w:rPr>
        <w:t xml:space="preserve">  </w:t>
      </w:r>
      <w:r>
        <w:rPr>
          <w:spacing w:val="7"/>
          <w:sz w:val="18"/>
          <w:szCs w:val="18"/>
        </w:rPr>
        <w:t>明暗截止线转角示意图</w:t>
      </w:r>
    </w:p>
    <w:p>
      <w:pPr>
        <w:pStyle w:val="BodyText"/>
        <w:spacing w:before="168" w:line="207" w:lineRule="auto"/>
        <w:ind w:left="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B.2   </w:t>
      </w:r>
      <w:r>
        <w:rPr>
          <w:spacing w:val="18"/>
          <w:sz w:val="20"/>
          <w:szCs w:val="20"/>
        </w:rPr>
        <w:t>推荐采用的明暗截止线转角零</w:t>
      </w:r>
      <w:r>
        <w:rPr>
          <w:spacing w:val="17"/>
          <w:sz w:val="20"/>
          <w:szCs w:val="20"/>
        </w:rPr>
        <w:t>位确定方法</w:t>
      </w:r>
    </w:p>
    <w:p>
      <w:pPr>
        <w:pStyle w:val="BodyText"/>
        <w:spacing w:before="66" w:line="241" w:lineRule="auto"/>
        <w:ind w:left="30" w:right="32" w:firstLine="419"/>
        <w:rPr>
          <w:sz w:val="23"/>
          <w:szCs w:val="23"/>
        </w:rPr>
      </w:pPr>
      <w:r>
        <w:rPr>
          <w:spacing w:val="-7"/>
          <w:sz w:val="23"/>
          <w:szCs w:val="23"/>
        </w:rPr>
        <w:t>通常，近光灯在配光屏上投射的光斑明暗分界线并非理想的直线，而是如图</w:t>
      </w:r>
      <w:r>
        <w:rPr>
          <w:spacing w:val="-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2 </w:t>
      </w:r>
      <w:r>
        <w:rPr>
          <w:spacing w:val="-8"/>
          <w:sz w:val="23"/>
          <w:szCs w:val="23"/>
        </w:rPr>
        <w:t>所</w:t>
      </w:r>
      <w:r>
        <w:rPr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示的明暗过渡光带，因此，推荐按以下方法确定明暗</w:t>
      </w:r>
      <w:r>
        <w:rPr>
          <w:spacing w:val="-10"/>
          <w:sz w:val="23"/>
          <w:szCs w:val="23"/>
        </w:rPr>
        <w:t>截止线转角的零位。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" w:line="2100" w:lineRule="exact"/>
        <w:ind w:firstLine="2379"/>
      </w:pPr>
      <w:r>
        <w:rPr>
          <w:position w:val="-41"/>
        </w:rPr>
        <w:drawing>
          <wp:inline distT="0" distB="0" distL="0" distR="0">
            <wp:extent cx="2305025" cy="133343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05025" cy="133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2329"/>
        <w:rPr>
          <w:sz w:val="20"/>
          <w:szCs w:val="20"/>
        </w:rPr>
      </w:pPr>
      <w:r>
        <w:rPr>
          <w:spacing w:val="-6"/>
          <w:sz w:val="20"/>
          <w:szCs w:val="20"/>
        </w:rPr>
        <w:t>图</w:t>
      </w:r>
      <w:r>
        <w:rPr>
          <w:spacing w:val="-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B,2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 </w:t>
      </w:r>
      <w:r>
        <w:rPr>
          <w:spacing w:val="-6"/>
          <w:sz w:val="20"/>
          <w:szCs w:val="20"/>
        </w:rPr>
        <w:t>明暗截止线转角零位确定方法示意图</w:t>
      </w:r>
    </w:p>
    <w:p>
      <w:pPr>
        <w:pStyle w:val="BodyText"/>
        <w:spacing w:before="149" w:line="212" w:lineRule="auto"/>
        <w:ind w:left="48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3"/>
          <w:sz w:val="23"/>
          <w:szCs w:val="23"/>
        </w:rPr>
        <w:t>1)在过渡光带的水平部分等距离选取</w:t>
      </w:r>
      <w:r>
        <w:rPr>
          <w:spacing w:val="-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n(n≥10)        </w:t>
      </w:r>
      <w:r>
        <w:rPr>
          <w:spacing w:val="-3"/>
          <w:sz w:val="23"/>
          <w:szCs w:val="23"/>
        </w:rPr>
        <w:t xml:space="preserve">条截线，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h₁-h₁,h₂-h₂,…,</w:t>
      </w:r>
    </w:p>
    <w:p>
      <w:pPr>
        <w:spacing w:before="142" w:line="192" w:lineRule="auto"/>
        <w:ind w:left="49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44"/>
          <w:footerReference w:type="default" r:id="rId45"/>
          <w:pgSz w:w="10040" w:h="14660"/>
          <w:pgMar w:top="1009" w:right="730" w:bottom="947" w:left="810" w:header="787" w:footer="809" w:gutter="0"/>
          <w:pgNumType w:start="14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h₄-h₄;</w:t>
      </w:r>
    </w:p>
    <w:p>
      <w:pPr>
        <w:pStyle w:val="BodyText"/>
        <w:spacing w:before="98" w:line="404" w:lineRule="exact"/>
        <w:ind w:right="13"/>
        <w:jc w:val="right"/>
        <w:rPr>
          <w:sz w:val="23"/>
          <w:szCs w:val="23"/>
        </w:rPr>
      </w:pPr>
      <w:r>
        <w:rPr>
          <w:spacing w:val="-4"/>
          <w:position w:val="13"/>
          <w:sz w:val="23"/>
          <w:szCs w:val="23"/>
        </w:rPr>
        <w:t>2</w:t>
      </w:r>
      <w:r>
        <w:rPr>
          <w:spacing w:val="-48"/>
          <w:position w:val="13"/>
          <w:sz w:val="23"/>
          <w:szCs w:val="23"/>
        </w:rPr>
        <w:t xml:space="preserve"> </w:t>
      </w:r>
      <w:r>
        <w:rPr>
          <w:spacing w:val="-4"/>
          <w:position w:val="13"/>
          <w:sz w:val="23"/>
          <w:szCs w:val="23"/>
        </w:rPr>
        <w:t>)</w:t>
      </w:r>
      <w:r>
        <w:rPr>
          <w:spacing w:val="-50"/>
          <w:position w:val="13"/>
          <w:sz w:val="23"/>
          <w:szCs w:val="23"/>
        </w:rPr>
        <w:t xml:space="preserve"> </w:t>
      </w:r>
      <w:r>
        <w:rPr>
          <w:spacing w:val="-4"/>
          <w:position w:val="13"/>
          <w:sz w:val="23"/>
          <w:szCs w:val="23"/>
        </w:rPr>
        <w:t>在</w:t>
      </w:r>
      <w:r>
        <w:rPr>
          <w:spacing w:val="-57"/>
          <w:position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3"/>
          <w:sz w:val="23"/>
          <w:szCs w:val="23"/>
        </w:rPr>
        <w:t xml:space="preserve">h₁-h₁    </w:t>
      </w:r>
      <w:r>
        <w:rPr>
          <w:spacing w:val="-4"/>
          <w:position w:val="13"/>
          <w:sz w:val="23"/>
          <w:szCs w:val="23"/>
        </w:rPr>
        <w:t>上由暗区到明区，按</w:t>
      </w:r>
      <w:r>
        <w:rPr>
          <w:spacing w:val="-5"/>
          <w:position w:val="13"/>
          <w:sz w:val="23"/>
          <w:szCs w:val="23"/>
        </w:rPr>
        <w:t>等距间隔进行照度测试，找出照度变化最大的点</w:t>
      </w:r>
    </w:p>
    <w:p>
      <w:pPr>
        <w:spacing w:before="1" w:line="191" w:lineRule="auto"/>
        <w:ind w:left="3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Ql;</w:t>
      </w:r>
    </w:p>
    <w:p>
      <w:pPr>
        <w:pStyle w:val="BodyText"/>
        <w:spacing w:before="100" w:line="212" w:lineRule="auto"/>
        <w:ind w:right="29"/>
        <w:jc w:val="right"/>
        <w:rPr>
          <w:sz w:val="23"/>
          <w:szCs w:val="23"/>
        </w:rPr>
      </w:pPr>
      <w:r>
        <w:rPr>
          <w:spacing w:val="7"/>
          <w:sz w:val="23"/>
          <w:szCs w:val="23"/>
        </w:rPr>
        <w:t>3)按2)中所述方法依次找出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h₂-</w:t>
      </w:r>
      <w:r>
        <w:rPr>
          <w:rFonts w:ascii="Times New Roman" w:eastAsia="Times New Roman" w:hAnsi="Times New Roman" w:cs="Times New Roman"/>
          <w:sz w:val="23"/>
          <w:szCs w:val="23"/>
        </w:rPr>
        <w:t>hz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,…,h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。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-h</w:t>
      </w:r>
      <w:r>
        <w:rPr>
          <w:rFonts w:ascii="Times New Roman" w:eastAsia="Times New Roman" w:hAnsi="Times New Roman" w:cs="Times New Roman"/>
          <w:spacing w:val="-26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。</w:t>
      </w:r>
      <w:r>
        <w:rPr>
          <w:spacing w:val="28"/>
          <w:sz w:val="23"/>
          <w:szCs w:val="23"/>
        </w:rPr>
        <w:t xml:space="preserve">    </w:t>
      </w:r>
      <w:r>
        <w:rPr>
          <w:spacing w:val="7"/>
          <w:sz w:val="23"/>
          <w:szCs w:val="23"/>
        </w:rPr>
        <w:t>截线上，照度变化最大的点</w:t>
      </w:r>
    </w:p>
    <w:p>
      <w:pPr>
        <w:spacing w:before="250" w:line="109" w:lineRule="exact"/>
        <w:ind w:left="3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position w:val="1"/>
          <w:sz w:val="16"/>
          <w:szCs w:val="16"/>
        </w:rPr>
        <w:t>a₂,         …,     an;</w:t>
      </w:r>
    </w:p>
    <w:p>
      <w:pPr>
        <w:pStyle w:val="BodyText"/>
        <w:spacing w:before="87" w:line="212" w:lineRule="auto"/>
        <w:ind w:left="4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3"/>
          <w:sz w:val="23"/>
          <w:szCs w:val="23"/>
        </w:rPr>
        <w:t>4</w:t>
      </w:r>
      <w:r>
        <w:rPr>
          <w:spacing w:val="-3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)</w:t>
      </w:r>
      <w:r>
        <w:rPr>
          <w:spacing w:val="-53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将</w:t>
      </w:r>
      <w:r>
        <w:rPr>
          <w:spacing w:val="-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a₁,a₂,…,a₄            </w:t>
      </w:r>
      <w:r>
        <w:rPr>
          <w:spacing w:val="-3"/>
          <w:sz w:val="23"/>
          <w:szCs w:val="23"/>
        </w:rPr>
        <w:t>按最小二乘法进行拟合，得到直线</w:t>
      </w:r>
      <w:r>
        <w:rPr>
          <w:spacing w:val="-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a-a;</w:t>
      </w:r>
    </w:p>
    <w:p>
      <w:pPr>
        <w:spacing w:line="21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br/>
      </w:r>
      <w:r>
        <w:rPr>
          <w:rFonts w:ascii="Times New Roman" w:eastAsia="Times New Roman" w:hAnsi="Times New Roman" w:cs="Times New Roma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https://d.book118.com/625024310001011100</w:t>
        </w:r>
      </w:hyperlink>
    </w:p>
    <w:p>
      <w:pPr>
        <w:spacing w:line="212" w:lineRule="auto"/>
        <w:rPr>
          <w:rFonts w:ascii="Times New Roman" w:eastAsia="Times New Roman" w:hAnsi="Times New Roman" w:cs="Times New Roman"/>
          <w:sz w:val="23"/>
          <w:szCs w:val="23"/>
        </w:rPr>
      </w:pPr>
    </w:p>
    <w:sectPr>
      <w:headerReference w:type="default" r:id="rId47"/>
      <w:footerReference w:type="default" r:id="rId48"/>
      <w:type w:val="nextPage"/>
      <w:pgSz w:w="10040" w:h="14660"/>
      <w:pgMar w:top="1009" w:right="730" w:bottom="947" w:left="810" w:header="787" w:footer="809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49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49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49"/>
      <w:rPr>
        <w:sz w:val="14"/>
        <w:szCs w:val="14"/>
      </w:rPr>
    </w:pPr>
    <w:r>
      <w:rPr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49"/>
      <w:rPr>
        <w:sz w:val="14"/>
        <w:szCs w:val="14"/>
      </w:rPr>
    </w:pPr>
    <w:r>
      <w:rPr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29"/>
      <w:rPr>
        <w:sz w:val="14"/>
        <w:szCs w:val="14"/>
      </w:rPr>
    </w:pPr>
    <w:r>
      <w:rPr>
        <w:sz w:val="14"/>
        <w:szCs w:val="1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29"/>
      <w:rPr>
        <w:sz w:val="14"/>
        <w:szCs w:val="14"/>
      </w:rPr>
    </w:pPr>
    <w:r>
      <w:rPr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20"/>
      <w:rPr>
        <w:sz w:val="14"/>
        <w:szCs w:val="14"/>
      </w:rPr>
    </w:pPr>
    <w:r>
      <w:rPr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20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8049"/>
      <w:rPr>
        <w:sz w:val="13"/>
        <w:szCs w:val="13"/>
      </w:rPr>
    </w:pPr>
    <w:r>
      <w:rPr>
        <w:sz w:val="13"/>
        <w:szCs w:val="13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393"/>
      <w:rPr>
        <w:sz w:val="14"/>
        <w:szCs w:val="14"/>
      </w:rPr>
    </w:pPr>
    <w:r>
      <w:rPr>
        <w:sz w:val="14"/>
        <w:szCs w:val="14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393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393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393"/>
      <w:rPr>
        <w:sz w:val="14"/>
        <w:szCs w:val="14"/>
      </w:rPr>
    </w:pPr>
    <w:r>
      <w:rPr>
        <w:sz w:val="14"/>
        <w:szCs w:val="1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139"/>
      <w:rPr>
        <w:sz w:val="14"/>
        <w:szCs w:val="14"/>
      </w:rPr>
    </w:pPr>
    <w:r>
      <w:rPr>
        <w:sz w:val="14"/>
        <w:szCs w:val="1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139"/>
      <w:rPr>
        <w:sz w:val="14"/>
        <w:szCs w:val="14"/>
      </w:rPr>
    </w:pPr>
    <w:r>
      <w:rPr>
        <w:sz w:val="14"/>
        <w:szCs w:val="14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  <w:rPr>
        <w:sz w:val="17"/>
        <w:szCs w:val="1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514367</wp:posOffset>
          </wp:positionH>
          <wp:positionV relativeFrom="page">
            <wp:posOffset>717544</wp:posOffset>
          </wp:positionV>
          <wp:extent cx="5403852" cy="1266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18"/>
        <w:sz w:val="17"/>
        <w:szCs w:val="17"/>
      </w:rPr>
      <w:t xml:space="preserve">   </w:t>
    </w:r>
    <w:r>
      <w:rPr>
        <w:b/>
        <w:bCs/>
        <w:spacing w:val="-4"/>
        <w:sz w:val="17"/>
        <w:szCs w:val="17"/>
      </w:rPr>
      <w:t>1001-2005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02"/>
      <w:rPr>
        <w:sz w:val="17"/>
        <w:szCs w:val="1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514367</wp:posOffset>
          </wp:positionH>
          <wp:positionV relativeFrom="page">
            <wp:posOffset>717544</wp:posOffset>
          </wp:positionV>
          <wp:extent cx="5403852" cy="12660"/>
          <wp:effectExtent l="0" t="0" r="0" b="0"/>
          <wp:wrapNone/>
          <wp:docPr id="128597213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97213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18"/>
        <w:sz w:val="17"/>
        <w:szCs w:val="17"/>
      </w:rPr>
      <w:t xml:space="preserve">   </w:t>
    </w:r>
    <w:r>
      <w:rPr>
        <w:b/>
        <w:bCs/>
        <w:spacing w:val="-4"/>
        <w:sz w:val="17"/>
        <w:szCs w:val="17"/>
      </w:rPr>
      <w:t>1001-2005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  <w:rPr>
        <w:sz w:val="17"/>
        <w:szCs w:val="17"/>
      </w:rPr>
    </w:pPr>
    <w:r>
      <w:rPr>
        <w:b/>
        <w:bCs/>
        <w:spacing w:val="-4"/>
        <w:sz w:val="17"/>
        <w:szCs w:val="17"/>
      </w:rPr>
      <w:t>JJG</w:t>
    </w:r>
    <w:r>
      <w:rPr>
        <w:spacing w:val="2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  <w:p>
    <w:pPr>
      <w:spacing w:before="91" w:line="10" w:lineRule="exact"/>
    </w:pPr>
    <w:r>
      <w:drawing>
        <wp:inline distT="0" distB="0" distL="0" distR="0">
          <wp:extent cx="5403789" cy="6403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  <w:rPr>
        <w:sz w:val="17"/>
        <w:szCs w:val="17"/>
      </w:rPr>
    </w:pPr>
    <w:r>
      <w:rPr>
        <w:b/>
        <w:bCs/>
        <w:spacing w:val="-4"/>
        <w:sz w:val="17"/>
        <w:szCs w:val="17"/>
      </w:rPr>
      <w:t>JJG</w:t>
    </w:r>
    <w:r>
      <w:rPr>
        <w:spacing w:val="2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  <w:p>
    <w:pPr>
      <w:spacing w:before="91" w:line="10" w:lineRule="exact"/>
    </w:pPr>
    <w:r>
      <w:drawing>
        <wp:inline distT="0" distB="0" distL="0" distR="0">
          <wp:extent cx="5403789" cy="6403"/>
          <wp:effectExtent l="0" t="0" r="0" b="0"/>
          <wp:docPr id="422942106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2942106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62"/>
      <w:rPr>
        <w:sz w:val="20"/>
        <w:szCs w:val="2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711214</wp:posOffset>
          </wp:positionV>
          <wp:extent cx="5403852" cy="1266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  <w:sz w:val="20"/>
        <w:szCs w:val="20"/>
      </w:rPr>
      <w:t>JJG</w:t>
    </w:r>
    <w:r>
      <w:rPr>
        <w:spacing w:val="18"/>
        <w:sz w:val="20"/>
        <w:szCs w:val="20"/>
      </w:rPr>
      <w:t xml:space="preserve"> </w:t>
    </w:r>
    <w:r>
      <w:rPr>
        <w:b/>
        <w:bCs/>
        <w:spacing w:val="-11"/>
        <w:sz w:val="20"/>
        <w:szCs w:val="20"/>
      </w:rPr>
      <w:t>1001—2005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62"/>
      <w:rPr>
        <w:sz w:val="20"/>
        <w:szCs w:val="20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711214</wp:posOffset>
          </wp:positionV>
          <wp:extent cx="5403852" cy="12660"/>
          <wp:effectExtent l="0" t="0" r="0" b="0"/>
          <wp:wrapNone/>
          <wp:docPr id="129495074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95074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852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  <w:sz w:val="20"/>
        <w:szCs w:val="20"/>
      </w:rPr>
      <w:t>JJG</w:t>
    </w:r>
    <w:r>
      <w:rPr>
        <w:spacing w:val="18"/>
        <w:sz w:val="20"/>
        <w:szCs w:val="20"/>
      </w:rPr>
      <w:t xml:space="preserve"> </w:t>
    </w:r>
    <w:r>
      <w:rPr>
        <w:b/>
        <w:bCs/>
        <w:spacing w:val="-11"/>
        <w:sz w:val="20"/>
        <w:szCs w:val="20"/>
      </w:rPr>
      <w:t>1001—2005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  <w:rPr>
        <w:sz w:val="18"/>
        <w:szCs w:val="18"/>
      </w:rPr>
    </w:pPr>
    <w:r>
      <w:rPr>
        <w:b/>
        <w:bCs/>
        <w:spacing w:val="-5"/>
        <w:sz w:val="18"/>
        <w:szCs w:val="18"/>
      </w:rPr>
      <w:t>JJG</w:t>
    </w:r>
    <w:r>
      <w:rPr>
        <w:spacing w:val="92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1001—2005</w:t>
    </w:r>
  </w:p>
  <w:p>
    <w:pPr>
      <w:spacing w:before="89" w:line="10" w:lineRule="exact"/>
      <w:ind w:firstLine="20"/>
    </w:pPr>
    <w:r>
      <w:drawing>
        <wp:inline distT="0" distB="0" distL="0" distR="0">
          <wp:extent cx="5403789" cy="6403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  <w:rPr>
        <w:sz w:val="18"/>
        <w:szCs w:val="18"/>
      </w:rPr>
    </w:pPr>
    <w:r>
      <w:rPr>
        <w:b/>
        <w:bCs/>
        <w:spacing w:val="-5"/>
        <w:sz w:val="18"/>
        <w:szCs w:val="18"/>
      </w:rPr>
      <w:t>JJG</w:t>
    </w:r>
    <w:r>
      <w:rPr>
        <w:spacing w:val="92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1001—2005</w:t>
    </w:r>
  </w:p>
  <w:p>
    <w:pPr>
      <w:spacing w:before="89" w:line="10" w:lineRule="exact"/>
      <w:ind w:firstLine="20"/>
    </w:pPr>
    <w:r>
      <w:drawing>
        <wp:inline distT="0" distB="0" distL="0" distR="0">
          <wp:extent cx="5403789" cy="6403"/>
          <wp:effectExtent l="0" t="0" r="0" b="0"/>
          <wp:docPr id="19461798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1798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59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2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1001—2005</w:t>
    </w:r>
  </w:p>
  <w:p>
    <w:pPr>
      <w:spacing w:before="67" w:line="10" w:lineRule="exact"/>
      <w:ind w:firstLine="9"/>
    </w:pPr>
    <w:r>
      <w:drawing>
        <wp:inline distT="0" distB="0" distL="0" distR="0">
          <wp:extent cx="5372103" cy="6403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72103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786"/>
      <w:rPr>
        <w:sz w:val="17"/>
        <w:szCs w:val="17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749278</wp:posOffset>
          </wp:positionV>
          <wp:extent cx="5422915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291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3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786"/>
      <w:rPr>
        <w:sz w:val="17"/>
        <w:szCs w:val="17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749278</wp:posOffset>
          </wp:positionV>
          <wp:extent cx="5422915" cy="6350"/>
          <wp:effectExtent l="0" t="0" r="0" b="0"/>
          <wp:wrapNone/>
          <wp:docPr id="883820438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3820438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291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3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786"/>
      <w:rPr>
        <w:sz w:val="17"/>
        <w:szCs w:val="17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749278</wp:posOffset>
          </wp:positionV>
          <wp:extent cx="5422915" cy="6350"/>
          <wp:effectExtent l="0" t="0" r="0" b="0"/>
          <wp:wrapNone/>
          <wp:docPr id="137449658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449658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291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3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786"/>
      <w:rPr>
        <w:sz w:val="17"/>
        <w:szCs w:val="17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749278</wp:posOffset>
          </wp:positionV>
          <wp:extent cx="5422915" cy="6350"/>
          <wp:effectExtent l="0" t="0" r="0" b="0"/>
          <wp:wrapNone/>
          <wp:docPr id="4954426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4426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291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JJG</w:t>
    </w:r>
    <w:r>
      <w:rPr>
        <w:spacing w:val="33"/>
        <w:sz w:val="17"/>
        <w:szCs w:val="17"/>
      </w:rPr>
      <w:t xml:space="preserve">  </w:t>
    </w:r>
    <w:r>
      <w:rPr>
        <w:b/>
        <w:bCs/>
        <w:spacing w:val="-4"/>
        <w:sz w:val="17"/>
        <w:szCs w:val="17"/>
      </w:rPr>
      <w:t>1001—2005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59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514367</wp:posOffset>
          </wp:positionH>
          <wp:positionV relativeFrom="page">
            <wp:posOffset>628643</wp:posOffset>
          </wp:positionV>
          <wp:extent cx="5397477" cy="1266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477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1001—2005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59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514367</wp:posOffset>
          </wp:positionH>
          <wp:positionV relativeFrom="page">
            <wp:posOffset>628643</wp:posOffset>
          </wp:positionV>
          <wp:extent cx="5397477" cy="12660"/>
          <wp:effectExtent l="0" t="0" r="0" b="0"/>
          <wp:wrapNone/>
          <wp:docPr id="111886686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86686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477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1001—2005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3"/>
      <w:szCs w:val="1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6.1.1.3" TargetMode="External" /><Relationship Id="rId11" Type="http://schemas.openxmlformats.org/officeDocument/2006/relationships/hyperlink" Target="6.1.1.4" TargetMode="External" /><Relationship Id="rId12" Type="http://schemas.openxmlformats.org/officeDocument/2006/relationships/hyperlink" Target="6.1.2.1" TargetMode="External" /><Relationship Id="rId13" Type="http://schemas.openxmlformats.org/officeDocument/2006/relationships/hyperlink" Target="6.1.2.2" TargetMode="External" /><Relationship Id="rId14" Type="http://schemas.openxmlformats.org/officeDocument/2006/relationships/hyperlink" Target="6.1.2.3" TargetMode="Externa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3.jpeg" /><Relationship Id="rId2" Type="http://schemas.openxmlformats.org/officeDocument/2006/relationships/webSettings" Target="webSettings.xml" /><Relationship Id="rId20" Type="http://schemas.openxmlformats.org/officeDocument/2006/relationships/image" Target="media/image4.jpe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6.jpeg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7.png" /><Relationship Id="rId31" Type="http://schemas.openxmlformats.org/officeDocument/2006/relationships/image" Target="media/image8.pn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header" Target="header1.xml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1.jpeg" /><Relationship Id="rId43" Type="http://schemas.openxmlformats.org/officeDocument/2006/relationships/image" Target="media/image12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yperlink" Target="https://d.book118.com/625024310001011100" TargetMode="Externa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theme" Target="theme/theme1.xml" /><Relationship Id="rId5" Type="http://schemas.openxmlformats.org/officeDocument/2006/relationships/footer" Target="footer1.xml" /><Relationship Id="rId50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6.1.1.1" TargetMode="External" /><Relationship Id="rId9" Type="http://schemas.openxmlformats.org/officeDocument/2006/relationships/hyperlink" Target="6.1.1.2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2024-01-24T20:49:42Z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2024-01-24T20:49:44Z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65b107631e6a08001fe7a546wl</vt:lpwstr>
  </property>
</Properties>
</file>