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智能气缸相关行业公司成立报告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(七)、智能气缸项目建设必要性分析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_Toc26039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四、智能气缸筹建公司基本信息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五、智能气缸项目概况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(二)、智能气缸项目提出的理由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(三)、智能气缸项目选址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1" w:history="1">
        <w:r>
          <w:rPr>
            <w:rFonts w:ascii="仿宋" w:eastAsia="仿宋" w:hAnsi="仿宋" w:cs="仿宋" w:hint="eastAsia"/>
            <w:lang w:eastAsia="zh-CN"/>
          </w:rPr>
          <w:t>(六)、智能气缸项目投资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eastAsia="zh-CN"/>
          </w:rPr>
          <w:t>(七)、智能气缸项目进度规划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(九)、智能气缸项目综合评价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六、智能气缸项目经济效益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_Toc3497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(三)、智能气缸项目盈利能力分析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_Toc26855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_Toc29418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6" w:history="1">
        <w:r>
          <w:rPr>
            <w:rFonts w:ascii="仿宋" w:eastAsia="仿宋" w:hAnsi="仿宋" w:cs="仿宋" w:hint="eastAsia"/>
            <w:lang w:eastAsia="zh-CN"/>
          </w:rPr>
          <w:t>十、智能气缸项目风险分析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(一)、智能气缸项目风险分析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(二)、智能气缸项目风险对策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_Toc8456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(一)、社会责任智能气缸项目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_Toc28821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_Toc23586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5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3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0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https://d.book118.com/625042011340011044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智能气缸相关行业公司成立报告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5042011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2023-12-29T08:30:00Z</dcterms:created>
  <dcterms:modified xsi:type="dcterms:W3CDTF">2023-12-29T08:30:58Z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EB372720801C4FBDA4527EDBA1198054_11</vt:lpwstr>
  </property>
  <property fmtid="{D5CDD505-2E9C-101B-9397-08002B2CF9AE}" pid="3" name="KSOProductBuildVer">
    <vt:lpwstr>2052-12.1.0.16120</vt:lpwstr>
  </property>
</Properties>
</file>