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2018-2023年山东艺术设计职业学院高职单招（数学／语文／英语）历年常考试题库含答案解析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孔子的思想核心是（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A.民本思想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B.仁和礼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C.严刑峻法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D.自然无为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下列关于《庄子·秋水》的表述，不正确的一项是（）。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A.“东面而视，不见水端”描写了北海的辽阔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B.“两涘渚崖之间，不辩牛马”描写了黄河水上涨的景色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C.“吾长见笑于大方之家”说明河伯认识到了自己的局限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D.“天下之水，莫大于海”写出了北海若骄傲自得的心态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《蜀相》是一首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A.山水诗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B.田园诗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C.边塞诗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《风波》的时代意义在于（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A.暴露民众的愚昧落后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B.揭露帝制余孽的阴谋复辟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C.揭示辛亥革命的不彻底性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D.昭示革命难以唤醒民众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下列诗句运用“赋”法的是（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A.氓之蚩蚩，抱布贸丝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B.桑之未落，其叶沃若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C.于嗟鸠兮，无食桑葚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D.淇则有岸，隰则有泮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《麦琪的礼物》运用的结构方法是（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A.一虚一实，双线并行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B.采用两条平行的情节线索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C.四条情节线交叉叙述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D.追溯法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主张文章应该“有补于世”、“以适用为本”的作家是（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下列四句中，宾语前置的一句是（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A.姜氏何厌之有？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B.公语之故，且告之悔。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C.姜氏欲之，焉辟害？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D.此四君者，皆以客之功。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闻一多曾提出新格律诗的“三美”主张，即新诗要有（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A.理想美、思想美、形式美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B.色彩浓、回味永、意境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C.音乐的美、绘画的美、建筑的美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D.节奏、韵味、意境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下列作品中，属于汉代乐府民歌的是（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A.《陌上桑》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B.《氓》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C.《短歌行》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D.《杜陵叟》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“多行不义必自毙”出自（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D.《郑伯克段于鄢》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下列文学常识表述错误的是（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A.“初唐四杰”是指王勃、杨炯、卢照邻、骆宾王。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B.“中唐古文运动”的领袖是韩愈、柳宗元。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C.“新乐府运动”的倡导者是王维、白居易。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D.“小李杜”指的是李商隐、杜牧。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屠格涅夫的成名作是（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A.《罗亭》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B.《猎人笔记》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C.《木木》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D.《阿霞》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下列各组句中加点的字，意思相同的一组是（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https://d.book118.com/625104210330011112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62510421033001111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