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before="58" w:line="219" w:lineRule="auto"/>
        <w:ind w:left="142"/>
        <w:rPr>
          <w:rFonts w:ascii="SimHei" w:eastAsia="SimHei" w:hAnsi="SimHei" w:cs="SimHei"/>
          <w:sz w:val="18"/>
          <w:szCs w:val="18"/>
        </w:rPr>
      </w:pPr>
      <w:r>
        <mc:AlternateContent>
          <mc:Choice Requires="wps">
            <w:drawing>
              <wp:anchor distT="0" distB="0" distL="0" distR="0" simplePos="0" relativeHeight="251659264" behindDoc="1" locked="0" layoutInCell="1" allowOverlap="1">
                <wp:simplePos x="0" y="0"/>
                <wp:positionH relativeFrom="column">
                  <wp:posOffset>18287</wp:posOffset>
                </wp:positionH>
                <wp:positionV relativeFrom="paragraph">
                  <wp:posOffset>-70132</wp:posOffset>
                </wp:positionV>
                <wp:extent cx="6122034" cy="292734"/>
                <wp:effectExtent l="0" t="0" r="0" b="0"/>
                <wp:wrapNone/>
                <wp:docPr id="2" name="Rect 2"/>
                <wp:cNvGraphicFramePr/>
                <a:graphic xmlns:a="http://schemas.openxmlformats.org/drawingml/2006/main">
                  <a:graphicData uri="http://schemas.microsoft.com/office/word/2010/wordprocessingShape">
                    <wps:wsp xmlns:wps="http://schemas.microsoft.com/office/word/2010/wordprocessingShape">
                      <wps:cNvSpPr/>
                      <wps:spPr>
                        <a:xfrm>
                          <a:off x="18287" y="-70132"/>
                          <a:ext cx="6122034" cy="292734"/>
                        </a:xfrm>
                        <a:prstGeom prst="rect">
                          <a:avLst/>
                        </a:prstGeom>
                        <a:solidFill>
                          <a:srgbClr val="B8CCE4"/>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1025" style="width:482.05pt;height:23.05pt;margin-top:-5.52pt;margin-left:1.44pt;mso-wrap-distance-bottom:0;mso-wrap-distance-left:0;mso-wrap-distance-right:0;mso-wrap-distance-top:0;position:absolute;v-text-anchor:top;z-index:-251658240" fillcolor="#b8cce4" stroked="f"/>
            </w:pict>
          </mc:Fallback>
        </mc:AlternateContent>
      </w:r>
      <w:r>
        <w:pict>
          <v:shapetype id="_x0000_t202" coordsize="21600,21600" o:spt="202" path="m,l,21600r21600,l21600,xe">
            <v:stroke joinstyle="miter"/>
            <v:path gradientshapeok="t" o:connecttype="rect"/>
          </v:shapetype>
          <v:shape id="_x0000_s1026" type="#_x0000_t202" style="width:19.8pt;height:12.75pt;margin-top:1.95pt;margin-left:459.42pt;position:absolute;z-index:251660288" filled="f" stroked="f">
            <o:lock v:ext="edit" aspectratio="f"/>
            <v:textbox inset="0,0,0,0">
              <w:txbxContent>
                <w:p>
                  <w:pPr>
                    <w:spacing w:before="20" w:line="220" w:lineRule="auto"/>
                    <w:ind w:left="20"/>
                    <w:rPr>
                      <w:rFonts w:ascii="SimHei" w:eastAsia="SimHei" w:hAnsi="SimHei" w:cs="SimHei"/>
                      <w:sz w:val="18"/>
                      <w:szCs w:val="18"/>
                    </w:rPr>
                  </w:pPr>
                  <w:r>
                    <w:rPr>
                      <w:rFonts w:ascii="SimHei" w:eastAsia="SimHei" w:hAnsi="SimHei" w:cs="SimHei"/>
                      <w:spacing w:val="-2"/>
                      <w:sz w:val="18"/>
                      <w:szCs w:val="18"/>
                    </w:rPr>
                    <w:t>稳定</w:t>
                  </w:r>
                </w:p>
              </w:txbxContent>
            </v:textbox>
          </v:shape>
        </w:pict>
      </w:r>
      <w:r>
        <w:rPr>
          <w:rFonts w:ascii="SimHei" w:eastAsia="SimHei" w:hAnsi="SimHei" w:cs="SimHei"/>
          <w:spacing w:val="-1"/>
          <w:sz w:val="18"/>
          <w:szCs w:val="18"/>
        </w:rPr>
        <w:t>机械行业信用展望：</w:t>
      </w:r>
    </w:p>
    <w:p>
      <w:pPr>
        <w:spacing w:line="315" w:lineRule="auto"/>
        <w:rPr>
          <w:rFonts w:ascii="Arial"/>
          <w:sz w:val="21"/>
        </w:rPr>
      </w:pPr>
    </w:p>
    <w:p>
      <w:pPr>
        <w:spacing w:line="316" w:lineRule="auto"/>
        <w:rPr>
          <w:rFonts w:ascii="Arial"/>
          <w:sz w:val="21"/>
        </w:rPr>
      </w:pPr>
    </w:p>
    <w:p>
      <w:pPr>
        <w:spacing w:line="316" w:lineRule="auto"/>
        <w:rPr>
          <w:rFonts w:ascii="Arial"/>
          <w:sz w:val="21"/>
        </w:rPr>
      </w:pPr>
    </w:p>
    <w:p>
      <w:pPr>
        <w:spacing w:before="91" w:line="359" w:lineRule="auto"/>
        <w:ind w:left="3866" w:right="2362" w:hanging="1499"/>
        <w:outlineLvl w:val="0"/>
        <w:rPr>
          <w:rFonts w:ascii="SimSun" w:eastAsia="SimSun" w:hAnsi="SimSun" w:cs="SimSun"/>
          <w:sz w:val="18"/>
          <w:szCs w:val="18"/>
        </w:rPr>
      </w:pPr>
      <w:r>
        <w:rPr>
          <w:rFonts w:ascii="Times New Roman" w:eastAsia="Times New Roman" w:hAnsi="Times New Roman" w:cs="Times New Roman"/>
          <w:spacing w:val="-1"/>
          <w:sz w:val="28"/>
          <w:szCs w:val="28"/>
        </w:rPr>
        <w:t xml:space="preserve">2023 </w:t>
      </w:r>
      <w:r>
        <w:rPr>
          <w:rFonts w:ascii="SimHei" w:eastAsia="SimHei" w:hAnsi="SimHei" w:cs="SimHei"/>
          <w:spacing w:val="-1"/>
          <w:sz w:val="28"/>
          <w:szCs w:val="28"/>
        </w:rPr>
        <w:t>年机械行业信用回顾与</w:t>
      </w:r>
      <w:r>
        <w:rPr>
          <w:rFonts w:ascii="SimHei" w:eastAsia="SimHei" w:hAnsi="SimHei" w:cs="SimHei"/>
          <w:spacing w:val="-51"/>
          <w:sz w:val="28"/>
          <w:szCs w:val="28"/>
        </w:rPr>
        <w:t xml:space="preserve"> </w:t>
      </w:r>
      <w:r>
        <w:rPr>
          <w:rFonts w:ascii="Times New Roman" w:eastAsia="Times New Roman" w:hAnsi="Times New Roman" w:cs="Times New Roman"/>
          <w:spacing w:val="-1"/>
          <w:sz w:val="28"/>
          <w:szCs w:val="28"/>
        </w:rPr>
        <w:t xml:space="preserve">2024 </w:t>
      </w:r>
      <w:r>
        <w:rPr>
          <w:rFonts w:ascii="SimHei" w:eastAsia="SimHei" w:hAnsi="SimHei" w:cs="SimHei"/>
          <w:spacing w:val="-1"/>
          <w:sz w:val="28"/>
          <w:szCs w:val="28"/>
        </w:rPr>
        <w:t>年展望</w:t>
      </w:r>
      <w:r>
        <w:rPr>
          <w:rFonts w:ascii="SimHei" w:eastAsia="SimHei" w:hAnsi="SimHei" w:cs="SimHei"/>
          <w:sz w:val="28"/>
          <w:szCs w:val="28"/>
        </w:rPr>
        <w:t xml:space="preserve"> </w:t>
      </w:r>
      <w:r>
        <w:rPr>
          <w:rFonts w:ascii="SimSun" w:eastAsia="SimSun" w:hAnsi="SimSun" w:cs="SimSun"/>
          <w:spacing w:val="-3"/>
          <w:sz w:val="18"/>
          <w:szCs w:val="18"/>
        </w:rPr>
        <w:t>工商企业评级部</w:t>
      </w:r>
      <w:r>
        <w:rPr>
          <w:rFonts w:ascii="SimSun" w:eastAsia="SimSun" w:hAnsi="SimSun" w:cs="SimSun"/>
          <w:spacing w:val="13"/>
          <w:sz w:val="18"/>
          <w:szCs w:val="18"/>
        </w:rPr>
        <w:t xml:space="preserve">  </w:t>
      </w:r>
      <w:r>
        <w:rPr>
          <w:rFonts w:ascii="SimSun" w:eastAsia="SimSun" w:hAnsi="SimSun" w:cs="SimSun"/>
          <w:spacing w:val="-3"/>
          <w:sz w:val="18"/>
          <w:szCs w:val="18"/>
        </w:rPr>
        <w:t>陈婷婷</w:t>
      </w:r>
    </w:p>
    <w:p>
      <w:pPr>
        <w:spacing w:line="270" w:lineRule="auto"/>
        <w:rPr>
          <w:rFonts w:ascii="Arial"/>
          <w:sz w:val="21"/>
        </w:rPr>
      </w:pPr>
    </w:p>
    <w:p>
      <w:pPr>
        <w:spacing w:line="270" w:lineRule="auto"/>
        <w:rPr>
          <w:rFonts w:ascii="Arial"/>
          <w:sz w:val="21"/>
        </w:rPr>
      </w:pPr>
    </w:p>
    <w:p>
      <w:pPr>
        <w:spacing w:before="91" w:line="220" w:lineRule="auto"/>
        <w:ind w:left="38"/>
        <w:rPr>
          <w:rFonts w:ascii="SimHei" w:eastAsia="SimHei" w:hAnsi="SimHei" w:cs="SimHei"/>
          <w:sz w:val="28"/>
          <w:szCs w:val="28"/>
        </w:rPr>
      </w:pPr>
      <w:r>
        <w:rPr>
          <w:rFonts w:ascii="SimHei" w:eastAsia="SimHei" w:hAnsi="SimHei" w:cs="SimHei"/>
          <w:spacing w:val="-3"/>
          <w:sz w:val="28"/>
          <w:szCs w:val="28"/>
        </w:rPr>
        <w:t>摘要</w:t>
      </w:r>
    </w:p>
    <w:p>
      <w:pPr>
        <w:pStyle w:val="BodyText"/>
        <w:spacing w:before="270" w:line="236" w:lineRule="auto"/>
        <w:ind w:left="38" w:right="27" w:firstLine="7"/>
      </w:pPr>
      <w:r>
        <w:rPr>
          <w:spacing w:val="-3"/>
        </w:rPr>
        <w:t>我国机械行业整体运行持稳，  其中战略性新兴产业对机械行业整体增长拉动</w:t>
      </w:r>
      <w:r>
        <w:rPr>
          <w:spacing w:val="-4"/>
        </w:rPr>
        <w:t>作用显著。随着技术创新带动产品结构优化及原</w:t>
      </w:r>
      <w:r>
        <w:t xml:space="preserve"> </w:t>
      </w:r>
      <w:r>
        <w:rPr>
          <w:spacing w:val="-8"/>
        </w:rPr>
        <w:t>材料价格波动影响减弱下，</w:t>
      </w:r>
      <w:r>
        <w:rPr>
          <w:spacing w:val="17"/>
        </w:rPr>
        <w:t xml:space="preserve">  </w:t>
      </w:r>
      <w:r>
        <w:rPr>
          <w:rFonts w:ascii="Times New Roman" w:eastAsia="Times New Roman" w:hAnsi="Times New Roman" w:cs="Times New Roman"/>
          <w:spacing w:val="-8"/>
        </w:rPr>
        <w:t>2023</w:t>
      </w:r>
      <w:r>
        <w:rPr>
          <w:rFonts w:ascii="Times New Roman" w:eastAsia="Times New Roman" w:hAnsi="Times New Roman" w:cs="Times New Roman"/>
          <w:spacing w:val="20"/>
          <w:w w:val="101"/>
        </w:rPr>
        <w:t xml:space="preserve"> </w:t>
      </w:r>
      <w:r>
        <w:rPr>
          <w:spacing w:val="-8"/>
        </w:rPr>
        <w:t xml:space="preserve">年度机械行业整体经济效益有所提升。     （工业机械）涉及细分领域较多，   </w:t>
      </w:r>
      <w:r>
        <w:rPr>
          <w:rFonts w:ascii="Times New Roman" w:eastAsia="Times New Roman" w:hAnsi="Times New Roman" w:cs="Times New Roman"/>
          <w:spacing w:val="-8"/>
        </w:rPr>
        <w:t>2022</w:t>
      </w:r>
      <w:r>
        <w:rPr>
          <w:rFonts w:ascii="Times New Roman" w:eastAsia="Times New Roman" w:hAnsi="Times New Roman" w:cs="Times New Roman"/>
          <w:spacing w:val="20"/>
        </w:rPr>
        <w:t xml:space="preserve"> </w:t>
      </w:r>
      <w:r>
        <w:rPr>
          <w:spacing w:val="-9"/>
        </w:rPr>
        <w:t>年行业内部</w:t>
      </w:r>
      <w:r>
        <w:t xml:space="preserve"> </w:t>
      </w:r>
      <w:r>
        <w:rPr>
          <w:spacing w:val="-7"/>
        </w:rPr>
        <w:t>分化依然较大，</w:t>
      </w:r>
      <w:r>
        <w:rPr>
          <w:spacing w:val="14"/>
          <w:w w:val="101"/>
        </w:rPr>
        <w:t xml:space="preserve">  </w:t>
      </w:r>
      <w:r>
        <w:rPr>
          <w:spacing w:val="-7"/>
        </w:rPr>
        <w:t>其中锂电设备、光伏设备、</w:t>
      </w:r>
      <w:r>
        <w:rPr>
          <w:spacing w:val="41"/>
          <w:w w:val="101"/>
        </w:rPr>
        <w:t xml:space="preserve"> </w:t>
      </w:r>
      <w:r>
        <w:rPr>
          <w:spacing w:val="-7"/>
        </w:rPr>
        <w:t>工业机器人</w:t>
      </w:r>
      <w:r>
        <w:rPr>
          <w:spacing w:val="-8"/>
        </w:rPr>
        <w:t>等受下游投资景气度较高推动增长较快；</w:t>
      </w:r>
      <w:r>
        <w:rPr>
          <w:spacing w:val="11"/>
          <w:w w:val="101"/>
        </w:rPr>
        <w:t xml:space="preserve">  </w:t>
      </w:r>
      <w:r>
        <w:rPr>
          <w:spacing w:val="-8"/>
        </w:rPr>
        <w:t>机床行业在国家科技重大专</w:t>
      </w:r>
      <w:r>
        <w:t xml:space="preserve"> </w:t>
      </w:r>
      <w:r>
        <w:rPr>
          <w:spacing w:val="-8"/>
        </w:rPr>
        <w:t>项推动下，</w:t>
      </w:r>
      <w:r>
        <w:rPr>
          <w:spacing w:val="18"/>
        </w:rPr>
        <w:t xml:space="preserve">  </w:t>
      </w:r>
      <w:r>
        <w:rPr>
          <w:spacing w:val="-8"/>
        </w:rPr>
        <w:t>整体运行较平稳且盈利有所提升；环保设备受外部环境短期冲击较大，</w:t>
      </w:r>
      <w:r>
        <w:rPr>
          <w:spacing w:val="15"/>
        </w:rPr>
        <w:t xml:space="preserve">  </w:t>
      </w:r>
      <w:r>
        <w:rPr>
          <w:spacing w:val="-8"/>
        </w:rPr>
        <w:t>业绩</w:t>
      </w:r>
      <w:r>
        <w:rPr>
          <w:spacing w:val="-9"/>
        </w:rPr>
        <w:t>呈现波动，   而重型机械、通用机械等</w:t>
      </w:r>
      <w:r>
        <w:t xml:space="preserve"> </w:t>
      </w:r>
      <w:r>
        <w:rPr>
          <w:spacing w:val="-6"/>
        </w:rPr>
        <w:t>传统机械领域竞争激烈且下游需求偏弱，</w:t>
      </w:r>
      <w:r>
        <w:rPr>
          <w:spacing w:val="13"/>
          <w:w w:val="101"/>
        </w:rPr>
        <w:t xml:space="preserve">  </w:t>
      </w:r>
      <w:r>
        <w:rPr>
          <w:spacing w:val="-6"/>
        </w:rPr>
        <w:t xml:space="preserve">经营压力较大。（建筑设备与重卡）  </w:t>
      </w:r>
      <w:r>
        <w:rPr>
          <w:rFonts w:ascii="Times New Roman" w:eastAsia="Times New Roman" w:hAnsi="Times New Roman" w:cs="Times New Roman"/>
          <w:spacing w:val="-6"/>
        </w:rPr>
        <w:t>2022</w:t>
      </w:r>
      <w:r>
        <w:rPr>
          <w:rFonts w:ascii="Times New Roman" w:eastAsia="Times New Roman" w:hAnsi="Times New Roman" w:cs="Times New Roman"/>
          <w:spacing w:val="17"/>
          <w:w w:val="101"/>
        </w:rPr>
        <w:t xml:space="preserve"> </w:t>
      </w:r>
      <w:r>
        <w:rPr>
          <w:spacing w:val="-6"/>
        </w:rPr>
        <w:t>年以来</w:t>
      </w:r>
      <w:r>
        <w:rPr>
          <w:spacing w:val="-7"/>
        </w:rPr>
        <w:t>受宏观经济下行压力加大、房地产</w:t>
      </w:r>
      <w:r>
        <w:t xml:space="preserve"> </w:t>
      </w:r>
      <w:r>
        <w:rPr>
          <w:spacing w:val="-5"/>
        </w:rPr>
        <w:t>市场景气度弱化、新基建开工不及预期等因素影响，我国建筑机械</w:t>
      </w:r>
      <w:r>
        <w:rPr>
          <w:spacing w:val="-6"/>
        </w:rPr>
        <w:t>与重卡市场需求下滑，工程机械和重型卡车销售大幅减弱；</w:t>
      </w:r>
      <w:r>
        <w:t xml:space="preserve">  </w:t>
      </w:r>
      <w:r>
        <w:rPr>
          <w:spacing w:val="-5"/>
        </w:rPr>
        <w:t>轨道交通装备行业随着我国轨道交通装备市场规模不断扩大，  仍保持稳定增长；  船舶和海洋工程装备行业受全球新船市场及</w:t>
      </w:r>
      <w:r>
        <w:rPr>
          <w:spacing w:val="17"/>
          <w:w w:val="101"/>
        </w:rPr>
        <w:t xml:space="preserve"> </w:t>
      </w:r>
      <w:r>
        <w:rPr>
          <w:spacing w:val="-1"/>
        </w:rPr>
        <w:t>海工市场复苏影响，景气度较高，造船企业订单充足，业绩增长</w:t>
      </w:r>
      <w:r>
        <w:rPr>
          <w:spacing w:val="-2"/>
        </w:rPr>
        <w:t>较快。</w:t>
      </w:r>
    </w:p>
    <w:p>
      <w:pPr>
        <w:pStyle w:val="BodyText"/>
        <w:spacing w:before="157" w:line="231" w:lineRule="auto"/>
        <w:ind w:left="39" w:right="28" w:firstLine="3"/>
        <w:jc w:val="both"/>
      </w:pPr>
      <w:r>
        <w:rPr>
          <w:spacing w:val="-5"/>
        </w:rPr>
        <w:t>政策面看，  近年来国家大力支持机械行业智能制造及推动</w:t>
      </w:r>
      <w:r>
        <w:rPr>
          <w:spacing w:val="-6"/>
        </w:rPr>
        <w:t>制造业转型升级，</w:t>
      </w:r>
      <w:r>
        <w:rPr>
          <w:spacing w:val="15"/>
        </w:rPr>
        <w:t xml:space="preserve">  </w:t>
      </w:r>
      <w:r>
        <w:rPr>
          <w:spacing w:val="-6"/>
        </w:rPr>
        <w:t>各部门、行业协会密集出台了《机械工业“十四</w:t>
      </w:r>
      <w:r>
        <w:t xml:space="preserve"> </w:t>
      </w:r>
      <w:r>
        <w:rPr>
          <w:spacing w:val="-2"/>
        </w:rPr>
        <w:t>五”发展纲要》、《关于支持“专精特新”中小企业高质量</w:t>
      </w:r>
      <w:r>
        <w:rPr>
          <w:spacing w:val="-3"/>
        </w:rPr>
        <w:t>发展的通知》、《机械行业稳增长工作方案</w:t>
      </w:r>
      <w:r>
        <w:rPr>
          <w:rFonts w:ascii="Times New Roman" w:eastAsia="Times New Roman" w:hAnsi="Times New Roman" w:cs="Times New Roman"/>
          <w:spacing w:val="-3"/>
        </w:rPr>
        <w:t>(2023-2024</w:t>
      </w:r>
      <w:r>
        <w:rPr>
          <w:rFonts w:ascii="Times New Roman" w:eastAsia="Times New Roman" w:hAnsi="Times New Roman" w:cs="Times New Roman"/>
          <w:spacing w:val="17"/>
          <w:w w:val="101"/>
        </w:rPr>
        <w:t xml:space="preserve"> </w:t>
      </w:r>
      <w:r>
        <w:rPr>
          <w:spacing w:val="-3"/>
        </w:rPr>
        <w:t>年</w:t>
      </w:r>
      <w:r>
        <w:rPr>
          <w:rFonts w:ascii="Times New Roman" w:eastAsia="Times New Roman" w:hAnsi="Times New Roman" w:cs="Times New Roman"/>
          <w:spacing w:val="-3"/>
        </w:rPr>
        <w:t>)</w:t>
      </w:r>
      <w:r>
        <w:rPr>
          <w:spacing w:val="-3"/>
        </w:rPr>
        <w:t>》等重</w:t>
      </w:r>
      <w:r>
        <w:t xml:space="preserve"> </w:t>
      </w:r>
      <w:r>
        <w:rPr>
          <w:spacing w:val="-5"/>
        </w:rPr>
        <w:t>要政策文件，  且通过加大国家投资基金及吸引社会资本投资等，  扩大行业需求和加快行业转型。机械行业通过进一步的科技</w:t>
      </w:r>
      <w:r>
        <w:rPr>
          <w:spacing w:val="18"/>
          <w:w w:val="101"/>
        </w:rPr>
        <w:t xml:space="preserve"> </w:t>
      </w:r>
      <w:r>
        <w:rPr>
          <w:spacing w:val="-1"/>
        </w:rPr>
        <w:t>赋能并实现高质量发展空间大，预计可在政策上获得持续</w:t>
      </w:r>
      <w:r>
        <w:rPr>
          <w:spacing w:val="-2"/>
        </w:rPr>
        <w:t>有力支持。</w:t>
      </w:r>
    </w:p>
    <w:p>
      <w:pPr>
        <w:pStyle w:val="BodyText"/>
        <w:spacing w:before="160" w:line="235" w:lineRule="auto"/>
        <w:ind w:left="45" w:right="27" w:hanging="10"/>
        <w:jc w:val="both"/>
      </w:pPr>
      <w:r>
        <w:rPr>
          <w:spacing w:val="-2"/>
        </w:rPr>
        <w:t>样本企业数据而言，</w:t>
      </w:r>
      <w:r>
        <w:rPr>
          <w:spacing w:val="17"/>
          <w:w w:val="101"/>
        </w:rPr>
        <w:t xml:space="preserve">  </w:t>
      </w:r>
      <w:r>
        <w:rPr>
          <w:rFonts w:ascii="Times New Roman" w:eastAsia="Times New Roman" w:hAnsi="Times New Roman" w:cs="Times New Roman"/>
          <w:spacing w:val="-2"/>
        </w:rPr>
        <w:t xml:space="preserve">2022  </w:t>
      </w:r>
      <w:r>
        <w:rPr>
          <w:spacing w:val="-2"/>
        </w:rPr>
        <w:t>年机械行业样本企业收入和净利润受建筑机械与重型卡车细分领域周期</w:t>
      </w:r>
      <w:r>
        <w:rPr>
          <w:spacing w:val="-3"/>
        </w:rPr>
        <w:t>性需求大幅减弱影响呈现</w:t>
      </w:r>
      <w:r>
        <w:t xml:space="preserve"> </w:t>
      </w:r>
      <w:r>
        <w:rPr>
          <w:spacing w:val="-2"/>
        </w:rPr>
        <w:t>明显波动，收入和净利润有所下滑，</w:t>
      </w:r>
      <w:r>
        <w:rPr>
          <w:spacing w:val="59"/>
        </w:rPr>
        <w:t xml:space="preserve"> </w:t>
      </w:r>
      <w:r>
        <w:rPr>
          <w:rFonts w:ascii="Times New Roman" w:eastAsia="Times New Roman" w:hAnsi="Times New Roman" w:cs="Times New Roman"/>
          <w:spacing w:val="-2"/>
        </w:rPr>
        <w:t xml:space="preserve">2023  </w:t>
      </w:r>
      <w:r>
        <w:rPr>
          <w:spacing w:val="-2"/>
        </w:rPr>
        <w:t>年以来有所恢复。财务方面，机械样本企业整体销售回款减慢，营业资金压力上</w:t>
      </w:r>
      <w:r>
        <w:t xml:space="preserve"> </w:t>
      </w:r>
      <w:r>
        <w:rPr>
          <w:spacing w:val="-7"/>
        </w:rPr>
        <w:t>升， 加之转型升级下资本支出增加，</w:t>
      </w:r>
      <w:r>
        <w:rPr>
          <w:spacing w:val="12"/>
        </w:rPr>
        <w:t xml:space="preserve">  </w:t>
      </w:r>
      <w:r>
        <w:rPr>
          <w:spacing w:val="-7"/>
        </w:rPr>
        <w:t>样本企业刚性债务规模和财务杠杆水平上升，</w:t>
      </w:r>
      <w:r>
        <w:rPr>
          <w:spacing w:val="17"/>
        </w:rPr>
        <w:t xml:space="preserve">  </w:t>
      </w:r>
      <w:r>
        <w:rPr>
          <w:spacing w:val="-7"/>
        </w:rPr>
        <w:t>其中风电设备、工程机械、重型卡车等细</w:t>
      </w:r>
      <w:r>
        <w:t xml:space="preserve"> </w:t>
      </w:r>
      <w:r>
        <w:rPr>
          <w:spacing w:val="-5"/>
        </w:rPr>
        <w:t>分行业财务杠杆水平相对较高，  债务即期兑付压力较大，  但是随着景气度复苏及较为宽松的外部融资环境，整体偿债保障度</w:t>
      </w:r>
      <w:r>
        <w:rPr>
          <w:spacing w:val="12"/>
          <w:w w:val="101"/>
        </w:rPr>
        <w:t xml:space="preserve"> </w:t>
      </w:r>
      <w:r>
        <w:rPr>
          <w:spacing w:val="-6"/>
        </w:rPr>
        <w:t>尚可。</w:t>
      </w:r>
    </w:p>
    <w:p>
      <w:pPr>
        <w:pStyle w:val="BodyText"/>
        <w:spacing w:before="148" w:line="222" w:lineRule="auto"/>
        <w:ind w:left="47" w:right="28" w:hanging="4"/>
      </w:pPr>
      <w:r>
        <w:rPr>
          <w:spacing w:val="-2"/>
        </w:rPr>
        <w:t>机械企业融资需求较大，</w:t>
      </w:r>
      <w:r>
        <w:rPr>
          <w:spacing w:val="17"/>
          <w:w w:val="101"/>
        </w:rPr>
        <w:t xml:space="preserve">  </w:t>
      </w:r>
      <w:r>
        <w:rPr>
          <w:rFonts w:ascii="Times New Roman" w:eastAsia="Times New Roman" w:hAnsi="Times New Roman" w:cs="Times New Roman"/>
          <w:spacing w:val="-2"/>
        </w:rPr>
        <w:t xml:space="preserve">2023  </w:t>
      </w:r>
      <w:r>
        <w:rPr>
          <w:spacing w:val="-2"/>
        </w:rPr>
        <w:t>年前三季度机械行业内发债企业仍保持了较大的融资规</w:t>
      </w:r>
      <w:r>
        <w:rPr>
          <w:spacing w:val="-3"/>
        </w:rPr>
        <w:t>模。发债品种主要为超短期融资券和</w:t>
      </w:r>
      <w:r>
        <w:t xml:space="preserve"> </w:t>
      </w:r>
      <w:r>
        <w:rPr>
          <w:spacing w:val="-2"/>
        </w:rPr>
        <w:t xml:space="preserve">可交换债券，发债主体级别分布于 </w:t>
      </w:r>
      <w:r>
        <w:rPr>
          <w:rFonts w:ascii="Times New Roman" w:eastAsia="Times New Roman" w:hAnsi="Times New Roman" w:cs="Times New Roman"/>
          <w:spacing w:val="-2"/>
        </w:rPr>
        <w:t>AAA-A</w:t>
      </w:r>
      <w:r>
        <w:rPr>
          <w:rFonts w:ascii="Times New Roman" w:eastAsia="Times New Roman" w:hAnsi="Times New Roman" w:cs="Times New Roman"/>
          <w:spacing w:val="18"/>
          <w:w w:val="101"/>
        </w:rPr>
        <w:t xml:space="preserve"> </w:t>
      </w:r>
      <w:r>
        <w:rPr>
          <w:spacing w:val="-2"/>
        </w:rPr>
        <w:t>级别，仅发生</w:t>
      </w:r>
      <w:r>
        <w:rPr>
          <w:spacing w:val="22"/>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28"/>
          <w:w w:val="101"/>
        </w:rPr>
        <w:t xml:space="preserve"> </w:t>
      </w:r>
      <w:r>
        <w:rPr>
          <w:spacing w:val="-2"/>
        </w:rPr>
        <w:t>家企业级别向上迁移</w:t>
      </w:r>
      <w:r>
        <w:rPr>
          <w:spacing w:val="-3"/>
        </w:rPr>
        <w:t>情况；发行利差整体较小。</w:t>
      </w:r>
    </w:p>
    <w:p>
      <w:pPr>
        <w:pStyle w:val="BodyText"/>
        <w:spacing w:before="158" w:line="235" w:lineRule="auto"/>
        <w:ind w:left="45" w:right="28" w:hanging="10"/>
      </w:pPr>
      <w:r>
        <w:rPr>
          <w:spacing w:val="-2"/>
        </w:rPr>
        <w:t xml:space="preserve">展望 </w:t>
      </w:r>
      <w:r>
        <w:rPr>
          <w:rFonts w:ascii="Times New Roman" w:eastAsia="Times New Roman" w:hAnsi="Times New Roman" w:cs="Times New Roman"/>
          <w:spacing w:val="-2"/>
        </w:rPr>
        <w:t>2024</w:t>
      </w:r>
      <w:r>
        <w:rPr>
          <w:rFonts w:ascii="Times New Roman" w:eastAsia="Times New Roman" w:hAnsi="Times New Roman" w:cs="Times New Roman"/>
          <w:spacing w:val="19"/>
          <w:w w:val="102"/>
        </w:rPr>
        <w:t xml:space="preserve"> </w:t>
      </w:r>
      <w:r>
        <w:rPr>
          <w:spacing w:val="-2"/>
        </w:rPr>
        <w:t xml:space="preserve">年，预计机械行业整体运行平稳。  </w:t>
      </w:r>
      <w:r>
        <w:rPr>
          <w:spacing w:val="-3"/>
        </w:rPr>
        <w:t xml:space="preserve"> 长期看，我国制造业转型升级发展尤其是新兴产业的持续发展，将为机械行业</w:t>
      </w:r>
      <w:r>
        <w:t xml:space="preserve"> </w:t>
      </w:r>
      <w:r>
        <w:rPr>
          <w:spacing w:val="-5"/>
        </w:rPr>
        <w:t>高质量发展提供有力支撑；  持续研发投入并实现一系列关键技术突破和核</w:t>
      </w:r>
      <w:r>
        <w:rPr>
          <w:spacing w:val="-6"/>
        </w:rPr>
        <w:t>心零部件国产化率显著提升，</w:t>
      </w:r>
      <w:r>
        <w:rPr>
          <w:spacing w:val="11"/>
        </w:rPr>
        <w:t xml:space="preserve">  </w:t>
      </w:r>
      <w:r>
        <w:rPr>
          <w:spacing w:val="-6"/>
        </w:rPr>
        <w:t>以及持续提升产品的</w:t>
      </w:r>
      <w:r>
        <w:t xml:space="preserve"> </w:t>
      </w:r>
      <w:r>
        <w:rPr>
          <w:spacing w:val="-8"/>
        </w:rPr>
        <w:t>全球竞争力，</w:t>
      </w:r>
      <w:r>
        <w:rPr>
          <w:spacing w:val="21"/>
        </w:rPr>
        <w:t xml:space="preserve">  </w:t>
      </w:r>
      <w:r>
        <w:rPr>
          <w:spacing w:val="-8"/>
        </w:rPr>
        <w:t>则是影响行业健康持续发展的决定性因素。短期而言，</w:t>
      </w:r>
      <w:r>
        <w:rPr>
          <w:spacing w:val="35"/>
          <w:w w:val="101"/>
        </w:rPr>
        <w:t xml:space="preserve"> </w:t>
      </w:r>
      <w:r>
        <w:rPr>
          <w:spacing w:val="-8"/>
        </w:rPr>
        <w:t>部分子行业及企业下游占款规模大，</w:t>
      </w:r>
      <w:r>
        <w:rPr>
          <w:spacing w:val="15"/>
          <w:w w:val="101"/>
        </w:rPr>
        <w:t xml:space="preserve">  </w:t>
      </w:r>
      <w:r>
        <w:rPr>
          <w:spacing w:val="-8"/>
        </w:rPr>
        <w:t>经济下行压力大的</w:t>
      </w:r>
      <w:r>
        <w:t xml:space="preserve"> </w:t>
      </w:r>
      <w:r>
        <w:rPr>
          <w:spacing w:val="-8"/>
        </w:rPr>
        <w:t>背景下主要客户（群体）</w:t>
      </w:r>
      <w:r>
        <w:rPr>
          <w:spacing w:val="33"/>
          <w:w w:val="102"/>
        </w:rPr>
        <w:t xml:space="preserve"> </w:t>
      </w:r>
      <w:r>
        <w:rPr>
          <w:spacing w:val="-8"/>
        </w:rPr>
        <w:t>信用质量的弱化或将对其资产质量形成较显著影响。</w:t>
      </w:r>
      <w:r>
        <w:rPr>
          <w:spacing w:val="15"/>
        </w:rPr>
        <w:t xml:space="preserve">  </w:t>
      </w:r>
      <w:r>
        <w:rPr>
          <w:spacing w:val="-8"/>
        </w:rPr>
        <w:t>细分</w:t>
      </w:r>
      <w:r>
        <w:rPr>
          <w:spacing w:val="-9"/>
        </w:rPr>
        <w:t>子行业分化或加速。</w:t>
      </w:r>
      <w:r>
        <w:rPr>
          <w:spacing w:val="-17"/>
        </w:rPr>
        <w:t xml:space="preserve"> </w:t>
      </w:r>
      <w:r>
        <w:rPr>
          <w:spacing w:val="-9"/>
          <w14:textOutline w14:w="3263">
            <w14:solidFill>
              <w14:srgbClr w14:val="000000"/>
            </w14:solidFill>
            <w14:prstDash w14:val="solid"/>
            <w14:miter w14:lim="10"/>
          </w14:textOutline>
        </w:rPr>
        <w:t>（工业机械）</w:t>
      </w:r>
      <w:r>
        <w:rPr>
          <w:spacing w:val="17"/>
          <w:w w:val="102"/>
        </w:rPr>
        <w:t xml:space="preserve">  </w:t>
      </w:r>
      <w:r>
        <w:rPr>
          <w:spacing w:val="-9"/>
        </w:rPr>
        <w:t>细分行</w:t>
      </w:r>
      <w:r>
        <w:t xml:space="preserve"> </w:t>
      </w:r>
      <w:r>
        <w:rPr>
          <w:spacing w:val="1"/>
        </w:rPr>
        <w:t>业中传统机械产品领域仍将因宏观经济下行持续面临较大经营压力，</w:t>
      </w:r>
      <w:r>
        <w:rPr>
          <w:spacing w:val="-18"/>
        </w:rPr>
        <w:t xml:space="preserve"> </w:t>
      </w:r>
      <w:r>
        <w:rPr>
          <w:spacing w:val="1"/>
        </w:rPr>
        <w:t>战略性新兴行业的高速增长将因产能结构性过剩而出</w:t>
      </w:r>
      <w:r>
        <w:t xml:space="preserve"> </w:t>
      </w:r>
      <w:r>
        <w:rPr>
          <w:spacing w:val="-9"/>
        </w:rPr>
        <w:t xml:space="preserve">现阶段性回调，  进而影响其对工业机械行业整体拉动作用。   </w:t>
      </w:r>
      <w:r>
        <w:rPr>
          <w:spacing w:val="-9"/>
          <w14:textOutline w14:w="3263">
            <w14:solidFill>
              <w14:srgbClr w14:val="000000"/>
            </w14:solidFill>
            <w14:prstDash w14:val="solid"/>
            <w14:miter w14:lim="10"/>
          </w14:textOutline>
        </w:rPr>
        <w:t>（建筑机械与重卡）</w:t>
      </w:r>
      <w:r>
        <w:rPr>
          <w:spacing w:val="-9"/>
        </w:rPr>
        <w:t xml:space="preserve"> 基建投资增长及国家推动“三大工程”建设，</w:t>
      </w:r>
      <w:r>
        <w:rPr>
          <w:spacing w:val="1"/>
        </w:rPr>
        <w:t xml:space="preserve"> </w:t>
      </w:r>
      <w:r>
        <w:rPr>
          <w:spacing w:val="-4"/>
        </w:rPr>
        <w:t>将助力建筑机械与重型卡车行业阶段性企稳，</w:t>
      </w:r>
      <w:r>
        <w:rPr>
          <w:spacing w:val="-2"/>
        </w:rPr>
        <w:t xml:space="preserve"> </w:t>
      </w:r>
      <w:r>
        <w:rPr>
          <w:spacing w:val="-4"/>
        </w:rPr>
        <w:t>由于基建投资需求释放需要时间，</w:t>
      </w:r>
      <w:r>
        <w:rPr>
          <w:spacing w:val="20"/>
          <w:w w:val="101"/>
        </w:rPr>
        <w:t xml:space="preserve">  </w:t>
      </w:r>
      <w:r>
        <w:rPr>
          <w:spacing w:val="-4"/>
        </w:rPr>
        <w:t>短期内行业仍将面临一段调整和恢复期。</w:t>
      </w:r>
    </w:p>
    <w:p>
      <w:pPr>
        <w:spacing w:line="235" w:lineRule="auto"/>
        <w:sectPr>
          <w:headerReference w:type="default" r:id="rId4"/>
          <w:footerReference w:type="default" r:id="rId5"/>
          <w:pgSz w:w="11907" w:h="16839"/>
          <w:pgMar w:top="1053" w:right="1104" w:bottom="1187" w:left="1104" w:header="867" w:footer="993" w:gutter="0"/>
          <w:cols w:space="708"/>
        </w:sectPr>
      </w:pPr>
    </w:p>
    <w:p>
      <w:pPr>
        <w:spacing w:line="427" w:lineRule="auto"/>
        <w:rPr>
          <w:rFonts w:ascii="Arial"/>
          <w:sz w:val="21"/>
        </w:rPr>
      </w:pPr>
      <w:r>
        <w:pict>
          <v:shape id="_x0000_s1027" style="width:144.1pt;height:0.75pt;margin-top:759pt;margin-left:56.64pt;mso-position-horizontal-relative:page;mso-position-vertical-relative:page;position:absolute;z-index:251661312" coordorigin="0,0" coordsize="2882,15" o:allowincell="f" path="m,14l2881,14l2881,l,l,14xe" filled="t" fillcolor="black" stroked="f"/>
        </w:pict>
      </w:r>
    </w:p>
    <w:p>
      <w:pPr>
        <w:spacing w:before="101" w:line="224" w:lineRule="auto"/>
        <w:ind w:left="66"/>
        <w:rPr>
          <w:rFonts w:ascii="SimHei" w:eastAsia="SimHei" w:hAnsi="SimHei" w:cs="SimHei"/>
          <w:sz w:val="31"/>
          <w:szCs w:val="31"/>
        </w:rPr>
      </w:pPr>
      <w:r>
        <w:rPr>
          <w:rFonts w:ascii="Times New Roman" w:eastAsia="Times New Roman" w:hAnsi="Times New Roman" w:cs="Times New Roman"/>
          <w:spacing w:val="-2"/>
          <w:sz w:val="31"/>
          <w:szCs w:val="31"/>
        </w:rPr>
        <w:t>1.</w:t>
      </w:r>
      <w:r>
        <w:rPr>
          <w:rFonts w:ascii="Times New Roman" w:eastAsia="Times New Roman" w:hAnsi="Times New Roman" w:cs="Times New Roman"/>
          <w:spacing w:val="63"/>
          <w:sz w:val="31"/>
          <w:szCs w:val="31"/>
        </w:rPr>
        <w:t xml:space="preserve"> </w:t>
      </w:r>
      <w:r>
        <w:rPr>
          <w:rFonts w:ascii="SimHei" w:eastAsia="SimHei" w:hAnsi="SimHei" w:cs="SimHei"/>
          <w:spacing w:val="-2"/>
          <w:sz w:val="31"/>
          <w:szCs w:val="31"/>
        </w:rPr>
        <w:t>运行状况</w:t>
      </w:r>
    </w:p>
    <w:p>
      <w:pPr>
        <w:spacing w:line="433" w:lineRule="auto"/>
        <w:rPr>
          <w:rFonts w:ascii="Arial"/>
          <w:sz w:val="21"/>
        </w:rPr>
      </w:pPr>
    </w:p>
    <w:p>
      <w:pPr>
        <w:spacing w:before="68" w:line="279" w:lineRule="auto"/>
        <w:ind w:left="36"/>
        <w:jc w:val="both"/>
        <w:rPr>
          <w:rFonts w:ascii="SimSun" w:eastAsia="SimSun" w:hAnsi="SimSun" w:cs="SimSun"/>
          <w:sz w:val="21"/>
          <w:szCs w:val="21"/>
        </w:rPr>
      </w:pPr>
      <w:r>
        <w:rPr>
          <w:rFonts w:ascii="SimSun" w:eastAsia="SimSun" w:hAnsi="SimSun" w:cs="SimSun"/>
          <w:sz w:val="21"/>
          <w:szCs w:val="21"/>
        </w:rPr>
        <w:t>机械行业是国民经济的基础性产业，承担为国民经</w:t>
      </w:r>
      <w:r>
        <w:rPr>
          <w:rFonts w:ascii="SimSun" w:eastAsia="SimSun" w:hAnsi="SimSun" w:cs="SimSun"/>
          <w:spacing w:val="-1"/>
          <w:sz w:val="21"/>
          <w:szCs w:val="21"/>
        </w:rPr>
        <w:t>济各部门、各行业提供技术装备和生产工具的任务。机</w:t>
      </w:r>
      <w:r>
        <w:rPr>
          <w:rFonts w:ascii="SimSun" w:eastAsia="SimSun" w:hAnsi="SimSun" w:cs="SimSun"/>
          <w:sz w:val="21"/>
          <w:szCs w:val="21"/>
        </w:rPr>
        <w:t xml:space="preserve"> </w:t>
      </w:r>
      <w:r>
        <w:rPr>
          <w:rFonts w:ascii="SimSun" w:eastAsia="SimSun" w:hAnsi="SimSun" w:cs="SimSun"/>
          <w:spacing w:val="-1"/>
          <w:sz w:val="21"/>
          <w:szCs w:val="21"/>
        </w:rPr>
        <w:t>械行业作为典型的中游行业，上游主要为核心零部件以及基础原材料供应</w:t>
      </w:r>
      <w:r>
        <w:rPr>
          <w:rFonts w:ascii="SimSun" w:eastAsia="SimSun" w:hAnsi="SimSun" w:cs="SimSun"/>
          <w:spacing w:val="-2"/>
          <w:sz w:val="21"/>
          <w:szCs w:val="21"/>
        </w:rPr>
        <w:t>商， 下游应用于基础设施建设、</w:t>
      </w:r>
      <w:r>
        <w:rPr>
          <w:rFonts w:ascii="SimSun" w:eastAsia="SimSun" w:hAnsi="SimSun" w:cs="SimSun"/>
          <w:sz w:val="21"/>
          <w:szCs w:val="21"/>
        </w:rPr>
        <w:t xml:space="preserve"> </w:t>
      </w:r>
      <w:r>
        <w:rPr>
          <w:rFonts w:ascii="SimSun" w:eastAsia="SimSun" w:hAnsi="SimSun" w:cs="SimSun"/>
          <w:sz w:val="21"/>
          <w:szCs w:val="21"/>
        </w:rPr>
        <w:t>铁路、公路、房地产、煤炭开采、钢铁冶炼、石油</w:t>
      </w:r>
      <w:r>
        <w:rPr>
          <w:rFonts w:ascii="SimSun" w:eastAsia="SimSun" w:hAnsi="SimSun" w:cs="SimSun"/>
          <w:spacing w:val="-1"/>
          <w:sz w:val="21"/>
          <w:szCs w:val="21"/>
        </w:rPr>
        <w:t>化工等各个国民经济行业领域。机械产品种类繁多，按</w:t>
      </w:r>
      <w:r>
        <w:rPr>
          <w:rFonts w:ascii="SimSun" w:eastAsia="SimSun" w:hAnsi="SimSun" w:cs="SimSun"/>
          <w:sz w:val="21"/>
          <w:szCs w:val="21"/>
        </w:rPr>
        <w:t xml:space="preserve"> </w:t>
      </w:r>
      <w:r>
        <w:rPr>
          <w:rFonts w:ascii="SimSun" w:eastAsia="SimSun" w:hAnsi="SimSun" w:cs="SimSun"/>
          <w:sz w:val="21"/>
          <w:szCs w:val="21"/>
        </w:rPr>
        <w:t>照国际</w:t>
      </w:r>
      <w:r>
        <w:rPr>
          <w:rFonts w:ascii="SimSun" w:eastAsia="SimSun" w:hAnsi="SimSun" w:cs="SimSun"/>
          <w:spacing w:val="-44"/>
          <w:sz w:val="21"/>
          <w:szCs w:val="21"/>
        </w:rPr>
        <w:t xml:space="preserve"> </w:t>
      </w:r>
      <w:r>
        <w:rPr>
          <w:rFonts w:ascii="Times New Roman" w:eastAsia="Times New Roman" w:hAnsi="Times New Roman" w:cs="Times New Roman"/>
          <w:sz w:val="21"/>
          <w:szCs w:val="21"/>
        </w:rPr>
        <w:t xml:space="preserve">GICS </w:t>
      </w:r>
      <w:r>
        <w:rPr>
          <w:rFonts w:ascii="SimSun" w:eastAsia="SimSun" w:hAnsi="SimSun" w:cs="SimSun"/>
          <w:sz w:val="21"/>
          <w:szCs w:val="21"/>
        </w:rPr>
        <w:t>分类标准，机械行业大致可分为工业机械和建筑机械与重</w:t>
      </w:r>
      <w:r>
        <w:rPr>
          <w:rFonts w:ascii="SimSun" w:eastAsia="SimSun" w:hAnsi="SimSun" w:cs="SimSun"/>
          <w:spacing w:val="-1"/>
          <w:sz w:val="21"/>
          <w:szCs w:val="21"/>
        </w:rPr>
        <w:t>型卡车两个细分行业。</w:t>
      </w:r>
    </w:p>
    <w:p>
      <w:pPr>
        <w:spacing w:before="141" w:line="218" w:lineRule="auto"/>
        <w:ind w:left="82"/>
        <w:rPr>
          <w:rFonts w:ascii="SimHei" w:eastAsia="SimHei" w:hAnsi="SimHei" w:cs="SimHei"/>
          <w:sz w:val="18"/>
          <w:szCs w:val="18"/>
        </w:rPr>
      </w:pPr>
      <w:r>
        <w:rPr>
          <w:rFonts w:ascii="SimHei" w:eastAsia="SimHei" w:hAnsi="SimHei" w:cs="SimHei"/>
          <w:spacing w:val="-3"/>
          <w:sz w:val="18"/>
          <w:szCs w:val="18"/>
        </w:rPr>
        <w:t>图表</w:t>
      </w:r>
      <w:r>
        <w:rPr>
          <w:rFonts w:ascii="SimHei" w:eastAsia="SimHei" w:hAnsi="SimHei" w:cs="SimHei"/>
          <w:spacing w:val="-5"/>
          <w:sz w:val="18"/>
          <w:szCs w:val="18"/>
        </w:rPr>
        <w:t xml:space="preserve"> </w:t>
      </w:r>
      <w:r>
        <w:rPr>
          <w:rFonts w:ascii="Times New Roman" w:eastAsia="Times New Roman" w:hAnsi="Times New Roman" w:cs="Times New Roman"/>
          <w:spacing w:val="-3"/>
          <w:sz w:val="18"/>
          <w:szCs w:val="18"/>
        </w:rPr>
        <w:t xml:space="preserve">1. </w:t>
      </w:r>
      <w:r>
        <w:rPr>
          <w:rFonts w:ascii="SimHei" w:eastAsia="SimHei" w:hAnsi="SimHei" w:cs="SimHei"/>
          <w:spacing w:val="-3"/>
          <w:sz w:val="18"/>
          <w:szCs w:val="18"/>
        </w:rPr>
        <w:t>机械行业主要细分行业分类及定义</w:t>
      </w:r>
    </w:p>
    <w:p>
      <w:pPr>
        <w:spacing w:line="54" w:lineRule="exact"/>
      </w:pPr>
    </w:p>
    <w:tbl>
      <w:tblPr>
        <w:tblStyle w:val="TableNormal0"/>
        <w:tblW w:w="9654"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50"/>
        <w:gridCol w:w="2552"/>
        <w:gridCol w:w="2227"/>
        <w:gridCol w:w="2025"/>
        <w:gridCol w:w="1700"/>
      </w:tblGrid>
      <w:tr>
        <w:tblPrEx>
          <w:tblW w:w="9654"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4"/>
        </w:trPr>
        <w:tc>
          <w:tcPr>
            <w:tcW w:w="1150" w:type="dxa"/>
            <w:tcBorders>
              <w:top w:val="single" w:sz="10" w:space="0" w:color="000000"/>
              <w:left w:val="nil"/>
            </w:tcBorders>
            <w:shd w:val="clear" w:color="auto" w:fill="D9D9D9"/>
            <w:vAlign w:val="top"/>
          </w:tcPr>
          <w:p>
            <w:pPr>
              <w:spacing w:before="60" w:line="220" w:lineRule="auto"/>
              <w:ind w:left="287"/>
              <w:rPr>
                <w:rFonts w:ascii="SimHei" w:eastAsia="SimHei" w:hAnsi="SimHei" w:cs="SimHei"/>
                <w:sz w:val="15"/>
                <w:szCs w:val="15"/>
              </w:rPr>
            </w:pPr>
            <w:r>
              <w:rPr>
                <w:rFonts w:ascii="SimHei" w:eastAsia="SimHei" w:hAnsi="SimHei" w:cs="SimHei"/>
                <w:spacing w:val="-1"/>
                <w:sz w:val="15"/>
                <w:szCs w:val="15"/>
              </w:rPr>
              <w:t>行业分类</w:t>
            </w:r>
          </w:p>
        </w:tc>
        <w:tc>
          <w:tcPr>
            <w:tcW w:w="2552" w:type="dxa"/>
            <w:tcBorders>
              <w:top w:val="single" w:sz="10" w:space="0" w:color="000000"/>
            </w:tcBorders>
            <w:shd w:val="clear" w:color="auto" w:fill="D9D9D9"/>
            <w:vAlign w:val="top"/>
          </w:tcPr>
          <w:p>
            <w:pPr>
              <w:spacing w:before="60" w:line="222" w:lineRule="auto"/>
              <w:ind w:left="1127"/>
              <w:rPr>
                <w:rFonts w:ascii="SimHei" w:eastAsia="SimHei" w:hAnsi="SimHei" w:cs="SimHei"/>
                <w:sz w:val="15"/>
                <w:szCs w:val="15"/>
              </w:rPr>
            </w:pPr>
            <w:r>
              <w:rPr>
                <w:rFonts w:ascii="SimHei" w:eastAsia="SimHei" w:hAnsi="SimHei" w:cs="SimHei"/>
                <w:spacing w:val="-1"/>
                <w:sz w:val="15"/>
                <w:szCs w:val="15"/>
              </w:rPr>
              <w:t>定义</w:t>
            </w:r>
          </w:p>
        </w:tc>
        <w:tc>
          <w:tcPr>
            <w:tcW w:w="2227" w:type="dxa"/>
            <w:tcBorders>
              <w:top w:val="single" w:sz="10" w:space="0" w:color="000000"/>
            </w:tcBorders>
            <w:shd w:val="clear" w:color="auto" w:fill="D9D9D9"/>
            <w:vAlign w:val="top"/>
          </w:tcPr>
          <w:p>
            <w:pPr>
              <w:spacing w:before="61" w:line="221" w:lineRule="auto"/>
              <w:ind w:left="668"/>
              <w:rPr>
                <w:rFonts w:ascii="SimHei" w:eastAsia="SimHei" w:hAnsi="SimHei" w:cs="SimHei"/>
                <w:sz w:val="15"/>
                <w:szCs w:val="15"/>
              </w:rPr>
            </w:pPr>
            <w:r>
              <w:rPr>
                <w:rFonts w:ascii="SimHei" w:eastAsia="SimHei" w:hAnsi="SimHei" w:cs="SimHei"/>
                <w:spacing w:val="-1"/>
                <w:sz w:val="15"/>
                <w:szCs w:val="15"/>
              </w:rPr>
              <w:t>主要应用领域</w:t>
            </w:r>
          </w:p>
        </w:tc>
        <w:tc>
          <w:tcPr>
            <w:tcW w:w="2025" w:type="dxa"/>
            <w:tcBorders>
              <w:top w:val="single" w:sz="10" w:space="0" w:color="000000"/>
            </w:tcBorders>
            <w:shd w:val="clear" w:color="auto" w:fill="D9D9D9"/>
            <w:vAlign w:val="top"/>
          </w:tcPr>
          <w:p>
            <w:pPr>
              <w:spacing w:before="61" w:line="220" w:lineRule="auto"/>
              <w:ind w:left="716"/>
              <w:rPr>
                <w:rFonts w:ascii="SimHei" w:eastAsia="SimHei" w:hAnsi="SimHei" w:cs="SimHei"/>
                <w:sz w:val="15"/>
                <w:szCs w:val="15"/>
              </w:rPr>
            </w:pPr>
            <w:r>
              <w:rPr>
                <w:rFonts w:ascii="SimHei" w:eastAsia="SimHei" w:hAnsi="SimHei" w:cs="SimHei"/>
                <w:spacing w:val="-1"/>
                <w:sz w:val="15"/>
                <w:szCs w:val="15"/>
              </w:rPr>
              <w:t>行业范围</w:t>
            </w:r>
          </w:p>
        </w:tc>
        <w:tc>
          <w:tcPr>
            <w:tcW w:w="1700" w:type="dxa"/>
            <w:tcBorders>
              <w:top w:val="single" w:sz="10" w:space="0" w:color="000000"/>
              <w:right w:val="nil"/>
            </w:tcBorders>
            <w:shd w:val="clear" w:color="auto" w:fill="D9D9D9"/>
            <w:vAlign w:val="top"/>
          </w:tcPr>
          <w:p>
            <w:pPr>
              <w:spacing w:before="61" w:line="221" w:lineRule="auto"/>
              <w:ind w:left="477"/>
              <w:rPr>
                <w:rFonts w:ascii="SimHei" w:eastAsia="SimHei" w:hAnsi="SimHei" w:cs="SimHei"/>
                <w:sz w:val="15"/>
                <w:szCs w:val="15"/>
              </w:rPr>
            </w:pPr>
            <w:r>
              <w:rPr>
                <w:rFonts w:ascii="SimHei" w:eastAsia="SimHei" w:hAnsi="SimHei" w:cs="SimHei"/>
                <w:spacing w:val="-1"/>
                <w:sz w:val="15"/>
                <w:szCs w:val="15"/>
              </w:rPr>
              <w:t>代表性企业</w:t>
            </w:r>
          </w:p>
        </w:tc>
      </w:tr>
      <w:tr>
        <w:tblPrEx>
          <w:tblW w:w="9654" w:type="dxa"/>
          <w:tblInd w:w="14" w:type="dxa"/>
          <w:tblLayout w:type="fixed"/>
        </w:tblPrEx>
        <w:trPr>
          <w:trHeight w:val="1245"/>
        </w:trPr>
        <w:tc>
          <w:tcPr>
            <w:tcW w:w="1150" w:type="dxa"/>
            <w:tcBorders>
              <w:left w:val="nil"/>
            </w:tcBorders>
            <w:vAlign w:val="top"/>
          </w:tcPr>
          <w:p>
            <w:pPr>
              <w:spacing w:line="251" w:lineRule="auto"/>
              <w:rPr>
                <w:rFonts w:ascii="Arial"/>
                <w:sz w:val="21"/>
              </w:rPr>
            </w:pPr>
          </w:p>
          <w:p>
            <w:pPr>
              <w:spacing w:line="252" w:lineRule="auto"/>
              <w:rPr>
                <w:rFonts w:ascii="Arial"/>
                <w:sz w:val="21"/>
              </w:rPr>
            </w:pPr>
          </w:p>
          <w:p>
            <w:pPr>
              <w:pStyle w:val="TableText"/>
              <w:spacing w:before="49" w:line="220" w:lineRule="auto"/>
              <w:ind w:left="288"/>
            </w:pPr>
            <w:r>
              <w:rPr>
                <w:spacing w:val="-2"/>
              </w:rPr>
              <w:t>工业机械</w:t>
            </w:r>
          </w:p>
        </w:tc>
        <w:tc>
          <w:tcPr>
            <w:tcW w:w="2552" w:type="dxa"/>
            <w:vAlign w:val="top"/>
          </w:tcPr>
          <w:p>
            <w:pPr>
              <w:spacing w:line="376" w:lineRule="auto"/>
              <w:rPr>
                <w:rFonts w:ascii="Arial"/>
                <w:sz w:val="21"/>
              </w:rPr>
            </w:pPr>
          </w:p>
          <w:p>
            <w:pPr>
              <w:pStyle w:val="TableText"/>
              <w:spacing w:before="49" w:line="260" w:lineRule="auto"/>
              <w:ind w:left="123" w:right="104" w:hanging="10"/>
            </w:pPr>
            <w:r>
              <w:rPr>
                <w:spacing w:val="-5"/>
              </w:rPr>
              <w:t>工业机械指用于制造、加工和运输物</w:t>
            </w:r>
            <w:r>
              <w:rPr>
                <w:spacing w:val="8"/>
              </w:rPr>
              <w:t xml:space="preserve"> </w:t>
            </w:r>
            <w:r>
              <w:rPr>
                <w:spacing w:val="-3"/>
              </w:rPr>
              <w:t>品的设备和技术装备的总称。</w:t>
            </w:r>
          </w:p>
        </w:tc>
        <w:tc>
          <w:tcPr>
            <w:tcW w:w="2227" w:type="dxa"/>
            <w:vAlign w:val="top"/>
          </w:tcPr>
          <w:p>
            <w:pPr>
              <w:pStyle w:val="TableText"/>
              <w:spacing w:before="181" w:line="280" w:lineRule="auto"/>
              <w:ind w:left="110" w:right="103" w:firstLine="2"/>
              <w:jc w:val="both"/>
            </w:pPr>
            <w:r>
              <w:rPr>
                <w:spacing w:val="4"/>
              </w:rPr>
              <w:t>工业生产和制造领域，包括各</w:t>
            </w:r>
            <w:r>
              <w:rPr>
                <w:spacing w:val="1"/>
              </w:rPr>
              <w:t xml:space="preserve"> </w:t>
            </w:r>
            <w:r>
              <w:rPr>
                <w:spacing w:val="1"/>
              </w:rPr>
              <w:t>类设备和车间工具，</w:t>
            </w:r>
            <w:r>
              <w:rPr>
                <w:spacing w:val="-33"/>
              </w:rPr>
              <w:t xml:space="preserve"> </w:t>
            </w:r>
            <w:r>
              <w:rPr>
                <w:spacing w:val="1"/>
              </w:rPr>
              <w:t>以及输送</w:t>
            </w:r>
            <w:r>
              <w:t xml:space="preserve"> </w:t>
            </w:r>
            <w:r>
              <w:rPr>
                <w:spacing w:val="-7"/>
              </w:rPr>
              <w:t>设备、定向设备、机器人、特种</w:t>
            </w:r>
            <w:r>
              <w:rPr>
                <w:spacing w:val="5"/>
              </w:rPr>
              <w:t xml:space="preserve"> </w:t>
            </w:r>
            <w:r>
              <w:rPr>
                <w:spacing w:val="-2"/>
              </w:rPr>
              <w:t>机械和灵活制造系统等。</w:t>
            </w:r>
          </w:p>
        </w:tc>
        <w:tc>
          <w:tcPr>
            <w:tcW w:w="2025" w:type="dxa"/>
            <w:vAlign w:val="top"/>
          </w:tcPr>
          <w:p>
            <w:pPr>
              <w:pStyle w:val="TableText"/>
              <w:spacing w:before="64" w:line="283" w:lineRule="auto"/>
              <w:ind w:left="112" w:right="102" w:firstLine="1"/>
            </w:pPr>
            <w:r>
              <w:rPr>
                <w:spacing w:val="-2"/>
              </w:rPr>
              <w:t>制造冲床、机床、压缩机、</w:t>
            </w:r>
            <w:r>
              <w:rPr>
                <w:spacing w:val="3"/>
              </w:rPr>
              <w:t xml:space="preserve"> </w:t>
            </w:r>
            <w:r>
              <w:t>污染控制设备、电梯、电动</w:t>
            </w:r>
            <w:r>
              <w:rPr>
                <w:spacing w:val="3"/>
              </w:rPr>
              <w:t xml:space="preserve"> </w:t>
            </w:r>
            <w:r>
              <w:t>扶梯、绝缘器、泵、滚柱轴</w:t>
            </w:r>
            <w:r>
              <w:rPr>
                <w:spacing w:val="3"/>
              </w:rPr>
              <w:t xml:space="preserve"> </w:t>
            </w:r>
            <w:r>
              <w:t>承以及其余金属预制件的相</w:t>
            </w:r>
            <w:r>
              <w:rPr>
                <w:spacing w:val="3"/>
              </w:rPr>
              <w:t xml:space="preserve"> </w:t>
            </w:r>
            <w:r>
              <w:rPr>
                <w:spacing w:val="-2"/>
              </w:rPr>
              <w:t>关设备及零部件等。</w:t>
            </w:r>
          </w:p>
        </w:tc>
        <w:tc>
          <w:tcPr>
            <w:tcW w:w="1700" w:type="dxa"/>
            <w:tcBorders>
              <w:right w:val="nil"/>
            </w:tcBorders>
            <w:vAlign w:val="top"/>
          </w:tcPr>
          <w:p>
            <w:pPr>
              <w:spacing w:line="377" w:lineRule="auto"/>
              <w:rPr>
                <w:rFonts w:ascii="Arial"/>
                <w:sz w:val="21"/>
              </w:rPr>
            </w:pPr>
          </w:p>
          <w:p>
            <w:pPr>
              <w:pStyle w:val="TableText"/>
              <w:spacing w:before="49" w:line="259" w:lineRule="auto"/>
              <w:ind w:left="113" w:right="111" w:firstLine="13"/>
            </w:pPr>
            <w:r>
              <w:rPr>
                <w:spacing w:val="-5"/>
              </w:rPr>
              <w:t>中国一重、振华重工、</w:t>
            </w:r>
            <w:r>
              <w:rPr>
                <w:spacing w:val="8"/>
              </w:rPr>
              <w:t xml:space="preserve"> </w:t>
            </w:r>
            <w:r>
              <w:rPr>
                <w:spacing w:val="-1"/>
              </w:rPr>
              <w:t>上海机电、中信重工</w:t>
            </w:r>
          </w:p>
        </w:tc>
      </w:tr>
      <w:tr>
        <w:tblPrEx>
          <w:tblW w:w="9654" w:type="dxa"/>
          <w:tblInd w:w="14" w:type="dxa"/>
          <w:tblLayout w:type="fixed"/>
        </w:tblPrEx>
        <w:trPr>
          <w:trHeight w:val="1029"/>
        </w:trPr>
        <w:tc>
          <w:tcPr>
            <w:tcW w:w="1150" w:type="dxa"/>
            <w:tcBorders>
              <w:left w:val="nil"/>
              <w:bottom w:val="single" w:sz="10" w:space="0" w:color="000000"/>
            </w:tcBorders>
            <w:vAlign w:val="top"/>
          </w:tcPr>
          <w:p>
            <w:pPr>
              <w:spacing w:line="266" w:lineRule="auto"/>
              <w:rPr>
                <w:rFonts w:ascii="Arial"/>
                <w:sz w:val="21"/>
              </w:rPr>
            </w:pPr>
          </w:p>
          <w:p>
            <w:pPr>
              <w:pStyle w:val="TableText"/>
              <w:spacing w:before="49" w:line="260" w:lineRule="auto"/>
              <w:ind w:left="365" w:right="115" w:hanging="228"/>
            </w:pPr>
            <w:r>
              <w:rPr>
                <w:spacing w:val="-1"/>
              </w:rPr>
              <w:t>建筑机械及重</w:t>
            </w:r>
            <w:r>
              <w:t xml:space="preserve"> </w:t>
            </w:r>
            <w:r>
              <w:rPr>
                <w:spacing w:val="-2"/>
              </w:rPr>
              <w:t>型卡车</w:t>
            </w:r>
          </w:p>
        </w:tc>
        <w:tc>
          <w:tcPr>
            <w:tcW w:w="2552" w:type="dxa"/>
            <w:tcBorders>
              <w:bottom w:val="single" w:sz="10" w:space="0" w:color="000000"/>
            </w:tcBorders>
            <w:vAlign w:val="top"/>
          </w:tcPr>
          <w:p>
            <w:pPr>
              <w:pStyle w:val="TableText"/>
              <w:spacing w:before="71" w:line="280" w:lineRule="auto"/>
              <w:ind w:left="110" w:right="61" w:firstLine="2"/>
              <w:jc w:val="both"/>
            </w:pPr>
            <w:r>
              <w:rPr>
                <w:spacing w:val="-2"/>
              </w:rPr>
              <w:t>建筑机械及重型卡车指为城乡建设、</w:t>
            </w:r>
            <w:r>
              <w:rPr>
                <w:spacing w:val="3"/>
              </w:rPr>
              <w:t xml:space="preserve"> </w:t>
            </w:r>
            <w:r>
              <w:rPr>
                <w:spacing w:val="-2"/>
              </w:rPr>
              <w:t>铁路、公路、港口码头、农田水利、</w:t>
            </w:r>
            <w:r>
              <w:rPr>
                <w:spacing w:val="5"/>
              </w:rPr>
              <w:t xml:space="preserve"> </w:t>
            </w:r>
            <w:r>
              <w:rPr>
                <w:spacing w:val="-5"/>
              </w:rPr>
              <w:t xml:space="preserve">电力、冶金、矿山等各项基本建设工 </w:t>
            </w:r>
            <w:r>
              <w:rPr>
                <w:spacing w:val="-1"/>
              </w:rPr>
              <w:t>程服务的机械和运输设备。</w:t>
            </w:r>
          </w:p>
        </w:tc>
        <w:tc>
          <w:tcPr>
            <w:tcW w:w="2227" w:type="dxa"/>
            <w:tcBorders>
              <w:bottom w:val="single" w:sz="10" w:space="0" w:color="000000"/>
            </w:tcBorders>
            <w:vAlign w:val="top"/>
          </w:tcPr>
          <w:p>
            <w:pPr>
              <w:spacing w:line="266" w:lineRule="auto"/>
              <w:rPr>
                <w:rFonts w:ascii="Arial"/>
                <w:sz w:val="21"/>
              </w:rPr>
            </w:pPr>
          </w:p>
          <w:p>
            <w:pPr>
              <w:pStyle w:val="TableText"/>
              <w:spacing w:before="49" w:line="260" w:lineRule="auto"/>
              <w:ind w:left="111" w:right="103"/>
            </w:pPr>
            <w:r>
              <w:rPr>
                <w:spacing w:val="-7"/>
              </w:rPr>
              <w:t>基础设施建设、铁路、公路、房</w:t>
            </w:r>
            <w:r>
              <w:rPr>
                <w:spacing w:val="4"/>
              </w:rPr>
              <w:t xml:space="preserve"> </w:t>
            </w:r>
            <w:r>
              <w:rPr>
                <w:spacing w:val="-1"/>
              </w:rPr>
              <w:t>地产、建筑等领域</w:t>
            </w:r>
          </w:p>
        </w:tc>
        <w:tc>
          <w:tcPr>
            <w:tcW w:w="2025" w:type="dxa"/>
            <w:tcBorders>
              <w:bottom w:val="single" w:sz="10" w:space="0" w:color="000000"/>
            </w:tcBorders>
            <w:vAlign w:val="top"/>
          </w:tcPr>
          <w:p>
            <w:pPr>
              <w:pStyle w:val="TableText"/>
              <w:spacing w:before="196" w:line="273" w:lineRule="auto"/>
              <w:ind w:left="113" w:right="50" w:firstLine="1"/>
              <w:jc w:val="both"/>
            </w:pPr>
            <w:r>
              <w:rPr>
                <w:spacing w:val="-1"/>
              </w:rPr>
              <w:t xml:space="preserve">重型卡车、转动机械、土方 </w:t>
            </w:r>
            <w:r>
              <w:rPr>
                <w:spacing w:val="12"/>
              </w:rPr>
              <w:t xml:space="preserve">与建筑机械以及有关零部 </w:t>
            </w:r>
            <w:r>
              <w:rPr>
                <w:spacing w:val="-8"/>
              </w:rPr>
              <w:t>件，非军事造船、轨交设备。</w:t>
            </w:r>
          </w:p>
        </w:tc>
        <w:tc>
          <w:tcPr>
            <w:tcW w:w="1700" w:type="dxa"/>
            <w:tcBorders>
              <w:bottom w:val="single" w:sz="10" w:space="0" w:color="000000"/>
              <w:right w:val="nil"/>
            </w:tcBorders>
            <w:vAlign w:val="top"/>
          </w:tcPr>
          <w:p>
            <w:pPr>
              <w:pStyle w:val="TableText"/>
              <w:spacing w:before="194" w:line="274" w:lineRule="auto"/>
              <w:ind w:left="126" w:right="111" w:hanging="14"/>
              <w:jc w:val="both"/>
            </w:pPr>
            <w:r>
              <w:rPr>
                <w:spacing w:val="-3"/>
              </w:rPr>
              <w:t>三一重工、徐工集团、</w:t>
            </w:r>
            <w:r>
              <w:rPr>
                <w:spacing w:val="2"/>
              </w:rPr>
              <w:t xml:space="preserve"> </w:t>
            </w:r>
            <w:r>
              <w:rPr>
                <w:spacing w:val="-5"/>
              </w:rPr>
              <w:t>中国中车、中国重汽、</w:t>
            </w:r>
            <w:r>
              <w:rPr>
                <w:spacing w:val="8"/>
              </w:rPr>
              <w:t xml:space="preserve"> </w:t>
            </w:r>
            <w:r>
              <w:rPr>
                <w:spacing w:val="-3"/>
              </w:rPr>
              <w:t>中国船舶工业</w:t>
            </w:r>
          </w:p>
        </w:tc>
      </w:tr>
    </w:tbl>
    <w:p>
      <w:pPr>
        <w:spacing w:before="81" w:line="221" w:lineRule="auto"/>
        <w:ind w:left="341"/>
        <w:rPr>
          <w:rFonts w:ascii="SimSun" w:eastAsia="SimSun" w:hAnsi="SimSun" w:cs="SimSun"/>
          <w:sz w:val="15"/>
          <w:szCs w:val="15"/>
        </w:rPr>
      </w:pPr>
      <w:r>
        <w:rPr>
          <w:rFonts w:ascii="SimSun" w:eastAsia="SimSun" w:hAnsi="SimSun" w:cs="SimSun"/>
          <w:spacing w:val="-6"/>
          <w:sz w:val="15"/>
          <w:szCs w:val="15"/>
        </w:rPr>
        <w:t>资料来源：</w:t>
      </w:r>
      <w:r>
        <w:rPr>
          <w:rFonts w:ascii="SimSun" w:eastAsia="SimSun" w:hAnsi="SimSun" w:cs="SimSun"/>
          <w:spacing w:val="-13"/>
          <w:sz w:val="15"/>
          <w:szCs w:val="15"/>
        </w:rPr>
        <w:t xml:space="preserve"> </w:t>
      </w:r>
      <w:r>
        <w:rPr>
          <w:rFonts w:ascii="SimSun" w:eastAsia="SimSun" w:hAnsi="SimSun" w:cs="SimSun"/>
          <w:spacing w:val="-6"/>
          <w:sz w:val="15"/>
          <w:szCs w:val="15"/>
        </w:rPr>
        <w:t>新世纪评级整理</w:t>
      </w:r>
    </w:p>
    <w:p>
      <w:pPr>
        <w:spacing w:before="290" w:line="278" w:lineRule="auto"/>
        <w:ind w:left="36" w:right="66" w:hanging="1"/>
        <w:jc w:val="both"/>
        <w:rPr>
          <w:rFonts w:ascii="SimHei" w:eastAsia="SimHei" w:hAnsi="SimHei" w:cs="SimHei"/>
          <w:sz w:val="21"/>
          <w:szCs w:val="21"/>
        </w:rPr>
      </w:pPr>
      <w:r>
        <w:rPr>
          <w:rFonts w:ascii="SimHei" w:eastAsia="SimHei" w:hAnsi="SimHei" w:cs="SimHei"/>
          <w:spacing w:val="-4"/>
          <w:sz w:val="21"/>
          <w:szCs w:val="21"/>
        </w:rPr>
        <w:t>机械行业主要依赖于下游的资本性开支，</w:t>
      </w:r>
      <w:r>
        <w:rPr>
          <w:rFonts w:ascii="SimHei" w:eastAsia="SimHei" w:hAnsi="SimHei" w:cs="SimHei"/>
          <w:spacing w:val="-53"/>
          <w:sz w:val="21"/>
          <w:szCs w:val="21"/>
        </w:rPr>
        <w:t xml:space="preserve"> </w:t>
      </w:r>
      <w:r>
        <w:rPr>
          <w:rFonts w:ascii="Times New Roman" w:eastAsia="Times New Roman" w:hAnsi="Times New Roman" w:cs="Times New Roman"/>
          <w:spacing w:val="-4"/>
          <w:sz w:val="21"/>
          <w:szCs w:val="21"/>
        </w:rPr>
        <w:t xml:space="preserve">2022 </w:t>
      </w:r>
      <w:r>
        <w:rPr>
          <w:rFonts w:ascii="SimHei" w:eastAsia="SimHei" w:hAnsi="SimHei" w:cs="SimHei"/>
          <w:spacing w:val="-4"/>
          <w:sz w:val="21"/>
          <w:szCs w:val="21"/>
        </w:rPr>
        <w:t>年以来我国房地产开发投资增速持续较快下滑，</w:t>
      </w:r>
      <w:r>
        <w:rPr>
          <w:rFonts w:ascii="SimHei" w:eastAsia="SimHei" w:hAnsi="SimHei" w:cs="SimHei"/>
          <w:spacing w:val="-37"/>
          <w:sz w:val="21"/>
          <w:szCs w:val="21"/>
        </w:rPr>
        <w:t xml:space="preserve"> </w:t>
      </w:r>
      <w:r>
        <w:rPr>
          <w:rFonts w:ascii="SimHei" w:eastAsia="SimHei" w:hAnsi="SimHei" w:cs="SimHei"/>
          <w:spacing w:val="-4"/>
          <w:sz w:val="21"/>
          <w:szCs w:val="21"/>
        </w:rPr>
        <w:t>在基础设施</w:t>
      </w:r>
      <w:r>
        <w:rPr>
          <w:rFonts w:ascii="SimHei" w:eastAsia="SimHei" w:hAnsi="SimHei" w:cs="SimHei"/>
          <w:sz w:val="21"/>
          <w:szCs w:val="21"/>
        </w:rPr>
        <w:t xml:space="preserve"> </w:t>
      </w:r>
      <w:r>
        <w:rPr>
          <w:rFonts w:ascii="SimHei" w:eastAsia="SimHei" w:hAnsi="SimHei" w:cs="SimHei"/>
          <w:spacing w:val="-2"/>
          <w:sz w:val="21"/>
          <w:szCs w:val="21"/>
        </w:rPr>
        <w:t>建设投资和高技术制造业投资支撑下，全国固定资产投资仍保持增长，</w:t>
      </w:r>
      <w:r>
        <w:rPr>
          <w:rFonts w:ascii="SimHei" w:eastAsia="SimHei" w:hAnsi="SimHei" w:cs="SimHei"/>
          <w:spacing w:val="-32"/>
          <w:sz w:val="21"/>
          <w:szCs w:val="21"/>
        </w:rPr>
        <w:t xml:space="preserve"> </w:t>
      </w:r>
      <w:r>
        <w:rPr>
          <w:rFonts w:ascii="SimHei" w:eastAsia="SimHei" w:hAnsi="SimHei" w:cs="SimHei"/>
          <w:spacing w:val="-2"/>
          <w:sz w:val="21"/>
          <w:szCs w:val="21"/>
        </w:rPr>
        <w:t>机械行业整体稳定运</w:t>
      </w:r>
      <w:r>
        <w:rPr>
          <w:rFonts w:ascii="SimHei" w:eastAsia="SimHei" w:hAnsi="SimHei" w:cs="SimHei"/>
          <w:spacing w:val="-3"/>
          <w:sz w:val="21"/>
          <w:szCs w:val="21"/>
        </w:rPr>
        <w:t>行。但是机械</w:t>
      </w:r>
      <w:r>
        <w:rPr>
          <w:rFonts w:ascii="SimHei" w:eastAsia="SimHei" w:hAnsi="SimHei" w:cs="SimHei"/>
          <w:sz w:val="21"/>
          <w:szCs w:val="21"/>
        </w:rPr>
        <w:t xml:space="preserve"> </w:t>
      </w:r>
      <w:r>
        <w:rPr>
          <w:rFonts w:ascii="SimHei" w:eastAsia="SimHei" w:hAnsi="SimHei" w:cs="SimHei"/>
          <w:spacing w:val="-2"/>
          <w:sz w:val="21"/>
          <w:szCs w:val="21"/>
        </w:rPr>
        <w:t>细分行业表现分化，</w:t>
      </w:r>
      <w:r>
        <w:rPr>
          <w:rFonts w:ascii="SimHei" w:eastAsia="SimHei" w:hAnsi="SimHei" w:cs="SimHei"/>
          <w:spacing w:val="-32"/>
          <w:sz w:val="21"/>
          <w:szCs w:val="21"/>
        </w:rPr>
        <w:t xml:space="preserve"> </w:t>
      </w:r>
      <w:r>
        <w:rPr>
          <w:rFonts w:ascii="SimHei" w:eastAsia="SimHei" w:hAnsi="SimHei" w:cs="SimHei"/>
          <w:spacing w:val="-2"/>
          <w:sz w:val="21"/>
          <w:szCs w:val="21"/>
        </w:rPr>
        <w:t>其中战略性新兴产业对机械行业增长拉动作用显著，此外在技术创新带</w:t>
      </w:r>
      <w:r>
        <w:rPr>
          <w:rFonts w:ascii="SimHei" w:eastAsia="SimHei" w:hAnsi="SimHei" w:cs="SimHei"/>
          <w:spacing w:val="-3"/>
          <w:sz w:val="21"/>
          <w:szCs w:val="21"/>
        </w:rPr>
        <w:t>动产品结构优</w:t>
      </w:r>
      <w:r>
        <w:rPr>
          <w:rFonts w:ascii="SimHei" w:eastAsia="SimHei" w:hAnsi="SimHei" w:cs="SimHei"/>
          <w:sz w:val="21"/>
          <w:szCs w:val="21"/>
        </w:rPr>
        <w:t xml:space="preserve"> </w:t>
      </w:r>
      <w:r>
        <w:rPr>
          <w:rFonts w:ascii="SimHei" w:eastAsia="SimHei" w:hAnsi="SimHei" w:cs="SimHei"/>
          <w:sz w:val="21"/>
          <w:szCs w:val="21"/>
        </w:rPr>
        <w:t>化及原材料价格波动影响减弱情形下，行业整体经济效益有所</w:t>
      </w:r>
      <w:r>
        <w:rPr>
          <w:rFonts w:ascii="SimHei" w:eastAsia="SimHei" w:hAnsi="SimHei" w:cs="SimHei"/>
          <w:spacing w:val="-1"/>
          <w:sz w:val="21"/>
          <w:szCs w:val="21"/>
        </w:rPr>
        <w:t>提升。</w:t>
      </w:r>
    </w:p>
    <w:p>
      <w:pPr>
        <w:spacing w:before="223" w:line="291" w:lineRule="auto"/>
        <w:ind w:left="36" w:right="66"/>
        <w:rPr>
          <w:rFonts w:ascii="SimSun" w:eastAsia="SimSun" w:hAnsi="SimSun" w:cs="SimSun"/>
          <w:sz w:val="21"/>
          <w:szCs w:val="21"/>
        </w:rPr>
      </w:pPr>
      <w:r>
        <w:rPr>
          <w:rFonts w:ascii="SimSun" w:eastAsia="SimSun" w:hAnsi="SimSun" w:cs="SimSun"/>
          <w:spacing w:val="-1"/>
          <w:sz w:val="21"/>
          <w:szCs w:val="21"/>
        </w:rPr>
        <w:t>机械行业主要为其他行业提供技术装备，因此需求高度依赖于下游的资本性开支，其中</w:t>
      </w:r>
      <w:r>
        <w:rPr>
          <w:rFonts w:ascii="SimSun" w:eastAsia="SimSun" w:hAnsi="SimSun" w:cs="SimSun"/>
          <w:spacing w:val="-44"/>
          <w:sz w:val="21"/>
          <w:szCs w:val="21"/>
        </w:rPr>
        <w:t xml:space="preserve"> </w:t>
      </w:r>
      <w:r>
        <w:rPr>
          <w:rFonts w:ascii="Times New Roman" w:eastAsia="Times New Roman" w:hAnsi="Times New Roman" w:cs="Times New Roman"/>
          <w:spacing w:val="-1"/>
          <w:sz w:val="21"/>
          <w:szCs w:val="21"/>
        </w:rPr>
        <w:t>70%</w:t>
      </w:r>
      <w:r>
        <w:rPr>
          <w:rFonts w:ascii="SimSun" w:eastAsia="SimSun" w:hAnsi="SimSun" w:cs="SimSun"/>
          <w:spacing w:val="-1"/>
          <w:sz w:val="21"/>
          <w:szCs w:val="21"/>
        </w:rPr>
        <w:t>以上的需</w:t>
      </w:r>
      <w:r>
        <w:rPr>
          <w:rFonts w:ascii="SimSun" w:eastAsia="SimSun" w:hAnsi="SimSun" w:cs="SimSun"/>
          <w:spacing w:val="-2"/>
          <w:sz w:val="21"/>
          <w:szCs w:val="21"/>
        </w:rPr>
        <w:t>求来</w:t>
      </w:r>
      <w:r>
        <w:rPr>
          <w:rFonts w:ascii="SimSun" w:eastAsia="SimSun" w:hAnsi="SimSun" w:cs="SimSun"/>
          <w:sz w:val="21"/>
          <w:szCs w:val="21"/>
        </w:rPr>
        <w:t xml:space="preserve"> </w:t>
      </w:r>
      <w:r>
        <w:rPr>
          <w:rFonts w:ascii="SimSun" w:eastAsia="SimSun" w:hAnsi="SimSun" w:cs="SimSun"/>
          <w:spacing w:val="-2"/>
          <w:sz w:val="21"/>
          <w:szCs w:val="21"/>
        </w:rPr>
        <w:t>自基础设施建设和其他行业新上或更新改造设备投资。根据国家统计局数据，</w:t>
      </w:r>
      <w:r>
        <w:rPr>
          <w:rFonts w:ascii="Times New Roman" w:eastAsia="Times New Roman" w:hAnsi="Times New Roman" w:cs="Times New Roman"/>
          <w:spacing w:val="-2"/>
          <w:sz w:val="21"/>
          <w:szCs w:val="21"/>
        </w:rPr>
        <w:t xml:space="preserve">2022 </w:t>
      </w:r>
      <w:r>
        <w:rPr>
          <w:rFonts w:ascii="SimSun" w:eastAsia="SimSun" w:hAnsi="SimSun" w:cs="SimSun"/>
          <w:spacing w:val="-2"/>
          <w:sz w:val="21"/>
          <w:szCs w:val="21"/>
        </w:rPr>
        <w:t>年我国全年固定资产投</w:t>
      </w:r>
      <w:r>
        <w:rPr>
          <w:rFonts w:ascii="SimSun" w:eastAsia="SimSun" w:hAnsi="SimSun" w:cs="SimSun"/>
          <w:spacing w:val="18"/>
          <w:sz w:val="21"/>
          <w:szCs w:val="21"/>
        </w:rPr>
        <w:t xml:space="preserve"> </w:t>
      </w:r>
      <w:r>
        <w:rPr>
          <w:rFonts w:ascii="SimSun" w:eastAsia="SimSun" w:hAnsi="SimSun" w:cs="SimSun"/>
          <w:spacing w:val="-5"/>
          <w:sz w:val="21"/>
          <w:szCs w:val="21"/>
        </w:rPr>
        <w:t>资（不含农户）</w:t>
      </w:r>
      <w:r>
        <w:rPr>
          <w:rFonts w:ascii="SimSun" w:eastAsia="SimSun" w:hAnsi="SimSun" w:cs="SimSun"/>
          <w:spacing w:val="-40"/>
          <w:sz w:val="21"/>
          <w:szCs w:val="21"/>
        </w:rPr>
        <w:t xml:space="preserve"> </w:t>
      </w:r>
      <w:r>
        <w:rPr>
          <w:rFonts w:ascii="Times New Roman" w:eastAsia="Times New Roman" w:hAnsi="Times New Roman" w:cs="Times New Roman"/>
          <w:spacing w:val="-5"/>
          <w:sz w:val="21"/>
          <w:szCs w:val="21"/>
        </w:rPr>
        <w:t>57.21</w:t>
      </w:r>
      <w:r>
        <w:rPr>
          <w:rFonts w:ascii="Times New Roman" w:eastAsia="Times New Roman" w:hAnsi="Times New Roman" w:cs="Times New Roman"/>
          <w:spacing w:val="14"/>
          <w:sz w:val="21"/>
          <w:szCs w:val="21"/>
        </w:rPr>
        <w:t xml:space="preserve"> </w:t>
      </w:r>
      <w:r>
        <w:rPr>
          <w:rFonts w:ascii="SimSun" w:eastAsia="SimSun" w:hAnsi="SimSun" w:cs="SimSun"/>
          <w:spacing w:val="-5"/>
          <w:sz w:val="21"/>
          <w:szCs w:val="21"/>
        </w:rPr>
        <w:t>万亿元， 比上年增长</w:t>
      </w:r>
      <w:r>
        <w:rPr>
          <w:rFonts w:ascii="SimSun" w:eastAsia="SimSun" w:hAnsi="SimSun" w:cs="SimSun"/>
          <w:spacing w:val="-42"/>
          <w:sz w:val="21"/>
          <w:szCs w:val="21"/>
        </w:rPr>
        <w:t xml:space="preserve"> </w:t>
      </w:r>
      <w:r>
        <w:rPr>
          <w:rFonts w:ascii="Times New Roman" w:eastAsia="Times New Roman" w:hAnsi="Times New Roman" w:cs="Times New Roman"/>
          <w:spacing w:val="-5"/>
          <w:sz w:val="21"/>
          <w:szCs w:val="21"/>
        </w:rPr>
        <w:t>5.1%</w:t>
      </w:r>
      <w:r>
        <w:rPr>
          <w:rFonts w:ascii="SimSun" w:eastAsia="SimSun" w:hAnsi="SimSun" w:cs="SimSun"/>
          <w:spacing w:val="-5"/>
          <w:sz w:val="21"/>
          <w:szCs w:val="21"/>
        </w:rPr>
        <w:t>，增速基本与上年持平。其中制造业投资增长</w:t>
      </w:r>
      <w:r>
        <w:rPr>
          <w:rFonts w:ascii="SimSun" w:eastAsia="SimSun" w:hAnsi="SimSun" w:cs="SimSun"/>
          <w:spacing w:val="-44"/>
          <w:sz w:val="21"/>
          <w:szCs w:val="21"/>
        </w:rPr>
        <w:t xml:space="preserve"> </w:t>
      </w:r>
      <w:r>
        <w:rPr>
          <w:rFonts w:ascii="Times New Roman" w:eastAsia="Times New Roman" w:hAnsi="Times New Roman" w:cs="Times New Roman"/>
          <w:spacing w:val="-5"/>
          <w:sz w:val="21"/>
          <w:szCs w:val="21"/>
        </w:rPr>
        <w:t>9.1%</w:t>
      </w:r>
      <w:r>
        <w:rPr>
          <w:rFonts w:ascii="SimSun" w:eastAsia="SimSun" w:hAnsi="SimSun" w:cs="SimSun"/>
          <w:spacing w:val="-5"/>
          <w:sz w:val="21"/>
          <w:szCs w:val="21"/>
        </w:rPr>
        <w:t>，增速</w:t>
      </w:r>
      <w:r>
        <w:rPr>
          <w:rFonts w:ascii="SimSun" w:eastAsia="SimSun" w:hAnsi="SimSun" w:cs="SimSun"/>
          <w:sz w:val="21"/>
          <w:szCs w:val="21"/>
        </w:rPr>
        <w:t xml:space="preserve"> </w:t>
      </w:r>
      <w:r>
        <w:rPr>
          <w:rFonts w:ascii="SimSun" w:eastAsia="SimSun" w:hAnsi="SimSun" w:cs="SimSun"/>
          <w:spacing w:val="-2"/>
          <w:sz w:val="21"/>
          <w:szCs w:val="21"/>
        </w:rPr>
        <w:t>较上年回落</w:t>
      </w:r>
      <w:r>
        <w:rPr>
          <w:rFonts w:ascii="SimSun" w:eastAsia="SimSun" w:hAnsi="SimSun" w:cs="SimSun"/>
          <w:spacing w:val="-35"/>
          <w:sz w:val="21"/>
          <w:szCs w:val="21"/>
        </w:rPr>
        <w:t xml:space="preserve"> </w:t>
      </w:r>
      <w:r>
        <w:rPr>
          <w:rFonts w:ascii="Times New Roman" w:eastAsia="Times New Roman" w:hAnsi="Times New Roman" w:cs="Times New Roman"/>
          <w:spacing w:val="-2"/>
          <w:sz w:val="21"/>
          <w:szCs w:val="21"/>
        </w:rPr>
        <w:t xml:space="preserve">4.4 </w:t>
      </w:r>
      <w:r>
        <w:rPr>
          <w:rFonts w:ascii="SimSun" w:eastAsia="SimSun" w:hAnsi="SimSun" w:cs="SimSun"/>
          <w:spacing w:val="-2"/>
          <w:sz w:val="21"/>
          <w:szCs w:val="21"/>
        </w:rPr>
        <w:t>个百分点；房地产开发投资较上年下降</w:t>
      </w:r>
      <w:r>
        <w:rPr>
          <w:rFonts w:ascii="SimSun" w:eastAsia="SimSun" w:hAnsi="SimSun" w:cs="SimSun"/>
          <w:spacing w:val="-27"/>
          <w:sz w:val="21"/>
          <w:szCs w:val="21"/>
        </w:rPr>
        <w:t xml:space="preserve"> </w:t>
      </w:r>
      <w:r>
        <w:rPr>
          <w:rFonts w:ascii="Times New Roman" w:eastAsia="Times New Roman" w:hAnsi="Times New Roman" w:cs="Times New Roman"/>
          <w:spacing w:val="-2"/>
          <w:sz w:val="21"/>
          <w:szCs w:val="21"/>
        </w:rPr>
        <w:t>10%</w:t>
      </w:r>
      <w:r>
        <w:rPr>
          <w:rFonts w:ascii="SimSun" w:eastAsia="SimSun" w:hAnsi="SimSun" w:cs="SimSun"/>
          <w:spacing w:val="-2"/>
          <w:sz w:val="21"/>
          <w:szCs w:val="21"/>
        </w:rPr>
        <w:t>，而基础设施投资</w:t>
      </w:r>
      <w:r>
        <w:rPr>
          <w:rFonts w:ascii="Times New Roman" w:eastAsia="Times New Roman" w:hAnsi="Times New Roman" w:cs="Times New Roman"/>
          <w:spacing w:val="-2"/>
          <w:position w:val="6"/>
          <w:sz w:val="13"/>
          <w:szCs w:val="13"/>
        </w:rPr>
        <w:t>1</w:t>
      </w:r>
      <w:r>
        <w:rPr>
          <w:rFonts w:ascii="SimSun" w:eastAsia="SimSun" w:hAnsi="SimSun" w:cs="SimSun"/>
          <w:spacing w:val="-2"/>
          <w:sz w:val="21"/>
          <w:szCs w:val="21"/>
        </w:rPr>
        <w:t>受稳增长政策影响同比增长</w:t>
      </w:r>
      <w:r>
        <w:rPr>
          <w:rFonts w:ascii="SimSun" w:eastAsia="SimSun" w:hAnsi="SimSun" w:cs="SimSun"/>
          <w:sz w:val="21"/>
          <w:szCs w:val="21"/>
        </w:rPr>
        <w:t xml:space="preserve"> </w:t>
      </w:r>
      <w:r>
        <w:rPr>
          <w:rFonts w:ascii="Times New Roman" w:eastAsia="Times New Roman" w:hAnsi="Times New Roman" w:cs="Times New Roman"/>
          <w:spacing w:val="-3"/>
          <w:sz w:val="21"/>
          <w:szCs w:val="21"/>
        </w:rPr>
        <w:t>9.4%</w:t>
      </w:r>
      <w:r>
        <w:rPr>
          <w:rFonts w:ascii="SimSun" w:eastAsia="SimSun" w:hAnsi="SimSun" w:cs="SimSun"/>
          <w:spacing w:val="-3"/>
          <w:sz w:val="21"/>
          <w:szCs w:val="21"/>
        </w:rPr>
        <w:t>，比上年提高</w:t>
      </w:r>
      <w:r>
        <w:rPr>
          <w:rFonts w:ascii="SimSun" w:eastAsia="SimSun" w:hAnsi="SimSun" w:cs="SimSun"/>
          <w:spacing w:val="-44"/>
          <w:sz w:val="21"/>
          <w:szCs w:val="21"/>
        </w:rPr>
        <w:t xml:space="preserve"> </w:t>
      </w:r>
      <w:r>
        <w:rPr>
          <w:rFonts w:ascii="Times New Roman" w:eastAsia="Times New Roman" w:hAnsi="Times New Roman" w:cs="Times New Roman"/>
          <w:spacing w:val="-3"/>
          <w:sz w:val="21"/>
          <w:szCs w:val="21"/>
        </w:rPr>
        <w:t xml:space="preserve">9.0 </w:t>
      </w:r>
      <w:r>
        <w:rPr>
          <w:rFonts w:ascii="SimSun" w:eastAsia="SimSun" w:hAnsi="SimSun" w:cs="SimSun"/>
          <w:spacing w:val="-3"/>
          <w:sz w:val="21"/>
          <w:szCs w:val="21"/>
        </w:rPr>
        <w:t>个百分点，是支撑固定资产投资增长的重要因素。</w:t>
      </w:r>
      <w:r>
        <w:rPr>
          <w:rFonts w:ascii="Times New Roman" w:eastAsia="Times New Roman" w:hAnsi="Times New Roman" w:cs="Times New Roman"/>
          <w:spacing w:val="-3"/>
          <w:sz w:val="21"/>
          <w:szCs w:val="21"/>
        </w:rPr>
        <w:t>2</w:t>
      </w:r>
      <w:r>
        <w:rPr>
          <w:rFonts w:ascii="Times New Roman" w:eastAsia="Times New Roman" w:hAnsi="Times New Roman" w:cs="Times New Roman"/>
          <w:spacing w:val="-4"/>
          <w:sz w:val="21"/>
          <w:szCs w:val="21"/>
        </w:rPr>
        <w:t xml:space="preserve">023 </w:t>
      </w:r>
      <w:r>
        <w:rPr>
          <w:rFonts w:ascii="SimSun" w:eastAsia="SimSun" w:hAnsi="SimSun" w:cs="SimSun"/>
          <w:spacing w:val="-4"/>
          <w:sz w:val="21"/>
          <w:szCs w:val="21"/>
        </w:rPr>
        <w:t>年</w:t>
      </w:r>
      <w:r>
        <w:rPr>
          <w:rFonts w:ascii="SimSun" w:eastAsia="SimSun" w:hAnsi="SimSun" w:cs="SimSun"/>
          <w:spacing w:val="-28"/>
          <w:sz w:val="21"/>
          <w:szCs w:val="21"/>
        </w:rPr>
        <w:t xml:space="preserve"> </w:t>
      </w:r>
      <w:r>
        <w:rPr>
          <w:rFonts w:ascii="Times New Roman" w:eastAsia="Times New Roman" w:hAnsi="Times New Roman" w:cs="Times New Roman"/>
          <w:spacing w:val="-4"/>
          <w:sz w:val="21"/>
          <w:szCs w:val="21"/>
        </w:rPr>
        <w:t>1-</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4"/>
          <w:sz w:val="21"/>
          <w:szCs w:val="21"/>
        </w:rPr>
        <w:t>10</w:t>
      </w:r>
      <w:r>
        <w:rPr>
          <w:rFonts w:ascii="Times New Roman" w:eastAsia="Times New Roman" w:hAnsi="Times New Roman" w:cs="Times New Roman"/>
          <w:spacing w:val="14"/>
          <w:sz w:val="21"/>
          <w:szCs w:val="21"/>
        </w:rPr>
        <w:t xml:space="preserve"> </w:t>
      </w:r>
      <w:r>
        <w:rPr>
          <w:rFonts w:ascii="SimSun" w:eastAsia="SimSun" w:hAnsi="SimSun" w:cs="SimSun"/>
          <w:spacing w:val="-4"/>
          <w:sz w:val="21"/>
          <w:szCs w:val="21"/>
        </w:rPr>
        <w:t>月，我国固定资产投</w:t>
      </w:r>
      <w:r>
        <w:rPr>
          <w:rFonts w:ascii="SimSun" w:eastAsia="SimSun" w:hAnsi="SimSun" w:cs="SimSun"/>
          <w:sz w:val="21"/>
          <w:szCs w:val="21"/>
        </w:rPr>
        <w:t xml:space="preserve"> </w:t>
      </w:r>
      <w:r>
        <w:rPr>
          <w:rFonts w:ascii="SimSun" w:eastAsia="SimSun" w:hAnsi="SimSun" w:cs="SimSun"/>
          <w:spacing w:val="-2"/>
          <w:sz w:val="21"/>
          <w:szCs w:val="21"/>
        </w:rPr>
        <w:t>资（不含农户）</w:t>
      </w:r>
      <w:r>
        <w:rPr>
          <w:rFonts w:ascii="SimSun" w:eastAsia="SimSun" w:hAnsi="SimSun" w:cs="SimSun"/>
          <w:spacing w:val="-28"/>
          <w:sz w:val="21"/>
          <w:szCs w:val="21"/>
        </w:rPr>
        <w:t xml:space="preserve"> </w:t>
      </w:r>
      <w:r>
        <w:rPr>
          <w:rFonts w:ascii="Times New Roman" w:eastAsia="Times New Roman" w:hAnsi="Times New Roman" w:cs="Times New Roman"/>
          <w:spacing w:val="-2"/>
          <w:sz w:val="21"/>
          <w:szCs w:val="21"/>
        </w:rPr>
        <w:t>41.94</w:t>
      </w:r>
      <w:r>
        <w:rPr>
          <w:rFonts w:ascii="Times New Roman" w:eastAsia="Times New Roman" w:hAnsi="Times New Roman" w:cs="Times New Roman"/>
          <w:spacing w:val="21"/>
          <w:w w:val="101"/>
          <w:sz w:val="21"/>
          <w:szCs w:val="21"/>
        </w:rPr>
        <w:t xml:space="preserve"> </w:t>
      </w:r>
      <w:r>
        <w:rPr>
          <w:rFonts w:ascii="SimSun" w:eastAsia="SimSun" w:hAnsi="SimSun" w:cs="SimSun"/>
          <w:spacing w:val="-2"/>
          <w:sz w:val="21"/>
          <w:szCs w:val="21"/>
        </w:rPr>
        <w:t>万亿元，同比增长</w:t>
      </w:r>
      <w:r>
        <w:rPr>
          <w:rFonts w:ascii="SimSun" w:eastAsia="SimSun" w:hAnsi="SimSun" w:cs="SimSun"/>
          <w:spacing w:val="-43"/>
          <w:sz w:val="21"/>
          <w:szCs w:val="21"/>
        </w:rPr>
        <w:t xml:space="preserve"> </w:t>
      </w:r>
      <w:r>
        <w:rPr>
          <w:rFonts w:ascii="Times New Roman" w:eastAsia="Times New Roman" w:hAnsi="Times New Roman" w:cs="Times New Roman"/>
          <w:spacing w:val="-2"/>
          <w:sz w:val="21"/>
          <w:szCs w:val="21"/>
        </w:rPr>
        <w:t>2.9%</w:t>
      </w:r>
      <w:r>
        <w:rPr>
          <w:rFonts w:ascii="SimSun" w:eastAsia="SimSun" w:hAnsi="SimSun" w:cs="SimSun"/>
          <w:spacing w:val="-2"/>
          <w:sz w:val="21"/>
          <w:szCs w:val="21"/>
        </w:rPr>
        <w:t>，其中基础设施投资在专项债等融资支持政策及重大项目投</w:t>
      </w:r>
      <w:r>
        <w:rPr>
          <w:rFonts w:ascii="SimSun" w:eastAsia="SimSun" w:hAnsi="SimSun" w:cs="SimSun"/>
          <w:sz w:val="21"/>
          <w:szCs w:val="21"/>
        </w:rPr>
        <w:t xml:space="preserve"> </w:t>
      </w:r>
      <w:r>
        <w:rPr>
          <w:rFonts w:ascii="SimSun" w:eastAsia="SimSun" w:hAnsi="SimSun" w:cs="SimSun"/>
          <w:spacing w:val="-3"/>
          <w:sz w:val="21"/>
          <w:szCs w:val="21"/>
        </w:rPr>
        <w:t>资拉动下，同比增长</w:t>
      </w:r>
      <w:r>
        <w:rPr>
          <w:rFonts w:ascii="SimSun" w:eastAsia="SimSun" w:hAnsi="SimSun" w:cs="SimSun"/>
          <w:spacing w:val="-32"/>
          <w:sz w:val="21"/>
          <w:szCs w:val="21"/>
        </w:rPr>
        <w:t xml:space="preserve"> </w:t>
      </w:r>
      <w:r>
        <w:rPr>
          <w:rFonts w:ascii="Times New Roman" w:eastAsia="Times New Roman" w:hAnsi="Times New Roman" w:cs="Times New Roman"/>
          <w:spacing w:val="-3"/>
          <w:sz w:val="21"/>
          <w:szCs w:val="21"/>
        </w:rPr>
        <w:t>5.9%</w:t>
      </w:r>
      <w:r>
        <w:rPr>
          <w:rFonts w:ascii="SimSun" w:eastAsia="SimSun" w:hAnsi="SimSun" w:cs="SimSun"/>
          <w:spacing w:val="-3"/>
          <w:sz w:val="21"/>
          <w:szCs w:val="21"/>
        </w:rPr>
        <w:t>，增速比全部固定资产投资高</w:t>
      </w:r>
      <w:r>
        <w:rPr>
          <w:rFonts w:ascii="SimSun" w:eastAsia="SimSun" w:hAnsi="SimSun" w:cs="SimSun"/>
          <w:spacing w:val="-43"/>
          <w:sz w:val="21"/>
          <w:szCs w:val="21"/>
        </w:rPr>
        <w:t xml:space="preserve"> </w:t>
      </w:r>
      <w:r>
        <w:rPr>
          <w:rFonts w:ascii="Times New Roman" w:eastAsia="Times New Roman" w:hAnsi="Times New Roman" w:cs="Times New Roman"/>
          <w:spacing w:val="-3"/>
          <w:sz w:val="21"/>
          <w:szCs w:val="21"/>
        </w:rPr>
        <w:t xml:space="preserve">3.0 </w:t>
      </w:r>
      <w:r>
        <w:rPr>
          <w:rFonts w:ascii="SimSun" w:eastAsia="SimSun" w:hAnsi="SimSun" w:cs="SimSun"/>
          <w:spacing w:val="-3"/>
          <w:sz w:val="21"/>
          <w:szCs w:val="21"/>
        </w:rPr>
        <w:t>个百分点；制造业投资同比增长</w:t>
      </w:r>
      <w:r>
        <w:rPr>
          <w:rFonts w:ascii="SimSun" w:eastAsia="SimSun" w:hAnsi="SimSun" w:cs="SimSun"/>
          <w:spacing w:val="-43"/>
          <w:sz w:val="21"/>
          <w:szCs w:val="21"/>
        </w:rPr>
        <w:t xml:space="preserve"> </w:t>
      </w:r>
      <w:r>
        <w:rPr>
          <w:rFonts w:ascii="Times New Roman" w:eastAsia="Times New Roman" w:hAnsi="Times New Roman" w:cs="Times New Roman"/>
          <w:spacing w:val="-3"/>
          <w:sz w:val="21"/>
          <w:szCs w:val="21"/>
        </w:rPr>
        <w:t>6.2%</w:t>
      </w:r>
      <w:r>
        <w:rPr>
          <w:rFonts w:ascii="SimSun" w:eastAsia="SimSun" w:hAnsi="SimSun" w:cs="SimSun"/>
          <w:spacing w:val="-3"/>
          <w:sz w:val="21"/>
          <w:szCs w:val="21"/>
        </w:rPr>
        <w:t>，比全部</w:t>
      </w:r>
      <w:r>
        <w:rPr>
          <w:rFonts w:ascii="SimSun" w:eastAsia="SimSun" w:hAnsi="SimSun" w:cs="SimSun"/>
          <w:sz w:val="21"/>
          <w:szCs w:val="21"/>
        </w:rPr>
        <w:t xml:space="preserve"> </w:t>
      </w:r>
      <w:r>
        <w:rPr>
          <w:rFonts w:ascii="SimSun" w:eastAsia="SimSun" w:hAnsi="SimSun" w:cs="SimSun"/>
          <w:spacing w:val="-3"/>
          <w:sz w:val="21"/>
          <w:szCs w:val="21"/>
        </w:rPr>
        <w:t>固定资产投资高</w:t>
      </w:r>
      <w:r>
        <w:rPr>
          <w:rFonts w:ascii="SimSun" w:eastAsia="SimSun" w:hAnsi="SimSun" w:cs="SimSun"/>
          <w:spacing w:val="-22"/>
          <w:sz w:val="21"/>
          <w:szCs w:val="21"/>
        </w:rPr>
        <w:t xml:space="preserve"> </w:t>
      </w:r>
      <w:r>
        <w:rPr>
          <w:rFonts w:ascii="Times New Roman" w:eastAsia="Times New Roman" w:hAnsi="Times New Roman" w:cs="Times New Roman"/>
          <w:spacing w:val="-3"/>
          <w:sz w:val="21"/>
          <w:szCs w:val="21"/>
        </w:rPr>
        <w:t>3.3</w:t>
      </w:r>
      <w:r>
        <w:rPr>
          <w:rFonts w:ascii="Times New Roman" w:eastAsia="Times New Roman" w:hAnsi="Times New Roman" w:cs="Times New Roman"/>
          <w:spacing w:val="33"/>
          <w:sz w:val="21"/>
          <w:szCs w:val="21"/>
        </w:rPr>
        <w:t xml:space="preserve"> </w:t>
      </w:r>
      <w:r>
        <w:rPr>
          <w:rFonts w:ascii="SimSun" w:eastAsia="SimSun" w:hAnsi="SimSun" w:cs="SimSun"/>
          <w:spacing w:val="-3"/>
          <w:sz w:val="21"/>
          <w:szCs w:val="21"/>
        </w:rPr>
        <w:t xml:space="preserve">个百分点， 其中高技术制造业投资同比增长 </w:t>
      </w:r>
      <w:r>
        <w:rPr>
          <w:rFonts w:ascii="Times New Roman" w:eastAsia="Times New Roman" w:hAnsi="Times New Roman" w:cs="Times New Roman"/>
          <w:spacing w:val="-3"/>
          <w:sz w:val="21"/>
          <w:szCs w:val="21"/>
        </w:rPr>
        <w:t>11.3%</w:t>
      </w:r>
      <w:r>
        <w:rPr>
          <w:rFonts w:ascii="SimSun" w:eastAsia="SimSun" w:hAnsi="SimSun" w:cs="SimSun"/>
          <w:spacing w:val="-3"/>
          <w:sz w:val="21"/>
          <w:szCs w:val="21"/>
        </w:rPr>
        <w:t>，是主要拉动因素。房</w:t>
      </w:r>
      <w:r>
        <w:rPr>
          <w:rFonts w:ascii="SimSun" w:eastAsia="SimSun" w:hAnsi="SimSun" w:cs="SimSun"/>
          <w:spacing w:val="-4"/>
          <w:sz w:val="21"/>
          <w:szCs w:val="21"/>
        </w:rPr>
        <w:t>地产投资持</w:t>
      </w:r>
      <w:r>
        <w:rPr>
          <w:rFonts w:ascii="SimSun" w:eastAsia="SimSun" w:hAnsi="SimSun" w:cs="SimSun"/>
          <w:sz w:val="21"/>
          <w:szCs w:val="21"/>
        </w:rPr>
        <w:t xml:space="preserve"> </w:t>
      </w:r>
      <w:r>
        <w:rPr>
          <w:rFonts w:ascii="SimSun" w:eastAsia="SimSun" w:hAnsi="SimSun" w:cs="SimSun"/>
          <w:spacing w:val="-4"/>
          <w:sz w:val="21"/>
          <w:szCs w:val="21"/>
        </w:rPr>
        <w:t xml:space="preserve">续负增长， </w:t>
      </w:r>
      <w:r>
        <w:rPr>
          <w:rFonts w:ascii="Times New Roman" w:eastAsia="Times New Roman" w:hAnsi="Times New Roman" w:cs="Times New Roman"/>
          <w:spacing w:val="-4"/>
          <w:sz w:val="21"/>
          <w:szCs w:val="21"/>
        </w:rPr>
        <w:t>1-</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4"/>
          <w:sz w:val="21"/>
          <w:szCs w:val="21"/>
        </w:rPr>
        <w:t>10</w:t>
      </w:r>
      <w:r>
        <w:rPr>
          <w:rFonts w:ascii="Times New Roman" w:eastAsia="Times New Roman" w:hAnsi="Times New Roman" w:cs="Times New Roman"/>
          <w:spacing w:val="18"/>
          <w:w w:val="101"/>
          <w:sz w:val="21"/>
          <w:szCs w:val="21"/>
        </w:rPr>
        <w:t xml:space="preserve"> </w:t>
      </w:r>
      <w:r>
        <w:rPr>
          <w:rFonts w:ascii="SimSun" w:eastAsia="SimSun" w:hAnsi="SimSun" w:cs="SimSun"/>
          <w:spacing w:val="-4"/>
          <w:sz w:val="21"/>
          <w:szCs w:val="21"/>
        </w:rPr>
        <w:t>月房地产开发投资同比下降</w:t>
      </w:r>
      <w:r>
        <w:rPr>
          <w:rFonts w:ascii="SimSun" w:eastAsia="SimSun" w:hAnsi="SimSun" w:cs="SimSun"/>
          <w:spacing w:val="-39"/>
          <w:sz w:val="21"/>
          <w:szCs w:val="21"/>
        </w:rPr>
        <w:t xml:space="preserve"> </w:t>
      </w:r>
      <w:r>
        <w:rPr>
          <w:rFonts w:ascii="Times New Roman" w:eastAsia="Times New Roman" w:hAnsi="Times New Roman" w:cs="Times New Roman"/>
          <w:spacing w:val="-4"/>
          <w:sz w:val="21"/>
          <w:szCs w:val="21"/>
        </w:rPr>
        <w:t>9.3%</w:t>
      </w:r>
      <w:r>
        <w:rPr>
          <w:rFonts w:ascii="SimSun" w:eastAsia="SimSun" w:hAnsi="SimSun" w:cs="SimSun"/>
          <w:spacing w:val="-4"/>
          <w:sz w:val="21"/>
          <w:szCs w:val="21"/>
        </w:rPr>
        <w:t>。其中</w:t>
      </w:r>
      <w:r>
        <w:rPr>
          <w:rFonts w:ascii="SimSun" w:eastAsia="SimSun" w:hAnsi="SimSun" w:cs="SimSun"/>
          <w:spacing w:val="-45"/>
          <w:sz w:val="21"/>
          <w:szCs w:val="21"/>
        </w:rPr>
        <w:t xml:space="preserve"> </w:t>
      </w:r>
      <w:r>
        <w:rPr>
          <w:rFonts w:ascii="Times New Roman" w:eastAsia="Times New Roman" w:hAnsi="Times New Roman" w:cs="Times New Roman"/>
          <w:spacing w:val="-4"/>
          <w:sz w:val="21"/>
          <w:szCs w:val="21"/>
        </w:rPr>
        <w:t>2023</w:t>
      </w:r>
      <w:r>
        <w:rPr>
          <w:rFonts w:ascii="Times New Roman" w:eastAsia="Times New Roman" w:hAnsi="Times New Roman" w:cs="Times New Roman"/>
          <w:spacing w:val="14"/>
          <w:w w:val="101"/>
          <w:sz w:val="21"/>
          <w:szCs w:val="21"/>
        </w:rPr>
        <w:t xml:space="preserve"> </w:t>
      </w:r>
      <w:r>
        <w:rPr>
          <w:rFonts w:ascii="SimSun" w:eastAsia="SimSun" w:hAnsi="SimSun" w:cs="SimSun"/>
          <w:spacing w:val="-4"/>
          <w:sz w:val="21"/>
          <w:szCs w:val="21"/>
        </w:rPr>
        <w:t>年</w:t>
      </w:r>
      <w:r>
        <w:rPr>
          <w:rFonts w:ascii="SimSun" w:eastAsia="SimSun" w:hAnsi="SimSun" w:cs="SimSun"/>
          <w:spacing w:val="-26"/>
          <w:sz w:val="21"/>
          <w:szCs w:val="21"/>
        </w:rPr>
        <w:t xml:space="preserve"> </w:t>
      </w:r>
      <w:r>
        <w:rPr>
          <w:rFonts w:ascii="Times New Roman" w:eastAsia="Times New Roman" w:hAnsi="Times New Roman" w:cs="Times New Roman"/>
          <w:spacing w:val="-4"/>
          <w:sz w:val="21"/>
          <w:szCs w:val="21"/>
        </w:rPr>
        <w:t>10</w:t>
      </w:r>
      <w:r>
        <w:rPr>
          <w:rFonts w:ascii="Times New Roman" w:eastAsia="Times New Roman" w:hAnsi="Times New Roman" w:cs="Times New Roman"/>
          <w:spacing w:val="16"/>
          <w:w w:val="101"/>
          <w:sz w:val="21"/>
          <w:szCs w:val="21"/>
        </w:rPr>
        <w:t xml:space="preserve"> </w:t>
      </w:r>
      <w:r>
        <w:rPr>
          <w:rFonts w:ascii="SimSun" w:eastAsia="SimSun" w:hAnsi="SimSun" w:cs="SimSun"/>
          <w:spacing w:val="-4"/>
          <w:sz w:val="21"/>
          <w:szCs w:val="21"/>
        </w:rPr>
        <w:t>月全国固定资产投资环比增长</w:t>
      </w:r>
      <w:r>
        <w:rPr>
          <w:rFonts w:ascii="SimSun" w:eastAsia="SimSun" w:hAnsi="SimSun" w:cs="SimSun"/>
          <w:spacing w:val="-40"/>
          <w:sz w:val="21"/>
          <w:szCs w:val="21"/>
        </w:rPr>
        <w:t xml:space="preserve"> </w:t>
      </w:r>
      <w:r>
        <w:rPr>
          <w:rFonts w:ascii="Times New Roman" w:eastAsia="Times New Roman" w:hAnsi="Times New Roman" w:cs="Times New Roman"/>
          <w:spacing w:val="-4"/>
          <w:sz w:val="21"/>
          <w:szCs w:val="21"/>
        </w:rPr>
        <w:t>0.1%</w:t>
      </w:r>
      <w:r>
        <w:rPr>
          <w:rFonts w:ascii="SimSun" w:eastAsia="SimSun" w:hAnsi="SimSun" w:cs="SimSun"/>
          <w:spacing w:val="-4"/>
          <w:sz w:val="21"/>
          <w:szCs w:val="21"/>
        </w:rPr>
        <w:t>，</w:t>
      </w:r>
      <w:r>
        <w:rPr>
          <w:rFonts w:ascii="SimSun" w:eastAsia="SimSun" w:hAnsi="SimSun" w:cs="SimSun"/>
          <w:sz w:val="21"/>
          <w:szCs w:val="21"/>
        </w:rPr>
        <w:t xml:space="preserve"> </w:t>
      </w:r>
      <w:r>
        <w:rPr>
          <w:rFonts w:ascii="SimSun" w:eastAsia="SimSun" w:hAnsi="SimSun" w:cs="SimSun"/>
          <w:spacing w:val="-3"/>
          <w:sz w:val="21"/>
          <w:szCs w:val="21"/>
        </w:rPr>
        <w:t xml:space="preserve">主要仍受房地产开发投资拖累， </w:t>
      </w:r>
      <w:r>
        <w:rPr>
          <w:rFonts w:ascii="Times New Roman" w:eastAsia="Times New Roman" w:hAnsi="Times New Roman" w:cs="Times New Roman"/>
          <w:spacing w:val="-3"/>
          <w:sz w:val="21"/>
          <w:szCs w:val="21"/>
        </w:rPr>
        <w:t xml:space="preserve">10 </w:t>
      </w:r>
      <w:r>
        <w:rPr>
          <w:rFonts w:ascii="SimSun" w:eastAsia="SimSun" w:hAnsi="SimSun" w:cs="SimSun"/>
          <w:spacing w:val="-3"/>
          <w:sz w:val="21"/>
          <w:szCs w:val="21"/>
        </w:rPr>
        <w:t>月份房地产开发投资环比下</w:t>
      </w:r>
      <w:r>
        <w:rPr>
          <w:rFonts w:ascii="SimSun" w:eastAsia="SimSun" w:hAnsi="SimSun" w:cs="SimSun"/>
          <w:spacing w:val="-4"/>
          <w:sz w:val="21"/>
          <w:szCs w:val="21"/>
        </w:rPr>
        <w:t>滑</w:t>
      </w:r>
      <w:r>
        <w:rPr>
          <w:rFonts w:ascii="SimSun" w:eastAsia="SimSun" w:hAnsi="SimSun" w:cs="SimSun"/>
          <w:spacing w:val="-27"/>
          <w:sz w:val="21"/>
          <w:szCs w:val="21"/>
        </w:rPr>
        <w:t xml:space="preserve"> </w:t>
      </w:r>
      <w:r>
        <w:rPr>
          <w:rFonts w:ascii="Times New Roman" w:eastAsia="Times New Roman" w:hAnsi="Times New Roman" w:cs="Times New Roman"/>
          <w:spacing w:val="-4"/>
          <w:sz w:val="21"/>
          <w:szCs w:val="21"/>
        </w:rPr>
        <w:t>16.5%</w:t>
      </w:r>
      <w:r>
        <w:rPr>
          <w:rFonts w:ascii="SimSun" w:eastAsia="SimSun" w:hAnsi="SimSun" w:cs="SimSun"/>
          <w:spacing w:val="-4"/>
          <w:sz w:val="21"/>
          <w:szCs w:val="21"/>
        </w:rPr>
        <w:t>，仍延续较大跌幅。</w:t>
      </w: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sectPr>
          <w:headerReference w:type="default" r:id="rId6"/>
          <w:footerReference w:type="default" r:id="rId7"/>
          <w:pgSz w:w="11907" w:h="16839"/>
          <w:pgMar w:top="1336" w:right="1062" w:bottom="1272" w:left="1104" w:header="1148" w:footer="1077" w:gutter="0"/>
          <w:pgNumType w:start="2"/>
          <w:cols w:space="708"/>
        </w:sect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49" w:line="221" w:lineRule="auto"/>
        <w:ind w:left="42"/>
        <w:rPr>
          <w:rFonts w:ascii="SimSun" w:eastAsia="SimSun" w:hAnsi="SimSun" w:cs="SimSun"/>
          <w:sz w:val="15"/>
          <w:szCs w:val="15"/>
        </w:rPr>
      </w:pPr>
      <w:r>
        <w:rPr>
          <w:rFonts w:ascii="Times New Roman" w:eastAsia="Times New Roman" w:hAnsi="Times New Roman" w:cs="Times New Roman"/>
          <w:spacing w:val="-1"/>
          <w:position w:val="5"/>
          <w:sz w:val="12"/>
          <w:szCs w:val="12"/>
        </w:rPr>
        <w:t xml:space="preserve">1   </w:t>
      </w:r>
      <w:r>
        <w:rPr>
          <w:rFonts w:ascii="SimSun" w:eastAsia="SimSun" w:hAnsi="SimSun" w:cs="SimSun"/>
          <w:spacing w:val="-1"/>
          <w:sz w:val="15"/>
          <w:szCs w:val="15"/>
        </w:rPr>
        <w:t>不含电力、热力、燃气及水生产和供应业。</w:t>
      </w:r>
    </w:p>
    <w:p>
      <w:pPr>
        <w:spacing w:line="221" w:lineRule="auto"/>
        <w:rPr>
          <w:rFonts w:ascii="SimSun" w:eastAsia="SimSun" w:hAnsi="SimSun" w:cs="SimSun"/>
          <w:sz w:val="15"/>
          <w:szCs w:val="15"/>
        </w:rPr>
        <w:sectPr>
          <w:headerReference w:type="default" r:id="rId8"/>
          <w:footerReference w:type="default" r:id="rId9"/>
          <w:type w:val="nextPage"/>
          <w:pgSz w:w="11907" w:h="16839"/>
          <w:pgMar w:top="1336" w:right="1062" w:bottom="1272" w:left="1104" w:header="1148" w:footer="1077" w:gutter="0"/>
          <w:pgNumType w:start="3"/>
          <w:cols w:space="708"/>
          <w:titlePg w:val="0"/>
        </w:sectPr>
      </w:pPr>
    </w:p>
    <w:p>
      <w:pPr>
        <w:spacing w:line="384" w:lineRule="auto"/>
        <w:rPr>
          <w:rFonts w:ascii="Arial"/>
          <w:sz w:val="21"/>
        </w:rPr>
      </w:pPr>
      <w:r>
        <w:pict>
          <v:rect id="_x0000_s1028" style="width:144.1pt;height:0.75pt;margin-top:759.24pt;margin-left:56.64pt;mso-position-horizontal-relative:page;mso-position-vertical-relative:page;position:absolute;z-index:251667456" o:allowincell="f" filled="t" fillcolor="black" stroked="f"/>
        </w:pict>
      </w:r>
      <w:r>
        <w:pict>
          <v:shape id="_x0000_s1029" style="width:481.8pt;height:0.5pt;margin-top:278.45pt;margin-left:56.88pt;mso-position-horizontal-relative:page;mso-position-vertical-relative:page;position:absolute;z-index:251665408" coordorigin="0,0" coordsize="9635,10" o:allowincell="f" path="m,9l9635,9l9635,l,l,9xe" filled="t" fillcolor="black" stroked="f"/>
        </w:pict>
      </w:r>
      <w:r>
        <w:pict>
          <v:shape id="_x0000_s1030" style="width:47.9pt;height:18.15pt;margin-top:568.8pt;margin-left:101.88pt;mso-position-horizontal-relative:page;mso-position-vertical-relative:page;position:absolute;z-index:-251653120" coordorigin="0,0" coordsize="958,362" o:allowincell="f" path="m22,339l934,22e" filled="f" strokecolor="#8064a2" strokeweight="2.28pt">
            <v:stroke endcap="round"/>
          </v:shape>
        </w:pict>
      </w:r>
      <w:r>
        <w:pict>
          <v:shape id="_x0000_s1031" style="width:47.9pt;height:36.85pt;margin-top:586.08pt;margin-left:238.68pt;mso-position-horizontal-relative:page;mso-position-vertical-relative:page;position:absolute;z-index:-251654144" coordorigin="0,0" coordsize="958,736" o:allowincell="f" path="m22,22l934,713e" filled="f" strokecolor="#8064a2" strokeweight="2.28pt">
            <v:stroke endcap="round"/>
          </v:shape>
        </w:pict>
      </w:r>
      <w:r>
        <w:pict>
          <v:shape id="_x0000_s1032" style="width:47.9pt;height:65.2pt;margin-top:557.76pt;margin-left:284.28pt;mso-position-horizontal-relative:page;mso-position-vertical-relative:page;position:absolute;z-index:251668480" coordorigin="0,0" coordsize="958,1303" o:allowincell="f" path="m22,1280l934,22e" filled="f" strokecolor="#8064a2" strokeweight="2.28pt">
            <v:stroke endcap="round"/>
          </v:shape>
        </w:pict>
      </w:r>
      <w:r>
        <w:pict>
          <v:shape id="_x0000_s1033" style="width:468.85pt;height:0.5pt;margin-top:682.78pt;margin-left:56.64pt;mso-position-horizontal-relative:page;mso-position-vertical-relative:page;position:absolute;z-index:251666432" coordorigin="0,0" coordsize="9377,10" o:allowincell="f" path="m,9l9376,9l9376,l,l,9xe" filled="t" fillcolor="black" stroked="f"/>
        </w:pict>
      </w:r>
    </w:p>
    <w:p>
      <w:pPr>
        <w:spacing w:before="59" w:line="232" w:lineRule="auto"/>
        <w:ind w:left="518"/>
        <w:rPr>
          <w:rFonts w:ascii="SimHei" w:eastAsia="SimHei" w:hAnsi="SimHei" w:cs="SimHei"/>
          <w:sz w:val="18"/>
          <w:szCs w:val="18"/>
        </w:rPr>
      </w:pPr>
      <w:r>
        <w:rPr>
          <w:rFonts w:ascii="SimHei" w:eastAsia="SimHei" w:hAnsi="SimHei" w:cs="SimHei"/>
          <w:spacing w:val="-4"/>
          <w:sz w:val="18"/>
          <w:szCs w:val="18"/>
        </w:rPr>
        <w:t>图表</w:t>
      </w:r>
      <w:r>
        <w:rPr>
          <w:rFonts w:ascii="SimHei" w:eastAsia="SimHei" w:hAnsi="SimHei" w:cs="SimHei"/>
          <w:spacing w:val="-41"/>
          <w:sz w:val="18"/>
          <w:szCs w:val="18"/>
        </w:rPr>
        <w:t xml:space="preserve"> </w:t>
      </w:r>
      <w:r>
        <w:rPr>
          <w:rFonts w:ascii="Times New Roman" w:eastAsia="Times New Roman" w:hAnsi="Times New Roman" w:cs="Times New Roman"/>
          <w:spacing w:val="-4"/>
          <w:sz w:val="18"/>
          <w:szCs w:val="18"/>
        </w:rPr>
        <w:t xml:space="preserve">2. 2012 </w:t>
      </w:r>
      <w:r>
        <w:rPr>
          <w:rFonts w:ascii="SimHei" w:eastAsia="SimHei" w:hAnsi="SimHei" w:cs="SimHei"/>
          <w:spacing w:val="-4"/>
          <w:sz w:val="18"/>
          <w:szCs w:val="18"/>
        </w:rPr>
        <w:t>年以来我国固定资产投</w:t>
      </w:r>
      <w:r>
        <w:rPr>
          <w:rFonts w:ascii="SimHei" w:eastAsia="SimHei" w:hAnsi="SimHei" w:cs="SimHei"/>
          <w:spacing w:val="-5"/>
          <w:sz w:val="18"/>
          <w:szCs w:val="18"/>
        </w:rPr>
        <w:t>资情况（单位：万亿元、</w:t>
      </w:r>
      <w:r>
        <w:rPr>
          <w:rFonts w:ascii="SimHei" w:eastAsia="SimHei" w:hAnsi="SimHei" w:cs="SimHei"/>
          <w:spacing w:val="34"/>
          <w:sz w:val="18"/>
          <w:szCs w:val="18"/>
        </w:rPr>
        <w:t xml:space="preserve"> </w:t>
      </w:r>
      <w:r>
        <w:rPr>
          <w:rFonts w:ascii="Times New Roman" w:eastAsia="Times New Roman" w:hAnsi="Times New Roman" w:cs="Times New Roman"/>
          <w:spacing w:val="-5"/>
          <w:sz w:val="18"/>
          <w:szCs w:val="18"/>
        </w:rPr>
        <w:t>%</w:t>
      </w:r>
      <w:r>
        <w:rPr>
          <w:rFonts w:ascii="SimHei" w:eastAsia="SimHei" w:hAnsi="SimHei" w:cs="SimHei"/>
          <w:spacing w:val="-5"/>
          <w:sz w:val="18"/>
          <w:szCs w:val="18"/>
        </w:rPr>
        <w:t>）</w:t>
      </w:r>
    </w:p>
    <w:p>
      <w:pPr>
        <w:spacing w:line="48" w:lineRule="exact"/>
      </w:pPr>
    </w:p>
    <w:tbl>
      <w:tblPr>
        <w:tblStyle w:val="TableNormal1"/>
        <w:tblW w:w="9541" w:type="dxa"/>
        <w:tblInd w:w="462" w:type="dxa"/>
        <w:tblBorders>
          <w:top w:val="nil"/>
          <w:left w:val="nil"/>
          <w:bottom w:val="nil"/>
          <w:right w:val="nil"/>
          <w:insideH w:val="nil"/>
          <w:insideV w:val="nil"/>
        </w:tblBorders>
        <w:tblLayout w:type="fixed"/>
      </w:tblPr>
      <w:tblGrid>
        <w:gridCol w:w="479"/>
        <w:gridCol w:w="666"/>
        <w:gridCol w:w="2047"/>
        <w:gridCol w:w="887"/>
        <w:gridCol w:w="2108"/>
        <w:gridCol w:w="827"/>
        <w:gridCol w:w="2162"/>
        <w:gridCol w:w="365"/>
      </w:tblGrid>
      <w:tr>
        <w:tblPrEx>
          <w:tblW w:w="9541" w:type="dxa"/>
          <w:tblInd w:w="462" w:type="dxa"/>
          <w:tblBorders>
            <w:top w:val="nil"/>
            <w:left w:val="nil"/>
            <w:bottom w:val="nil"/>
            <w:right w:val="nil"/>
            <w:insideH w:val="nil"/>
            <w:insideV w:val="nil"/>
          </w:tblBorders>
          <w:tblLayout w:type="fixed"/>
        </w:tblPrEx>
        <w:trPr>
          <w:trHeight w:val="2807"/>
        </w:trPr>
        <w:tc>
          <w:tcPr>
            <w:tcW w:w="479" w:type="dxa"/>
            <w:tcBorders>
              <w:top w:val="single" w:sz="2" w:space="0" w:color="D9D9D9"/>
              <w:left w:val="single" w:sz="4" w:space="0" w:color="D9D9D9"/>
            </w:tcBorders>
            <w:vAlign w:val="top"/>
          </w:tcPr>
          <w:p>
            <w:pPr>
              <w:spacing w:before="174" w:line="179" w:lineRule="auto"/>
              <w:ind w:left="132"/>
              <w:rPr>
                <w:rFonts w:ascii="Calibri" w:eastAsia="Calibri" w:hAnsi="Calibri" w:cs="Calibri"/>
                <w:sz w:val="12"/>
                <w:szCs w:val="12"/>
              </w:rPr>
            </w:pPr>
            <w:r>
              <w:rPr>
                <w:rFonts w:ascii="Calibri" w:eastAsia="Calibri" w:hAnsi="Calibri" w:cs="Calibri"/>
                <w:color w:val="595959"/>
                <w:spacing w:val="-2"/>
                <w:sz w:val="12"/>
                <w:szCs w:val="12"/>
              </w:rPr>
              <w:t>70.00</w:t>
            </w:r>
          </w:p>
          <w:p>
            <w:pPr>
              <w:spacing w:before="209" w:line="179" w:lineRule="auto"/>
              <w:ind w:left="132"/>
              <w:rPr>
                <w:rFonts w:ascii="Calibri" w:eastAsia="Calibri" w:hAnsi="Calibri" w:cs="Calibri"/>
                <w:sz w:val="12"/>
                <w:szCs w:val="12"/>
              </w:rPr>
            </w:pPr>
            <w:r>
              <w:rPr>
                <w:rFonts w:ascii="Calibri" w:eastAsia="Calibri" w:hAnsi="Calibri" w:cs="Calibri"/>
                <w:color w:val="595959"/>
                <w:spacing w:val="-2"/>
                <w:sz w:val="12"/>
                <w:szCs w:val="12"/>
              </w:rPr>
              <w:t>60.00</w:t>
            </w:r>
          </w:p>
          <w:p>
            <w:pPr>
              <w:spacing w:before="209" w:line="179" w:lineRule="auto"/>
              <w:ind w:left="132"/>
              <w:rPr>
                <w:rFonts w:ascii="Calibri" w:eastAsia="Calibri" w:hAnsi="Calibri" w:cs="Calibri"/>
                <w:sz w:val="12"/>
                <w:szCs w:val="12"/>
              </w:rPr>
            </w:pPr>
            <w:r>
              <w:rPr>
                <w:rFonts w:ascii="Calibri" w:eastAsia="Calibri" w:hAnsi="Calibri" w:cs="Calibri"/>
                <w:color w:val="595959"/>
                <w:spacing w:val="-2"/>
                <w:sz w:val="12"/>
                <w:szCs w:val="12"/>
              </w:rPr>
              <w:t>50.00</w:t>
            </w:r>
          </w:p>
          <w:p>
            <w:pPr>
              <w:spacing w:before="210" w:line="179" w:lineRule="auto"/>
              <w:ind w:left="129"/>
              <w:rPr>
                <w:rFonts w:ascii="Calibri" w:eastAsia="Calibri" w:hAnsi="Calibri" w:cs="Calibri"/>
                <w:sz w:val="12"/>
                <w:szCs w:val="12"/>
              </w:rPr>
            </w:pPr>
            <w:r>
              <w:rPr>
                <w:rFonts w:ascii="Calibri" w:eastAsia="Calibri" w:hAnsi="Calibri" w:cs="Calibri"/>
                <w:color w:val="595959"/>
                <w:spacing w:val="-1"/>
                <w:sz w:val="12"/>
                <w:szCs w:val="12"/>
              </w:rPr>
              <w:t>40.00</w:t>
            </w:r>
          </w:p>
          <w:p>
            <w:pPr>
              <w:spacing w:before="210" w:line="179" w:lineRule="auto"/>
              <w:ind w:left="132"/>
              <w:rPr>
                <w:rFonts w:ascii="Calibri" w:eastAsia="Calibri" w:hAnsi="Calibri" w:cs="Calibri"/>
                <w:sz w:val="12"/>
                <w:szCs w:val="12"/>
              </w:rPr>
            </w:pPr>
            <w:r>
              <w:rPr>
                <w:rFonts w:ascii="Calibri" w:eastAsia="Calibri" w:hAnsi="Calibri" w:cs="Calibri"/>
                <w:color w:val="595959"/>
                <w:spacing w:val="-2"/>
                <w:sz w:val="12"/>
                <w:szCs w:val="12"/>
              </w:rPr>
              <w:t>30.00</w:t>
            </w:r>
          </w:p>
          <w:p>
            <w:pPr>
              <w:spacing w:before="209" w:line="179" w:lineRule="auto"/>
              <w:ind w:left="133"/>
              <w:rPr>
                <w:rFonts w:ascii="Calibri" w:eastAsia="Calibri" w:hAnsi="Calibri" w:cs="Calibri"/>
                <w:sz w:val="12"/>
                <w:szCs w:val="12"/>
              </w:rPr>
            </w:pPr>
            <w:r>
              <w:rPr>
                <w:rFonts w:ascii="Calibri" w:eastAsia="Calibri" w:hAnsi="Calibri" w:cs="Calibri"/>
                <w:color w:val="595959"/>
                <w:spacing w:val="-2"/>
                <w:sz w:val="12"/>
                <w:szCs w:val="12"/>
              </w:rPr>
              <w:t>20.00</w:t>
            </w:r>
          </w:p>
          <w:p>
            <w:pPr>
              <w:spacing w:before="210" w:line="179" w:lineRule="auto"/>
              <w:ind w:left="136"/>
              <w:rPr>
                <w:rFonts w:ascii="Calibri" w:eastAsia="Calibri" w:hAnsi="Calibri" w:cs="Calibri"/>
                <w:sz w:val="12"/>
                <w:szCs w:val="12"/>
              </w:rPr>
            </w:pPr>
            <w:r>
              <w:rPr>
                <w:rFonts w:ascii="Calibri" w:eastAsia="Calibri" w:hAnsi="Calibri" w:cs="Calibri"/>
                <w:color w:val="595959"/>
                <w:spacing w:val="-2"/>
                <w:sz w:val="12"/>
                <w:szCs w:val="12"/>
              </w:rPr>
              <w:t>10.00</w:t>
            </w:r>
          </w:p>
          <w:p>
            <w:pPr>
              <w:spacing w:before="210" w:line="179" w:lineRule="auto"/>
              <w:ind w:left="191"/>
              <w:rPr>
                <w:rFonts w:ascii="Calibri" w:eastAsia="Calibri" w:hAnsi="Calibri" w:cs="Calibri"/>
                <w:sz w:val="12"/>
                <w:szCs w:val="12"/>
              </w:rPr>
            </w:pPr>
            <w:r>
              <w:rPr>
                <w:rFonts w:ascii="Calibri" w:eastAsia="Calibri" w:hAnsi="Calibri" w:cs="Calibri"/>
                <w:color w:val="595959"/>
                <w:spacing w:val="-2"/>
                <w:sz w:val="12"/>
                <w:szCs w:val="12"/>
              </w:rPr>
              <w:t>0.00</w:t>
            </w:r>
          </w:p>
        </w:tc>
        <w:tc>
          <w:tcPr>
            <w:tcW w:w="8697" w:type="dxa"/>
            <w:gridSpan w:val="6"/>
            <w:tcBorders>
              <w:top w:val="single" w:sz="2" w:space="0" w:color="D9D9D9"/>
            </w:tcBorders>
            <w:vAlign w:val="top"/>
          </w:tcPr>
          <w:p>
            <w:pPr>
              <w:spacing w:line="322" w:lineRule="auto"/>
              <w:rPr>
                <w:rFonts w:ascii="Arial"/>
                <w:sz w:val="21"/>
              </w:rPr>
            </w:pPr>
            <w:r>
              <w:pict>
                <v:rect id="_x0000_s1034" style="width:428.8pt;height:0.75pt;margin-top:10.43pt;margin-left:-431.69pt;mso-position-horizontal-relative:right-margin-area;mso-position-vertical-relative:top-margin-area;position:absolute;z-index:251664384" filled="t" fillcolor="#d9d9d9" stroked="f"/>
              </w:pict>
            </w:r>
          </w:p>
          <w:p>
            <w:pPr>
              <w:spacing w:line="2133" w:lineRule="exact"/>
              <w:ind w:firstLine="63"/>
            </w:pPr>
            <w:r>
              <w:rPr>
                <w:position w:val="-42"/>
              </w:rPr>
              <w:drawing>
                <wp:inline distT="0" distB="0" distL="0" distR="0">
                  <wp:extent cx="5445252" cy="135420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0"/>
                          <a:stretch>
                            <a:fillRect/>
                          </a:stretch>
                        </pic:blipFill>
                        <pic:spPr>
                          <a:xfrm>
                            <a:off x="0" y="0"/>
                            <a:ext cx="5445252" cy="1354201"/>
                          </a:xfrm>
                          <a:prstGeom prst="rect">
                            <a:avLst/>
                          </a:prstGeom>
                        </pic:spPr>
                      </pic:pic>
                    </a:graphicData>
                  </a:graphic>
                </wp:inline>
              </w:drawing>
            </w:r>
          </w:p>
          <w:p>
            <w:pPr>
              <w:pStyle w:val="TableText"/>
              <w:spacing w:before="85" w:line="220" w:lineRule="auto"/>
              <w:ind w:left="248"/>
              <w:rPr>
                <w:sz w:val="12"/>
                <w:szCs w:val="12"/>
              </w:rPr>
            </w:pPr>
            <w:r>
              <w:rPr>
                <w:rFonts w:ascii="Calibri" w:eastAsia="Calibri" w:hAnsi="Calibri" w:cs="Calibri"/>
                <w:color w:val="595959"/>
                <w:spacing w:val="-1"/>
                <w:sz w:val="12"/>
                <w:szCs w:val="12"/>
              </w:rPr>
              <w:t>2012</w:t>
            </w:r>
            <w:r>
              <w:rPr>
                <w:color w:val="595959"/>
                <w:spacing w:val="-1"/>
                <w:sz w:val="12"/>
                <w:szCs w:val="12"/>
              </w:rPr>
              <w:t xml:space="preserve">年      </w:t>
            </w:r>
            <w:r>
              <w:rPr>
                <w:rFonts w:ascii="Calibri" w:eastAsia="Calibri" w:hAnsi="Calibri" w:cs="Calibri"/>
                <w:color w:val="595959"/>
                <w:spacing w:val="-1"/>
                <w:sz w:val="12"/>
                <w:szCs w:val="12"/>
              </w:rPr>
              <w:t>2013</w:t>
            </w:r>
            <w:r>
              <w:rPr>
                <w:color w:val="595959"/>
                <w:spacing w:val="-1"/>
                <w:sz w:val="12"/>
                <w:szCs w:val="12"/>
              </w:rPr>
              <w:t xml:space="preserve">年      </w:t>
            </w:r>
            <w:r>
              <w:rPr>
                <w:rFonts w:ascii="Calibri" w:eastAsia="Calibri" w:hAnsi="Calibri" w:cs="Calibri"/>
                <w:color w:val="595959"/>
                <w:spacing w:val="-1"/>
                <w:sz w:val="12"/>
                <w:szCs w:val="12"/>
              </w:rPr>
              <w:t>2014</w:t>
            </w:r>
            <w:r>
              <w:rPr>
                <w:color w:val="595959"/>
                <w:spacing w:val="-1"/>
                <w:sz w:val="12"/>
                <w:szCs w:val="12"/>
              </w:rPr>
              <w:t xml:space="preserve">年      </w:t>
            </w:r>
            <w:r>
              <w:rPr>
                <w:rFonts w:ascii="Calibri" w:eastAsia="Calibri" w:hAnsi="Calibri" w:cs="Calibri"/>
                <w:color w:val="595959"/>
                <w:spacing w:val="-1"/>
                <w:sz w:val="12"/>
                <w:szCs w:val="12"/>
              </w:rPr>
              <w:t>2015</w:t>
            </w:r>
            <w:r>
              <w:rPr>
                <w:color w:val="595959"/>
                <w:spacing w:val="-1"/>
                <w:sz w:val="12"/>
                <w:szCs w:val="12"/>
              </w:rPr>
              <w:t xml:space="preserve">年      </w:t>
            </w:r>
            <w:r>
              <w:rPr>
                <w:rFonts w:ascii="Calibri" w:eastAsia="Calibri" w:hAnsi="Calibri" w:cs="Calibri"/>
                <w:color w:val="595959"/>
                <w:spacing w:val="-1"/>
                <w:sz w:val="12"/>
                <w:szCs w:val="12"/>
              </w:rPr>
              <w:t>2016</w:t>
            </w:r>
            <w:r>
              <w:rPr>
                <w:color w:val="595959"/>
                <w:spacing w:val="-1"/>
                <w:sz w:val="12"/>
                <w:szCs w:val="12"/>
              </w:rPr>
              <w:t xml:space="preserve">年      </w:t>
            </w:r>
            <w:r>
              <w:rPr>
                <w:rFonts w:ascii="Calibri" w:eastAsia="Calibri" w:hAnsi="Calibri" w:cs="Calibri"/>
                <w:color w:val="595959"/>
                <w:spacing w:val="-1"/>
                <w:sz w:val="12"/>
                <w:szCs w:val="12"/>
              </w:rPr>
              <w:t>2017</w:t>
            </w:r>
            <w:r>
              <w:rPr>
                <w:color w:val="595959"/>
                <w:spacing w:val="-1"/>
                <w:sz w:val="12"/>
                <w:szCs w:val="12"/>
              </w:rPr>
              <w:t xml:space="preserve">年       </w:t>
            </w:r>
            <w:r>
              <w:rPr>
                <w:rFonts w:ascii="Calibri" w:eastAsia="Calibri" w:hAnsi="Calibri" w:cs="Calibri"/>
                <w:color w:val="595959"/>
                <w:spacing w:val="-1"/>
                <w:sz w:val="12"/>
                <w:szCs w:val="12"/>
              </w:rPr>
              <w:t>2018</w:t>
            </w:r>
            <w:r>
              <w:rPr>
                <w:color w:val="595959"/>
                <w:spacing w:val="-1"/>
                <w:sz w:val="12"/>
                <w:szCs w:val="12"/>
              </w:rPr>
              <w:t xml:space="preserve">年      </w:t>
            </w:r>
            <w:r>
              <w:rPr>
                <w:rFonts w:ascii="Calibri" w:eastAsia="Calibri" w:hAnsi="Calibri" w:cs="Calibri"/>
                <w:color w:val="595959"/>
                <w:spacing w:val="-1"/>
                <w:sz w:val="12"/>
                <w:szCs w:val="12"/>
              </w:rPr>
              <w:t>2019</w:t>
            </w:r>
            <w:r>
              <w:rPr>
                <w:color w:val="595959"/>
                <w:spacing w:val="-1"/>
                <w:sz w:val="12"/>
                <w:szCs w:val="12"/>
              </w:rPr>
              <w:t>年</w:t>
            </w:r>
            <w:r>
              <w:rPr>
                <w:color w:val="595959"/>
                <w:spacing w:val="-2"/>
                <w:sz w:val="12"/>
                <w:szCs w:val="12"/>
              </w:rPr>
              <w:t xml:space="preserve">      </w:t>
            </w:r>
            <w:r>
              <w:rPr>
                <w:rFonts w:ascii="Calibri" w:eastAsia="Calibri" w:hAnsi="Calibri" w:cs="Calibri"/>
                <w:color w:val="595959"/>
                <w:spacing w:val="-2"/>
                <w:sz w:val="12"/>
                <w:szCs w:val="12"/>
              </w:rPr>
              <w:t>2020</w:t>
            </w:r>
            <w:r>
              <w:rPr>
                <w:color w:val="595959"/>
                <w:spacing w:val="-2"/>
                <w:sz w:val="12"/>
                <w:szCs w:val="12"/>
              </w:rPr>
              <w:t xml:space="preserve">年      </w:t>
            </w:r>
            <w:r>
              <w:rPr>
                <w:rFonts w:ascii="Calibri" w:eastAsia="Calibri" w:hAnsi="Calibri" w:cs="Calibri"/>
                <w:color w:val="595959"/>
                <w:spacing w:val="-2"/>
                <w:sz w:val="12"/>
                <w:szCs w:val="12"/>
              </w:rPr>
              <w:t>2021</w:t>
            </w:r>
            <w:r>
              <w:rPr>
                <w:color w:val="595959"/>
                <w:spacing w:val="-2"/>
                <w:sz w:val="12"/>
                <w:szCs w:val="12"/>
              </w:rPr>
              <w:t xml:space="preserve">年      </w:t>
            </w:r>
            <w:r>
              <w:rPr>
                <w:rFonts w:ascii="Calibri" w:eastAsia="Calibri" w:hAnsi="Calibri" w:cs="Calibri"/>
                <w:color w:val="595959"/>
                <w:spacing w:val="-2"/>
                <w:sz w:val="12"/>
                <w:szCs w:val="12"/>
              </w:rPr>
              <w:t>2022</w:t>
            </w:r>
            <w:r>
              <w:rPr>
                <w:color w:val="595959"/>
                <w:spacing w:val="-2"/>
                <w:sz w:val="12"/>
                <w:szCs w:val="12"/>
              </w:rPr>
              <w:t>年</w:t>
            </w:r>
            <w:r>
              <w:rPr>
                <w:color w:val="595959"/>
                <w:spacing w:val="4"/>
                <w:sz w:val="12"/>
                <w:szCs w:val="12"/>
              </w:rPr>
              <w:t xml:space="preserve">   </w:t>
            </w:r>
            <w:r>
              <w:rPr>
                <w:rFonts w:ascii="Calibri" w:eastAsia="Calibri" w:hAnsi="Calibri" w:cs="Calibri"/>
                <w:color w:val="595959"/>
                <w:spacing w:val="-2"/>
                <w:sz w:val="12"/>
                <w:szCs w:val="12"/>
              </w:rPr>
              <w:t>2023</w:t>
            </w:r>
            <w:r>
              <w:rPr>
                <w:color w:val="595959"/>
                <w:spacing w:val="-2"/>
                <w:sz w:val="12"/>
                <w:szCs w:val="12"/>
              </w:rPr>
              <w:t>年</w:t>
            </w:r>
            <w:r>
              <w:rPr>
                <w:rFonts w:ascii="Calibri" w:eastAsia="Calibri" w:hAnsi="Calibri" w:cs="Calibri"/>
                <w:color w:val="595959"/>
                <w:spacing w:val="-2"/>
                <w:sz w:val="12"/>
                <w:szCs w:val="12"/>
              </w:rPr>
              <w:t>1-10</w:t>
            </w:r>
            <w:r>
              <w:rPr>
                <w:color w:val="595959"/>
                <w:spacing w:val="-2"/>
                <w:sz w:val="12"/>
                <w:szCs w:val="12"/>
              </w:rPr>
              <w:t>月</w:t>
            </w:r>
          </w:p>
        </w:tc>
        <w:tc>
          <w:tcPr>
            <w:tcW w:w="365" w:type="dxa"/>
            <w:tcBorders>
              <w:top w:val="single" w:sz="2" w:space="0" w:color="D9D9D9"/>
            </w:tcBorders>
            <w:vAlign w:val="top"/>
          </w:tcPr>
          <w:p>
            <w:pPr>
              <w:spacing w:before="174" w:line="179" w:lineRule="auto"/>
              <w:ind w:left="62"/>
              <w:rPr>
                <w:rFonts w:ascii="Calibri" w:eastAsia="Calibri" w:hAnsi="Calibri" w:cs="Calibri"/>
                <w:sz w:val="12"/>
                <w:szCs w:val="12"/>
              </w:rPr>
            </w:pPr>
            <w:r>
              <w:rPr>
                <w:rFonts w:ascii="Calibri" w:eastAsia="Calibri" w:hAnsi="Calibri" w:cs="Calibri"/>
                <w:color w:val="595959"/>
                <w:spacing w:val="-2"/>
                <w:sz w:val="12"/>
                <w:szCs w:val="12"/>
              </w:rPr>
              <w:t>25.00</w:t>
            </w:r>
          </w:p>
          <w:p>
            <w:pPr>
              <w:spacing w:before="170" w:line="179" w:lineRule="auto"/>
              <w:ind w:left="62"/>
              <w:rPr>
                <w:rFonts w:ascii="Calibri" w:eastAsia="Calibri" w:hAnsi="Calibri" w:cs="Calibri"/>
                <w:sz w:val="12"/>
                <w:szCs w:val="12"/>
              </w:rPr>
            </w:pPr>
            <w:r>
              <w:rPr>
                <w:rFonts w:ascii="Calibri" w:eastAsia="Calibri" w:hAnsi="Calibri" w:cs="Calibri"/>
                <w:color w:val="595959"/>
                <w:spacing w:val="-2"/>
                <w:sz w:val="12"/>
                <w:szCs w:val="12"/>
              </w:rPr>
              <w:t>20.00</w:t>
            </w:r>
          </w:p>
          <w:p>
            <w:pPr>
              <w:spacing w:before="169" w:line="179" w:lineRule="auto"/>
              <w:ind w:left="65"/>
              <w:rPr>
                <w:rFonts w:ascii="Calibri" w:eastAsia="Calibri" w:hAnsi="Calibri" w:cs="Calibri"/>
                <w:sz w:val="12"/>
                <w:szCs w:val="12"/>
              </w:rPr>
            </w:pPr>
            <w:r>
              <w:rPr>
                <w:rFonts w:ascii="Calibri" w:eastAsia="Calibri" w:hAnsi="Calibri" w:cs="Calibri"/>
                <w:color w:val="595959"/>
                <w:spacing w:val="-2"/>
                <w:sz w:val="12"/>
                <w:szCs w:val="12"/>
              </w:rPr>
              <w:t>15.00</w:t>
            </w:r>
          </w:p>
          <w:p>
            <w:pPr>
              <w:spacing w:before="170" w:line="179" w:lineRule="auto"/>
              <w:ind w:left="65"/>
              <w:rPr>
                <w:rFonts w:ascii="Calibri" w:eastAsia="Calibri" w:hAnsi="Calibri" w:cs="Calibri"/>
                <w:sz w:val="12"/>
                <w:szCs w:val="12"/>
              </w:rPr>
            </w:pPr>
            <w:r>
              <w:rPr>
                <w:rFonts w:ascii="Calibri" w:eastAsia="Calibri" w:hAnsi="Calibri" w:cs="Calibri"/>
                <w:color w:val="595959"/>
                <w:spacing w:val="-2"/>
                <w:sz w:val="12"/>
                <w:szCs w:val="12"/>
              </w:rPr>
              <w:t>10.00</w:t>
            </w:r>
          </w:p>
          <w:p>
            <w:pPr>
              <w:spacing w:before="170" w:line="179" w:lineRule="auto"/>
              <w:ind w:left="61"/>
              <w:rPr>
                <w:rFonts w:ascii="Calibri" w:eastAsia="Calibri" w:hAnsi="Calibri" w:cs="Calibri"/>
                <w:sz w:val="12"/>
                <w:szCs w:val="12"/>
              </w:rPr>
            </w:pPr>
            <w:r>
              <w:rPr>
                <w:rFonts w:ascii="Calibri" w:eastAsia="Calibri" w:hAnsi="Calibri" w:cs="Calibri"/>
                <w:color w:val="595959"/>
                <w:spacing w:val="-2"/>
                <w:sz w:val="12"/>
                <w:szCs w:val="12"/>
              </w:rPr>
              <w:t>5.00</w:t>
            </w:r>
          </w:p>
          <w:p>
            <w:pPr>
              <w:spacing w:before="170" w:line="179" w:lineRule="auto"/>
              <w:ind w:left="59"/>
              <w:rPr>
                <w:rFonts w:ascii="Calibri" w:eastAsia="Calibri" w:hAnsi="Calibri" w:cs="Calibri"/>
                <w:sz w:val="12"/>
                <w:szCs w:val="12"/>
              </w:rPr>
            </w:pPr>
            <w:r>
              <w:rPr>
                <w:rFonts w:ascii="Calibri" w:eastAsia="Calibri" w:hAnsi="Calibri" w:cs="Calibri"/>
                <w:color w:val="595959"/>
                <w:spacing w:val="-2"/>
                <w:sz w:val="12"/>
                <w:szCs w:val="12"/>
              </w:rPr>
              <w:t>0.00</w:t>
            </w:r>
          </w:p>
          <w:p>
            <w:pPr>
              <w:spacing w:before="156" w:line="458" w:lineRule="auto"/>
              <w:ind w:left="63"/>
              <w:jc w:val="both"/>
              <w:rPr>
                <w:rFonts w:ascii="Calibri" w:eastAsia="Calibri" w:hAnsi="Calibri" w:cs="Calibri"/>
                <w:sz w:val="12"/>
                <w:szCs w:val="12"/>
              </w:rPr>
            </w:pPr>
            <w:r>
              <w:rPr>
                <w:rFonts w:ascii="Calibri" w:eastAsia="Calibri" w:hAnsi="Calibri" w:cs="Calibri"/>
                <w:color w:val="FF0000"/>
                <w:spacing w:val="-2"/>
                <w:sz w:val="12"/>
                <w:szCs w:val="12"/>
              </w:rPr>
              <w:t>(5.00)</w:t>
            </w:r>
            <w:r>
              <w:rPr>
                <w:rFonts w:ascii="Calibri" w:eastAsia="Calibri" w:hAnsi="Calibri" w:cs="Calibri"/>
                <w:color w:val="FF0000"/>
                <w:spacing w:val="1"/>
                <w:sz w:val="12"/>
                <w:szCs w:val="12"/>
              </w:rPr>
              <w:t xml:space="preserve">  </w:t>
            </w:r>
            <w:r>
              <w:rPr>
                <w:rFonts w:ascii="Calibri" w:eastAsia="Calibri" w:hAnsi="Calibri" w:cs="Calibri"/>
                <w:color w:val="FF0000"/>
                <w:spacing w:val="-2"/>
                <w:sz w:val="12"/>
                <w:szCs w:val="12"/>
              </w:rPr>
              <w:t>(10.00</w:t>
            </w:r>
          </w:p>
          <w:p>
            <w:pPr>
              <w:spacing w:line="216" w:lineRule="auto"/>
              <w:jc w:val="right"/>
              <w:rPr>
                <w:rFonts w:ascii="Calibri" w:eastAsia="Calibri" w:hAnsi="Calibri" w:cs="Calibri"/>
                <w:sz w:val="12"/>
                <w:szCs w:val="12"/>
              </w:rPr>
            </w:pPr>
            <w:r>
              <w:rPr>
                <w:rFonts w:ascii="Calibri" w:eastAsia="Calibri" w:hAnsi="Calibri" w:cs="Calibri"/>
                <w:color w:val="FF0000"/>
                <w:spacing w:val="-2"/>
                <w:sz w:val="12"/>
                <w:szCs w:val="12"/>
              </w:rPr>
              <w:t>(15.00</w:t>
            </w:r>
          </w:p>
        </w:tc>
      </w:tr>
      <w:tr>
        <w:tblPrEx>
          <w:tblW w:w="9541" w:type="dxa"/>
          <w:tblInd w:w="462" w:type="dxa"/>
          <w:tblLayout w:type="fixed"/>
        </w:tblPrEx>
        <w:trPr>
          <w:trHeight w:val="622"/>
        </w:trPr>
        <w:tc>
          <w:tcPr>
            <w:tcW w:w="1145" w:type="dxa"/>
            <w:gridSpan w:val="2"/>
            <w:tcBorders>
              <w:left w:val="single" w:sz="4" w:space="0" w:color="D9D9D9"/>
              <w:bottom w:val="single" w:sz="4" w:space="0" w:color="D9D9D9"/>
            </w:tcBorders>
            <w:vAlign w:val="top"/>
          </w:tcPr>
          <w:p>
            <w:pPr>
              <w:spacing w:line="387" w:lineRule="auto"/>
              <w:rPr>
                <w:rFonts w:ascii="Arial"/>
                <w:sz w:val="21"/>
              </w:rPr>
            </w:pPr>
            <w:r>
              <w:pict>
                <v:rect id="_x0000_s1035" style="width:19.25pt;height:3.25pt;margin-top:9.76pt;margin-left:-21.14pt;mso-position-horizontal-relative:right-margin-area;mso-position-vertical-relative:top-margin-area;position:absolute;z-index:251670528" filled="t" fillcolor="#953735" stroked="f"/>
              </w:pict>
            </w:r>
          </w:p>
          <w:p>
            <w:pPr>
              <w:spacing w:line="74" w:lineRule="exact"/>
              <w:ind w:firstLine="698"/>
            </w:pPr>
            <w:r>
              <w:rPr>
                <w:position w:val="-1"/>
              </w:rPr>
              <w:drawing>
                <wp:inline distT="0" distB="0" distL="0" distR="0">
                  <wp:extent cx="269747" cy="4724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1"/>
                          <a:stretch>
                            <a:fillRect/>
                          </a:stretch>
                        </pic:blipFill>
                        <pic:spPr>
                          <a:xfrm>
                            <a:off x="0" y="0"/>
                            <a:ext cx="269747" cy="47243"/>
                          </a:xfrm>
                          <a:prstGeom prst="rect">
                            <a:avLst/>
                          </a:prstGeom>
                        </pic:spPr>
                      </pic:pic>
                    </a:graphicData>
                  </a:graphic>
                </wp:inline>
              </w:drawing>
            </w:r>
          </w:p>
        </w:tc>
        <w:tc>
          <w:tcPr>
            <w:tcW w:w="2047" w:type="dxa"/>
            <w:tcBorders>
              <w:bottom w:val="single" w:sz="4" w:space="0" w:color="D9D9D9"/>
            </w:tcBorders>
            <w:vAlign w:val="top"/>
          </w:tcPr>
          <w:p>
            <w:pPr>
              <w:pStyle w:val="TableText"/>
              <w:spacing w:before="160" w:line="201" w:lineRule="exact"/>
              <w:ind w:left="8"/>
              <w:rPr>
                <w:sz w:val="12"/>
                <w:szCs w:val="12"/>
              </w:rPr>
            </w:pPr>
            <w:r>
              <w:rPr>
                <w:color w:val="595959"/>
                <w:spacing w:val="-1"/>
                <w:position w:val="5"/>
                <w:sz w:val="12"/>
                <w:szCs w:val="12"/>
              </w:rPr>
              <w:t>房地产开发投资完成额</w:t>
            </w:r>
            <w:r>
              <w:rPr>
                <w:rFonts w:ascii="Calibri" w:eastAsia="Calibri" w:hAnsi="Calibri" w:cs="Calibri"/>
                <w:color w:val="595959"/>
                <w:spacing w:val="-1"/>
                <w:position w:val="5"/>
                <w:sz w:val="12"/>
                <w:szCs w:val="12"/>
              </w:rPr>
              <w:t>:</w:t>
            </w:r>
            <w:r>
              <w:rPr>
                <w:color w:val="595959"/>
                <w:spacing w:val="-1"/>
                <w:position w:val="5"/>
                <w:sz w:val="12"/>
                <w:szCs w:val="12"/>
              </w:rPr>
              <w:t>累计值</w:t>
            </w:r>
          </w:p>
          <w:p>
            <w:pPr>
              <w:pStyle w:val="TableText"/>
              <w:spacing w:line="239" w:lineRule="auto"/>
              <w:ind w:left="8"/>
              <w:rPr>
                <w:sz w:val="12"/>
                <w:szCs w:val="12"/>
              </w:rPr>
            </w:pPr>
            <w:r>
              <w:rPr>
                <w:color w:val="595959"/>
                <w:spacing w:val="-1"/>
                <w:sz w:val="12"/>
                <w:szCs w:val="12"/>
              </w:rPr>
              <w:t>制造业投资完成额</w:t>
            </w:r>
            <w:r>
              <w:rPr>
                <w:rFonts w:ascii="Calibri" w:eastAsia="Calibri" w:hAnsi="Calibri" w:cs="Calibri"/>
                <w:color w:val="595959"/>
                <w:spacing w:val="-1"/>
                <w:sz w:val="12"/>
                <w:szCs w:val="12"/>
              </w:rPr>
              <w:t>:</w:t>
            </w:r>
            <w:r>
              <w:rPr>
                <w:color w:val="595959"/>
                <w:spacing w:val="-1"/>
                <w:sz w:val="12"/>
                <w:szCs w:val="12"/>
              </w:rPr>
              <w:t>累计同比</w:t>
            </w:r>
          </w:p>
        </w:tc>
        <w:tc>
          <w:tcPr>
            <w:tcW w:w="887" w:type="dxa"/>
            <w:tcBorders>
              <w:bottom w:val="single" w:sz="4" w:space="0" w:color="D9D9D9"/>
            </w:tcBorders>
            <w:vAlign w:val="top"/>
          </w:tcPr>
          <w:p>
            <w:pPr>
              <w:spacing w:line="387" w:lineRule="auto"/>
              <w:rPr>
                <w:rFonts w:ascii="Arial"/>
                <w:sz w:val="21"/>
              </w:rPr>
            </w:pPr>
            <w:r>
              <w:pict>
                <v:rect id="_x0000_s1036" style="width:19.25pt;height:3.25pt;margin-top:9.76pt;margin-left:-20.96pt;mso-position-horizontal-relative:right-margin-area;mso-position-vertical-relative:top-margin-area;position:absolute;z-index:251669504" filled="t" fillcolor="#0070c0" stroked="f"/>
              </w:pict>
            </w:r>
          </w:p>
          <w:p>
            <w:pPr>
              <w:spacing w:line="74" w:lineRule="exact"/>
              <w:ind w:firstLine="446"/>
            </w:pPr>
            <w:r>
              <w:rPr>
                <w:position w:val="-1"/>
              </w:rPr>
              <w:drawing>
                <wp:inline distT="0" distB="0" distL="0" distR="0">
                  <wp:extent cx="269748" cy="47243"/>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2"/>
                          <a:stretch>
                            <a:fillRect/>
                          </a:stretch>
                        </pic:blipFill>
                        <pic:spPr>
                          <a:xfrm>
                            <a:off x="0" y="0"/>
                            <a:ext cx="269748" cy="47243"/>
                          </a:xfrm>
                          <a:prstGeom prst="rect">
                            <a:avLst/>
                          </a:prstGeom>
                        </pic:spPr>
                      </pic:pic>
                    </a:graphicData>
                  </a:graphic>
                </wp:inline>
              </w:drawing>
            </w:r>
          </w:p>
        </w:tc>
        <w:tc>
          <w:tcPr>
            <w:tcW w:w="2108" w:type="dxa"/>
            <w:tcBorders>
              <w:bottom w:val="single" w:sz="4" w:space="0" w:color="D9D9D9"/>
            </w:tcBorders>
            <w:vAlign w:val="top"/>
          </w:tcPr>
          <w:p>
            <w:pPr>
              <w:pStyle w:val="TableText"/>
              <w:spacing w:before="160"/>
              <w:ind w:left="20"/>
              <w:rPr>
                <w:sz w:val="12"/>
                <w:szCs w:val="12"/>
              </w:rPr>
            </w:pPr>
            <w:r>
              <w:rPr>
                <w:color w:val="595959"/>
                <w:spacing w:val="-2"/>
                <w:sz w:val="12"/>
                <w:szCs w:val="12"/>
              </w:rPr>
              <w:t>固定资产投资完成额</w:t>
            </w:r>
            <w:r>
              <w:rPr>
                <w:rFonts w:ascii="Calibri" w:eastAsia="Calibri" w:hAnsi="Calibri" w:cs="Calibri"/>
                <w:color w:val="595959"/>
                <w:spacing w:val="-2"/>
                <w:sz w:val="12"/>
                <w:szCs w:val="12"/>
              </w:rPr>
              <w:t>:</w:t>
            </w:r>
            <w:r>
              <w:rPr>
                <w:color w:val="595959"/>
                <w:spacing w:val="-2"/>
                <w:sz w:val="12"/>
                <w:szCs w:val="12"/>
              </w:rPr>
              <w:t>累计值</w:t>
            </w:r>
          </w:p>
          <w:p>
            <w:pPr>
              <w:pStyle w:val="TableText"/>
              <w:spacing w:before="45"/>
              <w:ind w:left="10"/>
              <w:rPr>
                <w:sz w:val="12"/>
                <w:szCs w:val="12"/>
              </w:rPr>
            </w:pPr>
            <w:r>
              <w:rPr>
                <w:color w:val="595959"/>
                <w:spacing w:val="-1"/>
                <w:sz w:val="12"/>
                <w:szCs w:val="12"/>
              </w:rPr>
              <w:t>房地产开发投资完成额</w:t>
            </w:r>
            <w:r>
              <w:rPr>
                <w:rFonts w:ascii="Calibri" w:eastAsia="Calibri" w:hAnsi="Calibri" w:cs="Calibri"/>
                <w:color w:val="595959"/>
                <w:spacing w:val="-1"/>
                <w:sz w:val="12"/>
                <w:szCs w:val="12"/>
              </w:rPr>
              <w:t>:</w:t>
            </w:r>
            <w:r>
              <w:rPr>
                <w:color w:val="595959"/>
                <w:spacing w:val="-1"/>
                <w:sz w:val="12"/>
                <w:szCs w:val="12"/>
              </w:rPr>
              <w:t>累计同比</w:t>
            </w:r>
          </w:p>
        </w:tc>
        <w:tc>
          <w:tcPr>
            <w:tcW w:w="827" w:type="dxa"/>
            <w:tcBorders>
              <w:bottom w:val="single" w:sz="4" w:space="0" w:color="D9D9D9"/>
            </w:tcBorders>
            <w:vAlign w:val="top"/>
          </w:tcPr>
          <w:p>
            <w:pPr>
              <w:spacing w:before="187" w:line="277" w:lineRule="exact"/>
              <w:ind w:firstLine="388"/>
            </w:pPr>
            <w:r>
              <w:rPr>
                <w:position w:val="-5"/>
              </w:rPr>
              <w:drawing>
                <wp:inline distT="0" distB="0" distL="0" distR="0">
                  <wp:extent cx="269747" cy="17526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3"/>
                          <a:stretch>
                            <a:fillRect/>
                          </a:stretch>
                        </pic:blipFill>
                        <pic:spPr>
                          <a:xfrm>
                            <a:off x="0" y="0"/>
                            <a:ext cx="269747" cy="175260"/>
                          </a:xfrm>
                          <a:prstGeom prst="rect">
                            <a:avLst/>
                          </a:prstGeom>
                        </pic:spPr>
                      </pic:pic>
                    </a:graphicData>
                  </a:graphic>
                </wp:inline>
              </w:drawing>
            </w:r>
          </w:p>
        </w:tc>
        <w:tc>
          <w:tcPr>
            <w:tcW w:w="2527" w:type="dxa"/>
            <w:gridSpan w:val="2"/>
            <w:tcBorders>
              <w:bottom w:val="single" w:sz="4" w:space="0" w:color="D9D9D9"/>
            </w:tcBorders>
            <w:vAlign w:val="top"/>
          </w:tcPr>
          <w:p>
            <w:pPr>
              <w:pStyle w:val="TableText"/>
              <w:spacing w:before="160"/>
              <w:ind w:left="22"/>
              <w:rPr>
                <w:sz w:val="12"/>
                <w:szCs w:val="12"/>
              </w:rPr>
            </w:pPr>
            <w:r>
              <w:rPr>
                <w:color w:val="595959"/>
                <w:spacing w:val="-2"/>
                <w:sz w:val="12"/>
                <w:szCs w:val="12"/>
              </w:rPr>
              <w:t>固定资产投资完成额</w:t>
            </w:r>
            <w:r>
              <w:rPr>
                <w:rFonts w:ascii="Calibri" w:eastAsia="Calibri" w:hAnsi="Calibri" w:cs="Calibri"/>
                <w:color w:val="595959"/>
                <w:spacing w:val="-2"/>
                <w:sz w:val="12"/>
                <w:szCs w:val="12"/>
              </w:rPr>
              <w:t>:</w:t>
            </w:r>
            <w:r>
              <w:rPr>
                <w:color w:val="595959"/>
                <w:spacing w:val="-2"/>
                <w:sz w:val="12"/>
                <w:szCs w:val="12"/>
              </w:rPr>
              <w:t>累计同比</w:t>
            </w:r>
          </w:p>
          <w:p>
            <w:pPr>
              <w:pStyle w:val="TableText"/>
              <w:spacing w:before="45"/>
              <w:ind w:left="12"/>
              <w:rPr>
                <w:sz w:val="12"/>
                <w:szCs w:val="12"/>
              </w:rPr>
            </w:pPr>
            <w:r>
              <w:rPr>
                <w:color w:val="595959"/>
                <w:spacing w:val="-1"/>
                <w:sz w:val="12"/>
                <w:szCs w:val="12"/>
              </w:rPr>
              <w:t>基础设施建设投资完成额</w:t>
            </w:r>
            <w:r>
              <w:rPr>
                <w:rFonts w:ascii="Calibri" w:eastAsia="Calibri" w:hAnsi="Calibri" w:cs="Calibri"/>
                <w:color w:val="595959"/>
                <w:spacing w:val="-1"/>
                <w:sz w:val="12"/>
                <w:szCs w:val="12"/>
              </w:rPr>
              <w:t>:</w:t>
            </w:r>
            <w:r>
              <w:rPr>
                <w:color w:val="595959"/>
                <w:spacing w:val="-1"/>
                <w:sz w:val="12"/>
                <w:szCs w:val="12"/>
              </w:rPr>
              <w:t>累计同比</w:t>
            </w:r>
          </w:p>
        </w:tc>
      </w:tr>
    </w:tbl>
    <w:p>
      <w:pPr>
        <w:spacing w:before="159" w:line="221" w:lineRule="auto"/>
        <w:ind w:left="771"/>
        <w:rPr>
          <w:rFonts w:ascii="SimSun" w:eastAsia="SimSun" w:hAnsi="SimSun" w:cs="SimSun"/>
          <w:sz w:val="15"/>
          <w:szCs w:val="15"/>
        </w:rPr>
      </w:pPr>
      <w:r>
        <w:rPr>
          <w:rFonts w:ascii="SimSun" w:eastAsia="SimSun" w:hAnsi="SimSun" w:cs="SimSun"/>
          <w:spacing w:val="-2"/>
          <w:sz w:val="15"/>
          <w:szCs w:val="15"/>
        </w:rPr>
        <w:t>注：根据</w:t>
      </w:r>
      <w:r>
        <w:rPr>
          <w:rFonts w:ascii="SimSun" w:eastAsia="SimSun" w:hAnsi="SimSun" w:cs="SimSun"/>
          <w:spacing w:val="-32"/>
          <w:sz w:val="15"/>
          <w:szCs w:val="15"/>
        </w:rPr>
        <w:t xml:space="preserve"> </w:t>
      </w:r>
      <w:r>
        <w:rPr>
          <w:rFonts w:ascii="Times New Roman" w:eastAsia="Times New Roman" w:hAnsi="Times New Roman" w:cs="Times New Roman"/>
          <w:spacing w:val="-2"/>
          <w:sz w:val="15"/>
          <w:szCs w:val="15"/>
        </w:rPr>
        <w:t>WIND</w:t>
      </w:r>
      <w:r>
        <w:rPr>
          <w:rFonts w:ascii="Times New Roman" w:eastAsia="Times New Roman" w:hAnsi="Times New Roman" w:cs="Times New Roman"/>
          <w:spacing w:val="13"/>
          <w:sz w:val="15"/>
          <w:szCs w:val="15"/>
        </w:rPr>
        <w:t xml:space="preserve"> </w:t>
      </w:r>
      <w:r>
        <w:rPr>
          <w:rFonts w:ascii="SimSun" w:eastAsia="SimSun" w:hAnsi="SimSun" w:cs="SimSun"/>
          <w:spacing w:val="-2"/>
          <w:sz w:val="15"/>
          <w:szCs w:val="15"/>
        </w:rPr>
        <w:t>资讯数据整理绘制。</w:t>
      </w:r>
    </w:p>
    <w:p>
      <w:pPr>
        <w:spacing w:before="170" w:line="284" w:lineRule="auto"/>
        <w:ind w:left="356" w:right="55" w:firstLine="3"/>
        <w:jc w:val="both"/>
        <w:rPr>
          <w:rFonts w:ascii="SimSun" w:eastAsia="SimSun" w:hAnsi="SimSun" w:cs="SimSun"/>
          <w:sz w:val="21"/>
          <w:szCs w:val="21"/>
        </w:rPr>
      </w:pPr>
      <w:r>
        <w:rPr>
          <w:rFonts w:ascii="SimSun" w:eastAsia="SimSun" w:hAnsi="SimSun" w:cs="SimSun"/>
          <w:spacing w:val="-4"/>
          <w:sz w:val="21"/>
          <w:szCs w:val="21"/>
        </w:rPr>
        <w:t>从机械行业运行状况看，</w:t>
      </w:r>
      <w:r>
        <w:rPr>
          <w:rFonts w:ascii="SimSun" w:eastAsia="SimSun" w:hAnsi="SimSun" w:cs="SimSun"/>
          <w:spacing w:val="-22"/>
          <w:sz w:val="21"/>
          <w:szCs w:val="21"/>
        </w:rPr>
        <w:t xml:space="preserve"> </w:t>
      </w:r>
      <w:r>
        <w:rPr>
          <w:rFonts w:ascii="SimSun" w:eastAsia="SimSun" w:hAnsi="SimSun" w:cs="SimSun"/>
          <w:spacing w:val="-4"/>
          <w:sz w:val="21"/>
          <w:szCs w:val="21"/>
        </w:rPr>
        <w:t>根据中国机械工业联合</w:t>
      </w:r>
      <w:r>
        <w:rPr>
          <w:rFonts w:ascii="SimSun" w:eastAsia="SimSun" w:hAnsi="SimSun" w:cs="SimSun"/>
          <w:spacing w:val="-5"/>
          <w:sz w:val="21"/>
          <w:szCs w:val="21"/>
        </w:rPr>
        <w:t xml:space="preserve">会数据， </w:t>
      </w:r>
      <w:r>
        <w:rPr>
          <w:rFonts w:ascii="Times New Roman" w:eastAsia="Times New Roman" w:hAnsi="Times New Roman" w:cs="Times New Roman"/>
          <w:spacing w:val="-5"/>
          <w:sz w:val="21"/>
          <w:szCs w:val="21"/>
        </w:rPr>
        <w:t>2022</w:t>
      </w:r>
      <w:r>
        <w:rPr>
          <w:rFonts w:ascii="Times New Roman" w:eastAsia="Times New Roman" w:hAnsi="Times New Roman" w:cs="Times New Roman"/>
          <w:spacing w:val="14"/>
          <w:w w:val="101"/>
          <w:sz w:val="21"/>
          <w:szCs w:val="21"/>
        </w:rPr>
        <w:t xml:space="preserve"> </w:t>
      </w:r>
      <w:r>
        <w:rPr>
          <w:rFonts w:ascii="SimSun" w:eastAsia="SimSun" w:hAnsi="SimSun" w:cs="SimSun"/>
          <w:spacing w:val="-5"/>
          <w:sz w:val="21"/>
          <w:szCs w:val="21"/>
        </w:rPr>
        <w:t>年我国机械工业</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16"/>
          <w:position w:val="6"/>
          <w:sz w:val="13"/>
          <w:szCs w:val="13"/>
        </w:rPr>
        <w:t xml:space="preserve"> </w:t>
      </w:r>
      <w:r>
        <w:rPr>
          <w:rFonts w:ascii="SimSun" w:eastAsia="SimSun" w:hAnsi="SimSun" w:cs="SimSun"/>
          <w:spacing w:val="-5"/>
          <w:sz w:val="21"/>
          <w:szCs w:val="21"/>
        </w:rPr>
        <w:t>累计实现营业收入</w:t>
      </w:r>
      <w:r>
        <w:rPr>
          <w:rFonts w:ascii="SimSun" w:eastAsia="SimSun" w:hAnsi="SimSun" w:cs="SimSun"/>
          <w:spacing w:val="-43"/>
          <w:sz w:val="21"/>
          <w:szCs w:val="21"/>
        </w:rPr>
        <w:t xml:space="preserve"> </w:t>
      </w:r>
      <w:r>
        <w:rPr>
          <w:rFonts w:ascii="Times New Roman" w:eastAsia="Times New Roman" w:hAnsi="Times New Roman" w:cs="Times New Roman"/>
          <w:spacing w:val="-5"/>
          <w:sz w:val="21"/>
          <w:szCs w:val="21"/>
        </w:rPr>
        <w:t>28.9</w:t>
      </w:r>
      <w:r>
        <w:rPr>
          <w:rFonts w:ascii="Times New Roman" w:eastAsia="Times New Roman" w:hAnsi="Times New Roman" w:cs="Times New Roman"/>
          <w:spacing w:val="16"/>
          <w:sz w:val="21"/>
          <w:szCs w:val="21"/>
        </w:rPr>
        <w:t xml:space="preserve"> </w:t>
      </w:r>
      <w:r>
        <w:rPr>
          <w:rFonts w:ascii="SimSun" w:eastAsia="SimSun" w:hAnsi="SimSun" w:cs="SimSun"/>
          <w:spacing w:val="-5"/>
          <w:sz w:val="21"/>
          <w:szCs w:val="21"/>
        </w:rPr>
        <w:t>万</w:t>
      </w:r>
      <w:r>
        <w:rPr>
          <w:rFonts w:ascii="SimSun" w:eastAsia="SimSun" w:hAnsi="SimSun" w:cs="SimSun"/>
          <w:sz w:val="21"/>
          <w:szCs w:val="21"/>
        </w:rPr>
        <w:t xml:space="preserve"> </w:t>
      </w:r>
      <w:r>
        <w:rPr>
          <w:rFonts w:ascii="SimSun" w:eastAsia="SimSun" w:hAnsi="SimSun" w:cs="SimSun"/>
          <w:spacing w:val="-3"/>
          <w:sz w:val="21"/>
          <w:szCs w:val="21"/>
        </w:rPr>
        <w:t>亿元，同比增长</w:t>
      </w:r>
      <w:r>
        <w:rPr>
          <w:rFonts w:ascii="SimSun" w:eastAsia="SimSun" w:hAnsi="SimSun" w:cs="SimSun"/>
          <w:spacing w:val="-44"/>
          <w:sz w:val="21"/>
          <w:szCs w:val="21"/>
        </w:rPr>
        <w:t xml:space="preserve"> </w:t>
      </w:r>
      <w:r>
        <w:rPr>
          <w:rFonts w:ascii="Times New Roman" w:eastAsia="Times New Roman" w:hAnsi="Times New Roman" w:cs="Times New Roman"/>
          <w:spacing w:val="-3"/>
          <w:sz w:val="21"/>
          <w:szCs w:val="21"/>
        </w:rPr>
        <w:t>9.6%</w:t>
      </w:r>
      <w:r>
        <w:rPr>
          <w:rFonts w:ascii="SimSun" w:eastAsia="SimSun" w:hAnsi="SimSun" w:cs="SimSun"/>
          <w:spacing w:val="-3"/>
          <w:sz w:val="21"/>
          <w:szCs w:val="21"/>
        </w:rPr>
        <w:t>，增速较上年下降</w:t>
      </w:r>
      <w:r>
        <w:rPr>
          <w:rFonts w:ascii="SimSun" w:eastAsia="SimSun" w:hAnsi="SimSun" w:cs="SimSun"/>
          <w:spacing w:val="-43"/>
          <w:sz w:val="21"/>
          <w:szCs w:val="21"/>
        </w:rPr>
        <w:t xml:space="preserve"> </w:t>
      </w:r>
      <w:r>
        <w:rPr>
          <w:rFonts w:ascii="Times New Roman" w:eastAsia="Times New Roman" w:hAnsi="Times New Roman" w:cs="Times New Roman"/>
          <w:spacing w:val="-4"/>
          <w:sz w:val="21"/>
          <w:szCs w:val="21"/>
        </w:rPr>
        <w:t xml:space="preserve">6 </w:t>
      </w:r>
      <w:r>
        <w:rPr>
          <w:rFonts w:ascii="SimSun" w:eastAsia="SimSun" w:hAnsi="SimSun" w:cs="SimSun"/>
          <w:spacing w:val="-4"/>
          <w:sz w:val="21"/>
          <w:szCs w:val="21"/>
        </w:rPr>
        <w:t>个百分点；实现利润总额</w:t>
      </w:r>
      <w:r>
        <w:rPr>
          <w:rFonts w:ascii="SimSun" w:eastAsia="SimSun" w:hAnsi="SimSun" w:cs="SimSun"/>
          <w:spacing w:val="-27"/>
          <w:sz w:val="21"/>
          <w:szCs w:val="21"/>
        </w:rPr>
        <w:t xml:space="preserve"> </w:t>
      </w:r>
      <w:r>
        <w:rPr>
          <w:rFonts w:ascii="Times New Roman" w:eastAsia="Times New Roman" w:hAnsi="Times New Roman" w:cs="Times New Roman"/>
          <w:spacing w:val="-4"/>
          <w:sz w:val="21"/>
          <w:szCs w:val="21"/>
        </w:rPr>
        <w:t>1.8</w:t>
      </w:r>
      <w:r>
        <w:rPr>
          <w:rFonts w:ascii="Times New Roman" w:eastAsia="Times New Roman" w:hAnsi="Times New Roman" w:cs="Times New Roman"/>
          <w:spacing w:val="13"/>
          <w:w w:val="101"/>
          <w:sz w:val="21"/>
          <w:szCs w:val="21"/>
        </w:rPr>
        <w:t xml:space="preserve"> </w:t>
      </w:r>
      <w:r>
        <w:rPr>
          <w:rFonts w:ascii="SimSun" w:eastAsia="SimSun" w:hAnsi="SimSun" w:cs="SimSun"/>
          <w:spacing w:val="-4"/>
          <w:sz w:val="21"/>
          <w:szCs w:val="21"/>
        </w:rPr>
        <w:t>万亿元， 同比增长</w:t>
      </w:r>
      <w:r>
        <w:rPr>
          <w:rFonts w:ascii="SimSun" w:eastAsia="SimSun" w:hAnsi="SimSun" w:cs="SimSun"/>
          <w:spacing w:val="-30"/>
          <w:sz w:val="21"/>
          <w:szCs w:val="21"/>
        </w:rPr>
        <w:t xml:space="preserve"> </w:t>
      </w:r>
      <w:r>
        <w:rPr>
          <w:rFonts w:ascii="Times New Roman" w:eastAsia="Times New Roman" w:hAnsi="Times New Roman" w:cs="Times New Roman"/>
          <w:spacing w:val="-4"/>
          <w:sz w:val="21"/>
          <w:szCs w:val="21"/>
        </w:rPr>
        <w:t>12.1%</w:t>
      </w:r>
      <w:r>
        <w:rPr>
          <w:rFonts w:ascii="SimSun" w:eastAsia="SimSun" w:hAnsi="SimSun" w:cs="SimSun"/>
          <w:spacing w:val="-4"/>
          <w:sz w:val="21"/>
          <w:szCs w:val="21"/>
        </w:rPr>
        <w:t>，增速较</w:t>
      </w:r>
      <w:r>
        <w:rPr>
          <w:rFonts w:ascii="SimSun" w:eastAsia="SimSun" w:hAnsi="SimSun" w:cs="SimSun"/>
          <w:sz w:val="21"/>
          <w:szCs w:val="21"/>
        </w:rPr>
        <w:t xml:space="preserve"> </w:t>
      </w:r>
      <w:r>
        <w:rPr>
          <w:rFonts w:ascii="SimSun" w:eastAsia="SimSun" w:hAnsi="SimSun" w:cs="SimSun"/>
          <w:spacing w:val="-4"/>
          <w:sz w:val="21"/>
          <w:szCs w:val="21"/>
        </w:rPr>
        <w:t>上年提升</w:t>
      </w:r>
      <w:r>
        <w:rPr>
          <w:rFonts w:ascii="SimSun" w:eastAsia="SimSun" w:hAnsi="SimSun" w:cs="SimSun"/>
          <w:spacing w:val="-37"/>
          <w:sz w:val="21"/>
          <w:szCs w:val="21"/>
        </w:rPr>
        <w:t xml:space="preserve"> </w:t>
      </w:r>
      <w:r>
        <w:rPr>
          <w:rFonts w:ascii="Times New Roman" w:eastAsia="Times New Roman" w:hAnsi="Times New Roman" w:cs="Times New Roman"/>
          <w:spacing w:val="-4"/>
          <w:sz w:val="21"/>
          <w:szCs w:val="21"/>
        </w:rPr>
        <w:t xml:space="preserve">0.46 </w:t>
      </w:r>
      <w:r>
        <w:rPr>
          <w:rFonts w:ascii="SimSun" w:eastAsia="SimSun" w:hAnsi="SimSun" w:cs="SimSun"/>
          <w:spacing w:val="-4"/>
          <w:sz w:val="21"/>
          <w:szCs w:val="21"/>
        </w:rPr>
        <w:t>个百分点，</w:t>
      </w:r>
      <w:r>
        <w:rPr>
          <w:rFonts w:ascii="SimSun" w:eastAsia="SimSun" w:hAnsi="SimSun" w:cs="SimSun"/>
          <w:spacing w:val="-41"/>
          <w:sz w:val="21"/>
          <w:szCs w:val="21"/>
        </w:rPr>
        <w:t xml:space="preserve"> </w:t>
      </w:r>
      <w:r>
        <w:rPr>
          <w:rFonts w:ascii="SimSun" w:eastAsia="SimSun" w:hAnsi="SimSun" w:cs="SimSun"/>
          <w:spacing w:val="-4"/>
          <w:sz w:val="21"/>
          <w:szCs w:val="21"/>
        </w:rPr>
        <w:t>在产业转型升级及原材料价格波动影响减弱下，机械行业盈利能力提升。</w:t>
      </w:r>
      <w:r>
        <w:rPr>
          <w:rFonts w:ascii="Times New Roman" w:eastAsia="Times New Roman" w:hAnsi="Times New Roman" w:cs="Times New Roman"/>
          <w:spacing w:val="-4"/>
          <w:sz w:val="21"/>
          <w:szCs w:val="21"/>
        </w:rPr>
        <w:t xml:space="preserve">2023 </w:t>
      </w:r>
      <w:r>
        <w:rPr>
          <w:rFonts w:ascii="SimSun" w:eastAsia="SimSun" w:hAnsi="SimSun" w:cs="SimSun"/>
          <w:spacing w:val="-4"/>
          <w:sz w:val="21"/>
          <w:szCs w:val="21"/>
        </w:rPr>
        <w:t>年</w:t>
      </w:r>
      <w:r>
        <w:rPr>
          <w:rFonts w:ascii="SimSun" w:eastAsia="SimSun" w:hAnsi="SimSun" w:cs="SimSun"/>
          <w:sz w:val="21"/>
          <w:szCs w:val="21"/>
        </w:rPr>
        <w:t xml:space="preserve"> </w:t>
      </w:r>
      <w:r>
        <w:rPr>
          <w:rFonts w:ascii="SimSun" w:eastAsia="SimSun" w:hAnsi="SimSun" w:cs="SimSun"/>
          <w:spacing w:val="-3"/>
          <w:sz w:val="21"/>
          <w:szCs w:val="21"/>
        </w:rPr>
        <w:t>以来技术创新引领产品结构继续优化升级，</w:t>
      </w:r>
      <w:r>
        <w:rPr>
          <w:rFonts w:ascii="SimSun" w:eastAsia="SimSun" w:hAnsi="SimSun" w:cs="SimSun"/>
          <w:spacing w:val="-34"/>
          <w:sz w:val="21"/>
          <w:szCs w:val="21"/>
        </w:rPr>
        <w:t xml:space="preserve"> </w:t>
      </w:r>
      <w:r>
        <w:rPr>
          <w:rFonts w:ascii="SimSun" w:eastAsia="SimSun" w:hAnsi="SimSun" w:cs="SimSun"/>
          <w:spacing w:val="-3"/>
          <w:sz w:val="21"/>
          <w:szCs w:val="21"/>
        </w:rPr>
        <w:t>支撑机械工业经济效益指标上升，</w:t>
      </w:r>
      <w:r>
        <w:rPr>
          <w:rFonts w:ascii="Times New Roman" w:eastAsia="Times New Roman" w:hAnsi="Times New Roman" w:cs="Times New Roman"/>
          <w:spacing w:val="-3"/>
          <w:sz w:val="21"/>
          <w:szCs w:val="21"/>
        </w:rPr>
        <w:t xml:space="preserve">2023 </w:t>
      </w:r>
      <w:r>
        <w:rPr>
          <w:rFonts w:ascii="SimSun" w:eastAsia="SimSun" w:hAnsi="SimSun" w:cs="SimSun"/>
          <w:spacing w:val="-3"/>
          <w:sz w:val="21"/>
          <w:szCs w:val="21"/>
        </w:rPr>
        <w:t>年上半年度我国机械工</w:t>
      </w:r>
      <w:r>
        <w:rPr>
          <w:rFonts w:ascii="SimSun" w:eastAsia="SimSun" w:hAnsi="SimSun" w:cs="SimSun"/>
          <w:sz w:val="21"/>
          <w:szCs w:val="21"/>
        </w:rPr>
        <w:t xml:space="preserve"> </w:t>
      </w:r>
      <w:r>
        <w:rPr>
          <w:rFonts w:ascii="SimSun" w:eastAsia="SimSun" w:hAnsi="SimSun" w:cs="SimSun"/>
          <w:spacing w:val="-1"/>
          <w:sz w:val="21"/>
          <w:szCs w:val="21"/>
        </w:rPr>
        <w:t>业累计实现营业收入</w:t>
      </w:r>
      <w:r>
        <w:rPr>
          <w:rFonts w:ascii="SimSun" w:eastAsia="SimSun" w:hAnsi="SimSun" w:cs="SimSun"/>
          <w:spacing w:val="-27"/>
          <w:sz w:val="21"/>
          <w:szCs w:val="21"/>
        </w:rPr>
        <w:t xml:space="preserve"> </w:t>
      </w:r>
      <w:r>
        <w:rPr>
          <w:rFonts w:ascii="Times New Roman" w:eastAsia="Times New Roman" w:hAnsi="Times New Roman" w:cs="Times New Roman"/>
          <w:spacing w:val="-1"/>
          <w:sz w:val="21"/>
          <w:szCs w:val="21"/>
        </w:rPr>
        <w:t xml:space="preserve">13.6 </w:t>
      </w:r>
      <w:r>
        <w:rPr>
          <w:rFonts w:ascii="SimSun" w:eastAsia="SimSun" w:hAnsi="SimSun" w:cs="SimSun"/>
          <w:spacing w:val="-1"/>
          <w:sz w:val="21"/>
          <w:szCs w:val="21"/>
        </w:rPr>
        <w:t>万亿元，同比增长</w:t>
      </w:r>
      <w:r>
        <w:rPr>
          <w:rFonts w:ascii="SimSun" w:eastAsia="SimSun" w:hAnsi="SimSun" w:cs="SimSun"/>
          <w:spacing w:val="-44"/>
          <w:sz w:val="21"/>
          <w:szCs w:val="21"/>
        </w:rPr>
        <w:t xml:space="preserve"> </w:t>
      </w:r>
      <w:r>
        <w:rPr>
          <w:rFonts w:ascii="Times New Roman" w:eastAsia="Times New Roman" w:hAnsi="Times New Roman" w:cs="Times New Roman"/>
          <w:spacing w:val="-1"/>
          <w:sz w:val="21"/>
          <w:szCs w:val="21"/>
        </w:rPr>
        <w:t>9.4%</w:t>
      </w:r>
      <w:r>
        <w:rPr>
          <w:rFonts w:ascii="SimSun" w:eastAsia="SimSun" w:hAnsi="SimSun" w:cs="SimSun"/>
          <w:spacing w:val="-1"/>
          <w:sz w:val="21"/>
          <w:szCs w:val="21"/>
        </w:rPr>
        <w:t>；实现利</w:t>
      </w:r>
      <w:r>
        <w:rPr>
          <w:rFonts w:ascii="SimSun" w:eastAsia="SimSun" w:hAnsi="SimSun" w:cs="SimSun"/>
          <w:spacing w:val="-2"/>
          <w:sz w:val="21"/>
          <w:szCs w:val="21"/>
        </w:rPr>
        <w:t>润总额</w:t>
      </w:r>
      <w:r>
        <w:rPr>
          <w:rFonts w:ascii="SimSun" w:eastAsia="SimSun" w:hAnsi="SimSun" w:cs="SimSun"/>
          <w:spacing w:val="-44"/>
          <w:sz w:val="21"/>
          <w:szCs w:val="21"/>
        </w:rPr>
        <w:t xml:space="preserve"> </w:t>
      </w:r>
      <w:r>
        <w:rPr>
          <w:rFonts w:ascii="Times New Roman" w:eastAsia="Times New Roman" w:hAnsi="Times New Roman" w:cs="Times New Roman"/>
          <w:spacing w:val="-2"/>
          <w:sz w:val="21"/>
          <w:szCs w:val="21"/>
        </w:rPr>
        <w:t xml:space="preserve">0.78 </w:t>
      </w:r>
      <w:r>
        <w:rPr>
          <w:rFonts w:ascii="SimSun" w:eastAsia="SimSun" w:hAnsi="SimSun" w:cs="SimSun"/>
          <w:spacing w:val="-2"/>
          <w:sz w:val="21"/>
          <w:szCs w:val="21"/>
        </w:rPr>
        <w:t>亿元，同比增长</w:t>
      </w:r>
      <w:r>
        <w:rPr>
          <w:rFonts w:ascii="SimSun" w:eastAsia="SimSun" w:hAnsi="SimSun" w:cs="SimSun"/>
          <w:spacing w:val="-28"/>
          <w:sz w:val="21"/>
          <w:szCs w:val="21"/>
        </w:rPr>
        <w:t xml:space="preserve"> </w:t>
      </w:r>
      <w:r>
        <w:rPr>
          <w:rFonts w:ascii="Times New Roman" w:eastAsia="Times New Roman" w:hAnsi="Times New Roman" w:cs="Times New Roman"/>
          <w:spacing w:val="-2"/>
          <w:sz w:val="21"/>
          <w:szCs w:val="21"/>
        </w:rPr>
        <w:t>12.2%</w:t>
      </w:r>
      <w:r>
        <w:rPr>
          <w:rFonts w:ascii="SimSun" w:eastAsia="SimSun" w:hAnsi="SimSun" w:cs="SimSun"/>
          <w:spacing w:val="-2"/>
          <w:sz w:val="21"/>
          <w:szCs w:val="21"/>
        </w:rPr>
        <w:t>。</w:t>
      </w:r>
    </w:p>
    <w:p>
      <w:pPr>
        <w:spacing w:before="209" w:line="286" w:lineRule="auto"/>
        <w:ind w:left="356" w:firstLine="26"/>
        <w:jc w:val="both"/>
        <w:rPr>
          <w:rFonts w:ascii="SimSun" w:eastAsia="SimSun" w:hAnsi="SimSun" w:cs="SimSun"/>
          <w:sz w:val="21"/>
          <w:szCs w:val="21"/>
        </w:rPr>
      </w:pPr>
      <w:r>
        <w:rPr>
          <w:rFonts w:ascii="SimSun" w:eastAsia="SimSun" w:hAnsi="SimSun" w:cs="SimSun"/>
          <w:spacing w:val="-3"/>
          <w:sz w:val="21"/>
          <w:szCs w:val="21"/>
        </w:rPr>
        <w:t>由于下游行业需求状况差异，</w:t>
      </w:r>
      <w:r>
        <w:rPr>
          <w:rFonts w:ascii="SimSun" w:eastAsia="SimSun" w:hAnsi="SimSun" w:cs="SimSun"/>
          <w:spacing w:val="-17"/>
          <w:sz w:val="21"/>
          <w:szCs w:val="21"/>
        </w:rPr>
        <w:t xml:space="preserve"> </w:t>
      </w:r>
      <w:r>
        <w:rPr>
          <w:rFonts w:ascii="SimSun" w:eastAsia="SimSun" w:hAnsi="SimSun" w:cs="SimSun"/>
          <w:spacing w:val="-3"/>
          <w:sz w:val="21"/>
          <w:szCs w:val="21"/>
        </w:rPr>
        <w:t>机械产品表现分化。近年来国家鼓励创新驱动，战略性新兴产业对机械行业</w:t>
      </w:r>
      <w:r>
        <w:rPr>
          <w:rFonts w:ascii="SimSun" w:eastAsia="SimSun" w:hAnsi="SimSun" w:cs="SimSun"/>
          <w:sz w:val="21"/>
          <w:szCs w:val="21"/>
        </w:rPr>
        <w:t xml:space="preserve"> </w:t>
      </w:r>
      <w:r>
        <w:rPr>
          <w:rFonts w:ascii="SimSun" w:eastAsia="SimSun" w:hAnsi="SimSun" w:cs="SimSun"/>
          <w:spacing w:val="-2"/>
          <w:sz w:val="21"/>
          <w:szCs w:val="21"/>
        </w:rPr>
        <w:t>的引领作用显著。根据中国机械工业联合会数据，</w:t>
      </w:r>
      <w:r>
        <w:rPr>
          <w:rFonts w:ascii="SimSun" w:eastAsia="SimSun" w:hAnsi="SimSun" w:cs="SimSun"/>
          <w:spacing w:val="-62"/>
          <w:sz w:val="21"/>
          <w:szCs w:val="21"/>
        </w:rPr>
        <w:t xml:space="preserve"> </w:t>
      </w:r>
      <w:r>
        <w:rPr>
          <w:rFonts w:ascii="Times New Roman" w:eastAsia="Times New Roman" w:hAnsi="Times New Roman" w:cs="Times New Roman"/>
          <w:spacing w:val="-2"/>
          <w:sz w:val="21"/>
          <w:szCs w:val="21"/>
        </w:rPr>
        <w:t xml:space="preserve">2022 </w:t>
      </w:r>
      <w:r>
        <w:rPr>
          <w:rFonts w:ascii="SimSun" w:eastAsia="SimSun" w:hAnsi="SimSun" w:cs="SimSun"/>
          <w:spacing w:val="-2"/>
          <w:sz w:val="21"/>
          <w:szCs w:val="21"/>
        </w:rPr>
        <w:t>年</w:t>
      </w:r>
      <w:r>
        <w:rPr>
          <w:rFonts w:ascii="SimSun" w:eastAsia="SimSun" w:hAnsi="SimSun" w:cs="SimSun"/>
          <w:spacing w:val="-3"/>
          <w:sz w:val="21"/>
          <w:szCs w:val="21"/>
        </w:rPr>
        <w:t>机械工业战略性新兴产业相关行业合计实现营业</w:t>
      </w:r>
      <w:r>
        <w:rPr>
          <w:rFonts w:ascii="SimSun" w:eastAsia="SimSun" w:hAnsi="SimSun" w:cs="SimSun"/>
          <w:sz w:val="21"/>
          <w:szCs w:val="21"/>
        </w:rPr>
        <w:t xml:space="preserve"> </w:t>
      </w:r>
      <w:r>
        <w:rPr>
          <w:rFonts w:ascii="SimSun" w:eastAsia="SimSun" w:hAnsi="SimSun" w:cs="SimSun"/>
          <w:spacing w:val="-3"/>
          <w:sz w:val="21"/>
          <w:szCs w:val="21"/>
        </w:rPr>
        <w:t>收入</w:t>
      </w:r>
      <w:r>
        <w:rPr>
          <w:rFonts w:ascii="SimSun" w:eastAsia="SimSun" w:hAnsi="SimSun" w:cs="SimSun"/>
          <w:spacing w:val="-45"/>
          <w:sz w:val="21"/>
          <w:szCs w:val="21"/>
        </w:rPr>
        <w:t xml:space="preserve"> </w:t>
      </w:r>
      <w:r>
        <w:rPr>
          <w:rFonts w:ascii="Times New Roman" w:eastAsia="Times New Roman" w:hAnsi="Times New Roman" w:cs="Times New Roman"/>
          <w:spacing w:val="-3"/>
          <w:sz w:val="21"/>
          <w:szCs w:val="21"/>
        </w:rPr>
        <w:t>23.1</w:t>
      </w:r>
      <w:r>
        <w:rPr>
          <w:rFonts w:ascii="Times New Roman" w:eastAsia="Times New Roman" w:hAnsi="Times New Roman" w:cs="Times New Roman"/>
          <w:spacing w:val="16"/>
          <w:sz w:val="21"/>
          <w:szCs w:val="21"/>
        </w:rPr>
        <w:t xml:space="preserve"> </w:t>
      </w:r>
      <w:r>
        <w:rPr>
          <w:rFonts w:ascii="SimSun" w:eastAsia="SimSun" w:hAnsi="SimSun" w:cs="SimSun"/>
          <w:spacing w:val="-3"/>
          <w:sz w:val="21"/>
          <w:szCs w:val="21"/>
        </w:rPr>
        <w:t>万亿元，同比增长</w:t>
      </w:r>
      <w:r>
        <w:rPr>
          <w:rFonts w:ascii="SimSun" w:eastAsia="SimSun" w:hAnsi="SimSun" w:cs="SimSun"/>
          <w:spacing w:val="-26"/>
          <w:sz w:val="21"/>
          <w:szCs w:val="21"/>
        </w:rPr>
        <w:t xml:space="preserve"> </w:t>
      </w:r>
      <w:r>
        <w:rPr>
          <w:rFonts w:ascii="Times New Roman" w:eastAsia="Times New Roman" w:hAnsi="Times New Roman" w:cs="Times New Roman"/>
          <w:spacing w:val="-3"/>
          <w:sz w:val="21"/>
          <w:szCs w:val="21"/>
        </w:rPr>
        <w:t>13%</w:t>
      </w:r>
      <w:r>
        <w:rPr>
          <w:rFonts w:ascii="SimSun" w:eastAsia="SimSun" w:hAnsi="SimSun" w:cs="SimSun"/>
          <w:spacing w:val="-3"/>
          <w:sz w:val="21"/>
          <w:szCs w:val="21"/>
        </w:rPr>
        <w:t>，拉动机械工业营业收入增长</w:t>
      </w:r>
      <w:r>
        <w:rPr>
          <w:rFonts w:ascii="SimSun" w:eastAsia="SimSun" w:hAnsi="SimSun" w:cs="SimSun"/>
          <w:spacing w:val="-25"/>
          <w:sz w:val="21"/>
          <w:szCs w:val="21"/>
        </w:rPr>
        <w:t xml:space="preserve"> </w:t>
      </w:r>
      <w:r>
        <w:rPr>
          <w:rFonts w:ascii="Times New Roman" w:eastAsia="Times New Roman" w:hAnsi="Times New Roman" w:cs="Times New Roman"/>
          <w:spacing w:val="-3"/>
          <w:sz w:val="21"/>
          <w:szCs w:val="21"/>
        </w:rPr>
        <w:t xml:space="preserve">10.1 </w:t>
      </w:r>
      <w:r>
        <w:rPr>
          <w:rFonts w:ascii="SimSun" w:eastAsia="SimSun" w:hAnsi="SimSun" w:cs="SimSun"/>
          <w:spacing w:val="-3"/>
          <w:sz w:val="21"/>
          <w:szCs w:val="21"/>
        </w:rPr>
        <w:t>个百分点；实现利润总额</w:t>
      </w:r>
      <w:r>
        <w:rPr>
          <w:rFonts w:ascii="SimSun" w:eastAsia="SimSun" w:hAnsi="SimSun" w:cs="SimSun"/>
          <w:spacing w:val="-25"/>
          <w:sz w:val="21"/>
          <w:szCs w:val="21"/>
        </w:rPr>
        <w:t xml:space="preserve"> </w:t>
      </w:r>
      <w:r>
        <w:rPr>
          <w:rFonts w:ascii="Times New Roman" w:eastAsia="Times New Roman" w:hAnsi="Times New Roman" w:cs="Times New Roman"/>
          <w:spacing w:val="-3"/>
          <w:sz w:val="21"/>
          <w:szCs w:val="21"/>
        </w:rPr>
        <w:t>1.4</w:t>
      </w:r>
      <w:r>
        <w:rPr>
          <w:rFonts w:ascii="Times New Roman" w:eastAsia="Times New Roman" w:hAnsi="Times New Roman" w:cs="Times New Roman"/>
          <w:spacing w:val="16"/>
          <w:w w:val="101"/>
          <w:sz w:val="21"/>
          <w:szCs w:val="21"/>
        </w:rPr>
        <w:t xml:space="preserve"> </w:t>
      </w:r>
      <w:r>
        <w:rPr>
          <w:rFonts w:ascii="SimSun" w:eastAsia="SimSun" w:hAnsi="SimSun" w:cs="SimSun"/>
          <w:spacing w:val="-3"/>
          <w:sz w:val="21"/>
          <w:szCs w:val="21"/>
        </w:rPr>
        <w:t>万亿元，</w:t>
      </w:r>
      <w:r>
        <w:rPr>
          <w:rFonts w:ascii="SimSun" w:eastAsia="SimSun" w:hAnsi="SimSun" w:cs="SimSun"/>
          <w:sz w:val="21"/>
          <w:szCs w:val="21"/>
        </w:rPr>
        <w:t xml:space="preserve"> </w:t>
      </w:r>
      <w:r>
        <w:rPr>
          <w:rFonts w:ascii="SimSun" w:eastAsia="SimSun" w:hAnsi="SimSun" w:cs="SimSun"/>
          <w:spacing w:val="-2"/>
          <w:sz w:val="21"/>
          <w:szCs w:val="21"/>
        </w:rPr>
        <w:t>同比增长</w:t>
      </w:r>
      <w:r>
        <w:rPr>
          <w:rFonts w:ascii="SimSun" w:eastAsia="SimSun" w:hAnsi="SimSun" w:cs="SimSun"/>
          <w:spacing w:val="-17"/>
          <w:sz w:val="21"/>
          <w:szCs w:val="21"/>
        </w:rPr>
        <w:t xml:space="preserve"> </w:t>
      </w:r>
      <w:r>
        <w:rPr>
          <w:rFonts w:ascii="Times New Roman" w:eastAsia="Times New Roman" w:hAnsi="Times New Roman" w:cs="Times New Roman"/>
          <w:spacing w:val="-2"/>
          <w:sz w:val="21"/>
          <w:szCs w:val="21"/>
        </w:rPr>
        <w:t>15.5%</w:t>
      </w:r>
      <w:r>
        <w:rPr>
          <w:rFonts w:ascii="SimSun" w:eastAsia="SimSun" w:hAnsi="SimSun" w:cs="SimSun"/>
          <w:spacing w:val="-2"/>
          <w:sz w:val="21"/>
          <w:szCs w:val="21"/>
        </w:rPr>
        <w:t>，拉动机械工业利润总额增长</w:t>
      </w:r>
      <w:r>
        <w:rPr>
          <w:rFonts w:ascii="SimSun" w:eastAsia="SimSun" w:hAnsi="SimSun" w:cs="SimSun"/>
          <w:spacing w:val="-27"/>
          <w:sz w:val="21"/>
          <w:szCs w:val="21"/>
        </w:rPr>
        <w:t xml:space="preserve"> </w:t>
      </w:r>
      <w:r>
        <w:rPr>
          <w:rFonts w:ascii="Times New Roman" w:eastAsia="Times New Roman" w:hAnsi="Times New Roman" w:cs="Times New Roman"/>
          <w:spacing w:val="-2"/>
          <w:sz w:val="21"/>
          <w:szCs w:val="21"/>
        </w:rPr>
        <w:t xml:space="preserve">11.7 </w:t>
      </w:r>
      <w:r>
        <w:rPr>
          <w:rFonts w:ascii="SimSun" w:eastAsia="SimSun" w:hAnsi="SimSun" w:cs="SimSun"/>
          <w:spacing w:val="-2"/>
          <w:sz w:val="21"/>
          <w:szCs w:val="21"/>
        </w:rPr>
        <w:t>个百分点。尤其是能源存储与光伏设备等新兴行业，对</w:t>
      </w:r>
      <w:r>
        <w:rPr>
          <w:rFonts w:ascii="SimSun" w:eastAsia="SimSun" w:hAnsi="SimSun" w:cs="SimSun"/>
          <w:sz w:val="21"/>
          <w:szCs w:val="21"/>
        </w:rPr>
        <w:t xml:space="preserve"> </w:t>
      </w:r>
      <w:r>
        <w:rPr>
          <w:rFonts w:ascii="SimSun" w:eastAsia="SimSun" w:hAnsi="SimSun" w:cs="SimSun"/>
          <w:sz w:val="21"/>
          <w:szCs w:val="21"/>
        </w:rPr>
        <w:t>机械工业营收和利润总额增长的贡献率达到</w:t>
      </w:r>
      <w:r>
        <w:rPr>
          <w:rFonts w:ascii="SimSun" w:eastAsia="SimSun" w:hAnsi="SimSun" w:cs="SimSun"/>
          <w:spacing w:val="-18"/>
          <w:sz w:val="21"/>
          <w:szCs w:val="21"/>
        </w:rPr>
        <w:t xml:space="preserve"> </w:t>
      </w:r>
      <w:r>
        <w:rPr>
          <w:rFonts w:ascii="Times New Roman" w:eastAsia="Times New Roman" w:hAnsi="Times New Roman" w:cs="Times New Roman"/>
          <w:sz w:val="21"/>
          <w:szCs w:val="21"/>
        </w:rPr>
        <w:t>62.9%</w:t>
      </w:r>
      <w:r>
        <w:rPr>
          <w:rFonts w:ascii="SimSun" w:eastAsia="SimSun" w:hAnsi="SimSun" w:cs="SimSun"/>
          <w:sz w:val="21"/>
          <w:szCs w:val="21"/>
        </w:rPr>
        <w:t>和</w:t>
      </w:r>
      <w:r>
        <w:rPr>
          <w:rFonts w:ascii="SimSun" w:eastAsia="SimSun" w:hAnsi="SimSun" w:cs="SimSun"/>
          <w:spacing w:val="-18"/>
          <w:sz w:val="21"/>
          <w:szCs w:val="21"/>
        </w:rPr>
        <w:t xml:space="preserve"> </w:t>
      </w:r>
      <w:r>
        <w:rPr>
          <w:rFonts w:ascii="Times New Roman" w:eastAsia="Times New Roman" w:hAnsi="Times New Roman" w:cs="Times New Roman"/>
          <w:sz w:val="21"/>
          <w:szCs w:val="21"/>
        </w:rPr>
        <w:t>55.</w:t>
      </w:r>
      <w:r>
        <w:rPr>
          <w:rFonts w:ascii="Times New Roman" w:eastAsia="Times New Roman" w:hAnsi="Times New Roman" w:cs="Times New Roman"/>
          <w:spacing w:val="-1"/>
          <w:sz w:val="21"/>
          <w:szCs w:val="21"/>
        </w:rPr>
        <w:t>1%</w:t>
      </w:r>
      <w:r>
        <w:rPr>
          <w:rFonts w:ascii="SimSun" w:eastAsia="SimSun" w:hAnsi="SimSun" w:cs="SimSun"/>
          <w:spacing w:val="-1"/>
          <w:sz w:val="21"/>
          <w:szCs w:val="21"/>
        </w:rPr>
        <w:t>。但是工程机械和内燃机行业营业收入降幅超</w:t>
      </w:r>
      <w:r>
        <w:rPr>
          <w:rFonts w:ascii="SimSun" w:eastAsia="SimSun" w:hAnsi="SimSun" w:cs="SimSun"/>
          <w:sz w:val="21"/>
          <w:szCs w:val="21"/>
        </w:rPr>
        <w:t xml:space="preserve"> </w:t>
      </w:r>
      <w:r>
        <w:rPr>
          <w:rFonts w:ascii="SimSun" w:eastAsia="SimSun" w:hAnsi="SimSun" w:cs="SimSun"/>
          <w:spacing w:val="-2"/>
          <w:sz w:val="21"/>
          <w:szCs w:val="21"/>
        </w:rPr>
        <w:t>过</w:t>
      </w:r>
      <w:r>
        <w:rPr>
          <w:rFonts w:ascii="SimSun" w:eastAsia="SimSun" w:hAnsi="SimSun" w:cs="SimSun"/>
          <w:spacing w:val="-20"/>
          <w:sz w:val="21"/>
          <w:szCs w:val="21"/>
        </w:rPr>
        <w:t xml:space="preserve"> </w:t>
      </w:r>
      <w:r>
        <w:rPr>
          <w:rFonts w:ascii="Times New Roman" w:eastAsia="Times New Roman" w:hAnsi="Times New Roman" w:cs="Times New Roman"/>
          <w:spacing w:val="-2"/>
          <w:sz w:val="21"/>
          <w:szCs w:val="21"/>
        </w:rPr>
        <w:t>12%</w:t>
      </w:r>
      <w:r>
        <w:rPr>
          <w:rFonts w:ascii="SimSun" w:eastAsia="SimSun" w:hAnsi="SimSun" w:cs="SimSun"/>
          <w:spacing w:val="-2"/>
          <w:sz w:val="21"/>
          <w:szCs w:val="21"/>
        </w:rPr>
        <w:t>，利润总额降幅超过</w:t>
      </w:r>
      <w:r>
        <w:rPr>
          <w:rFonts w:ascii="SimSun" w:eastAsia="SimSun" w:hAnsi="SimSun" w:cs="SimSun"/>
          <w:spacing w:val="-44"/>
          <w:sz w:val="21"/>
          <w:szCs w:val="21"/>
        </w:rPr>
        <w:t xml:space="preserve"> </w:t>
      </w:r>
      <w:r>
        <w:rPr>
          <w:rFonts w:ascii="Times New Roman" w:eastAsia="Times New Roman" w:hAnsi="Times New Roman" w:cs="Times New Roman"/>
          <w:spacing w:val="-2"/>
          <w:sz w:val="21"/>
          <w:szCs w:val="21"/>
        </w:rPr>
        <w:t>35%</w:t>
      </w:r>
      <w:r>
        <w:rPr>
          <w:rFonts w:ascii="SimSun" w:eastAsia="SimSun" w:hAnsi="SimSun" w:cs="SimSun"/>
          <w:spacing w:val="-2"/>
          <w:sz w:val="21"/>
          <w:szCs w:val="21"/>
        </w:rPr>
        <w:t>，是下降最为显著的</w:t>
      </w:r>
      <w:r>
        <w:rPr>
          <w:rFonts w:ascii="SimSun" w:eastAsia="SimSun" w:hAnsi="SimSun" w:cs="SimSun"/>
          <w:spacing w:val="-48"/>
          <w:sz w:val="21"/>
          <w:szCs w:val="21"/>
        </w:rPr>
        <w:t xml:space="preserve"> </w:t>
      </w:r>
      <w:r>
        <w:rPr>
          <w:rFonts w:ascii="Times New Roman" w:eastAsia="Times New Roman" w:hAnsi="Times New Roman" w:cs="Times New Roman"/>
          <w:spacing w:val="-2"/>
          <w:sz w:val="21"/>
          <w:szCs w:val="21"/>
        </w:rPr>
        <w:t xml:space="preserve">2 </w:t>
      </w:r>
      <w:r>
        <w:rPr>
          <w:rFonts w:ascii="SimSun" w:eastAsia="SimSun" w:hAnsi="SimSun" w:cs="SimSun"/>
          <w:spacing w:val="-2"/>
          <w:sz w:val="21"/>
          <w:szCs w:val="21"/>
        </w:rPr>
        <w:t>个子行业。</w:t>
      </w:r>
    </w:p>
    <w:p>
      <w:pPr>
        <w:spacing w:before="142" w:line="224" w:lineRule="auto"/>
        <w:ind w:left="511"/>
        <w:rPr>
          <w:rFonts w:ascii="SimHei" w:eastAsia="SimHei" w:hAnsi="SimHei" w:cs="SimHei"/>
          <w:sz w:val="18"/>
          <w:szCs w:val="18"/>
        </w:rPr>
      </w:pPr>
      <w:r>
        <w:rPr>
          <w:rFonts w:ascii="SimHei" w:eastAsia="SimHei" w:hAnsi="SimHei" w:cs="SimHei"/>
          <w:spacing w:val="-9"/>
          <w:sz w:val="18"/>
          <w:szCs w:val="18"/>
        </w:rPr>
        <w:t>图表</w:t>
      </w:r>
      <w:r>
        <w:rPr>
          <w:rFonts w:ascii="SimHei" w:eastAsia="SimHei" w:hAnsi="SimHei" w:cs="SimHei"/>
          <w:spacing w:val="-34"/>
          <w:sz w:val="18"/>
          <w:szCs w:val="18"/>
        </w:rPr>
        <w:t xml:space="preserve"> </w:t>
      </w:r>
      <w:r>
        <w:rPr>
          <w:rFonts w:ascii="Times New Roman" w:eastAsia="Times New Roman" w:hAnsi="Times New Roman" w:cs="Times New Roman"/>
          <w:spacing w:val="-9"/>
          <w:sz w:val="18"/>
          <w:szCs w:val="18"/>
        </w:rPr>
        <w:t xml:space="preserve">3. </w:t>
      </w:r>
      <w:r>
        <w:rPr>
          <w:rFonts w:ascii="SimHei" w:eastAsia="SimHei" w:hAnsi="SimHei" w:cs="SimHei"/>
          <w:spacing w:val="-9"/>
          <w:sz w:val="18"/>
          <w:szCs w:val="18"/>
        </w:rPr>
        <w:t>我国机械工业行业运行情况</w:t>
      </w:r>
      <w:r>
        <w:rPr>
          <w:rFonts w:ascii="SimHei" w:eastAsia="SimHei" w:hAnsi="SimHei" w:cs="SimHei"/>
          <w:spacing w:val="-38"/>
          <w:sz w:val="18"/>
          <w:szCs w:val="18"/>
        </w:rPr>
        <w:t xml:space="preserve"> </w:t>
      </w:r>
      <w:r>
        <w:rPr>
          <w:rFonts w:ascii="SimHei" w:eastAsia="SimHei" w:hAnsi="SimHei" w:cs="SimHei"/>
          <w:spacing w:val="-9"/>
          <w:sz w:val="18"/>
          <w:szCs w:val="18"/>
        </w:rPr>
        <w:t>（单位：</w:t>
      </w:r>
      <w:r>
        <w:rPr>
          <w:rFonts w:ascii="SimHei" w:eastAsia="SimHei" w:hAnsi="SimHei" w:cs="SimHei"/>
          <w:spacing w:val="-9"/>
          <w:sz w:val="18"/>
          <w:szCs w:val="18"/>
        </w:rPr>
        <w:t xml:space="preserve"> </w:t>
      </w:r>
      <w:r>
        <w:rPr>
          <w:rFonts w:ascii="SimHei" w:eastAsia="SimHei" w:hAnsi="SimHei" w:cs="SimHei"/>
          <w:spacing w:val="-9"/>
          <w:sz w:val="18"/>
          <w:szCs w:val="18"/>
        </w:rPr>
        <w:t>万亿元，</w:t>
      </w:r>
      <w:r>
        <w:rPr>
          <w:rFonts w:ascii="SimHei" w:eastAsia="SimHei" w:hAnsi="SimHei" w:cs="SimHei"/>
          <w:spacing w:val="-9"/>
          <w:sz w:val="18"/>
          <w:szCs w:val="18"/>
        </w:rPr>
        <w:t xml:space="preserve"> </w:t>
      </w:r>
      <w:r>
        <w:rPr>
          <w:rFonts w:ascii="Times New Roman" w:eastAsia="Times New Roman" w:hAnsi="Times New Roman" w:cs="Times New Roman"/>
          <w:spacing w:val="-9"/>
          <w:sz w:val="18"/>
          <w:szCs w:val="18"/>
        </w:rPr>
        <w:t>%</w:t>
      </w:r>
      <w:r>
        <w:rPr>
          <w:rFonts w:ascii="SimHei" w:eastAsia="SimHei" w:hAnsi="SimHei" w:cs="SimHei"/>
          <w:spacing w:val="-9"/>
          <w:sz w:val="18"/>
          <w:szCs w:val="18"/>
        </w:rPr>
        <w:t>）</w:t>
      </w:r>
    </w:p>
    <w:p>
      <w:pPr>
        <w:spacing w:line="234" w:lineRule="exact"/>
      </w:pPr>
    </w:p>
    <w:p>
      <w:pPr>
        <w:spacing w:line="234" w:lineRule="exact"/>
        <w:sectPr>
          <w:headerReference w:type="default" r:id="rId14"/>
          <w:footerReference w:type="default" r:id="rId15"/>
          <w:pgSz w:w="11907" w:h="16839"/>
          <w:pgMar w:top="1336" w:right="1072" w:bottom="1272" w:left="783" w:header="1148" w:footer="1077" w:gutter="0"/>
          <w:pgNumType w:start="4"/>
          <w:cols w:num="1" w:space="708" w:equalWidth="0">
            <w:col w:w="10051" w:space="0"/>
          </w:cols>
        </w:sectPr>
      </w:pPr>
    </w:p>
    <w:p>
      <w:pPr>
        <w:spacing w:line="186" w:lineRule="auto"/>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35</w:t>
      </w:r>
    </w:p>
    <w:p>
      <w:pPr>
        <w:spacing w:before="261" w:line="186" w:lineRule="auto"/>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30</w:t>
      </w:r>
    </w:p>
    <w:p>
      <w:pPr>
        <w:spacing w:before="261" w:line="186" w:lineRule="auto"/>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25</w:t>
      </w:r>
    </w:p>
    <w:p>
      <w:pPr>
        <w:spacing w:before="261" w:line="186" w:lineRule="auto"/>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20</w:t>
      </w:r>
    </w:p>
    <w:p>
      <w:pPr>
        <w:spacing w:before="261" w:line="186" w:lineRule="auto"/>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8"/>
          <w:sz w:val="12"/>
          <w:szCs w:val="12"/>
        </w:rPr>
        <w:t>15</w:t>
      </w:r>
    </w:p>
    <w:p>
      <w:pPr>
        <w:spacing w:before="261" w:line="186" w:lineRule="auto"/>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11"/>
          <w:sz w:val="12"/>
          <w:szCs w:val="12"/>
        </w:rPr>
        <w:t>1</w:t>
      </w:r>
      <w:r>
        <w:rPr>
          <w:rFonts w:ascii="Times New Roman" w:eastAsia="Times New Roman" w:hAnsi="Times New Roman" w:cs="Times New Roman"/>
          <w:color w:val="595959"/>
          <w:spacing w:val="-5"/>
          <w:sz w:val="12"/>
          <w:szCs w:val="12"/>
        </w:rPr>
        <w:t>0</w:t>
      </w:r>
    </w:p>
    <w:p>
      <w:pPr>
        <w:spacing w:before="263" w:line="183" w:lineRule="auto"/>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6"/>
          <w:sz w:val="12"/>
          <w:szCs w:val="12"/>
        </w:rPr>
        <w:t>5</w:t>
      </w:r>
    </w:p>
    <w:p>
      <w:pPr>
        <w:spacing w:before="260" w:line="186" w:lineRule="auto"/>
        <w:jc w:val="right"/>
        <w:rPr>
          <w:rFonts w:ascii="Times New Roman" w:eastAsia="Times New Roman" w:hAnsi="Times New Roman" w:cs="Times New Roman"/>
          <w:sz w:val="12"/>
          <w:szCs w:val="12"/>
        </w:rPr>
      </w:pPr>
      <w:r>
        <w:rPr>
          <w:rFonts w:ascii="Times New Roman" w:eastAsia="Times New Roman" w:hAnsi="Times New Roman" w:cs="Times New Roman"/>
          <w:color w:val="595959"/>
          <w:spacing w:val="-5"/>
          <w:sz w:val="12"/>
          <w:szCs w:val="12"/>
        </w:rPr>
        <w:t>0</w:t>
      </w:r>
    </w:p>
    <w:p>
      <w:pPr>
        <w:spacing w:line="14" w:lineRule="auto"/>
        <w:rPr>
          <w:rFonts w:ascii="Arial"/>
          <w:sz w:val="2"/>
        </w:rPr>
      </w:pPr>
      <w:r>
        <w:rPr>
          <w:rFonts w:ascii="Arial" w:eastAsia="Arial" w:hAnsi="Arial" w:cs="Arial"/>
          <w:sz w:val="2"/>
          <w:szCs w:val="2"/>
        </w:rPr>
        <w:br w:type="column"/>
      </w:r>
    </w:p>
    <w:p>
      <w:pPr>
        <w:spacing w:line="33" w:lineRule="exact"/>
      </w:pPr>
    </w:p>
    <w:tbl>
      <w:tblPr>
        <w:tblStyle w:val="TableNormal1"/>
        <w:tblW w:w="8207" w:type="dxa"/>
        <w:tblInd w:w="0" w:type="dxa"/>
        <w:tblBorders>
          <w:top w:val="nil"/>
          <w:left w:val="nil"/>
          <w:bottom w:val="nil"/>
          <w:right w:val="nil"/>
          <w:insideH w:val="nil"/>
          <w:insideV w:val="nil"/>
        </w:tblBorders>
        <w:tblLayout w:type="fixed"/>
      </w:tblPr>
      <w:tblGrid>
        <w:gridCol w:w="570"/>
        <w:gridCol w:w="1825"/>
        <w:gridCol w:w="1414"/>
        <w:gridCol w:w="749"/>
        <w:gridCol w:w="578"/>
        <w:gridCol w:w="2637"/>
        <w:gridCol w:w="434"/>
      </w:tblGrid>
      <w:tr>
        <w:tblPrEx>
          <w:tblW w:w="8207" w:type="dxa"/>
          <w:tblInd w:w="0" w:type="dxa"/>
          <w:tblBorders>
            <w:top w:val="nil"/>
            <w:left w:val="nil"/>
            <w:bottom w:val="nil"/>
            <w:right w:val="nil"/>
            <w:insideH w:val="nil"/>
            <w:insideV w:val="nil"/>
          </w:tblBorders>
          <w:tblLayout w:type="fixed"/>
        </w:tblPrEx>
        <w:trPr>
          <w:trHeight w:val="363"/>
        </w:trPr>
        <w:tc>
          <w:tcPr>
            <w:tcW w:w="4558" w:type="dxa"/>
            <w:gridSpan w:val="4"/>
            <w:tcBorders>
              <w:top w:val="single" w:sz="4" w:space="0" w:color="D9D9D9"/>
              <w:bottom w:val="single" w:sz="4" w:space="0" w:color="D9D9D9"/>
            </w:tcBorders>
            <w:vAlign w:val="top"/>
          </w:tcPr>
          <w:p>
            <w:pPr>
              <w:rPr>
                <w:rFonts w:ascii="Arial"/>
                <w:sz w:val="21"/>
              </w:rPr>
            </w:pPr>
          </w:p>
        </w:tc>
        <w:tc>
          <w:tcPr>
            <w:tcW w:w="3215" w:type="dxa"/>
            <w:gridSpan w:val="2"/>
            <w:tcBorders>
              <w:top w:val="single" w:sz="4" w:space="0" w:color="D9D9D9"/>
              <w:bottom w:val="single" w:sz="4" w:space="0" w:color="D9D9D9"/>
            </w:tcBorders>
            <w:vAlign w:val="top"/>
          </w:tcPr>
          <w:p>
            <w:pPr>
              <w:spacing w:before="43" w:line="228" w:lineRule="auto"/>
              <w:ind w:left="1313"/>
              <w:rPr>
                <w:rFonts w:ascii="Times New Roman" w:eastAsia="Times New Roman" w:hAnsi="Times New Roman" w:cs="Times New Roman"/>
                <w:sz w:val="12"/>
                <w:szCs w:val="12"/>
              </w:rPr>
            </w:pPr>
            <w:r>
              <w:pict>
                <v:shape id="_x0000_s1037" style="width:93.5pt;height:66.4pt;margin-top:3.82pt;margin-left:21.7pt;position:absolute;z-index:-251641856" coordorigin="0,0" coordsize="1870,1328" path="m22,1304l934,22l1846,476e" filled="f" strokecolor="#e46c0a" strokeweight="2.28pt">
                  <v:stroke endcap="round"/>
                </v:shape>
              </w:pict>
            </w:r>
            <w:r>
              <w:pict>
                <v:shape id="_x0000_s1038" type="#_x0000_t202" style="width:53.4pt;height:9.2pt;margin-top:10.43pt;margin-left:-50.47pt;mso-position-horizontal-relative:right-margin-area;mso-position-vertical-relative:top-margin-area;position:absolute;z-index:251688960" filled="f" stroked="f">
                  <o:lock v:ext="edit" aspectratio="f"/>
                  <v:textbox inset="0,0,0,0">
                    <w:txbxContent>
                      <w:p>
                        <w:pPr>
                          <w:spacing w:before="20" w:line="143" w:lineRule="exact"/>
                          <w:ind w:left="20"/>
                          <w:rPr>
                            <w:sz w:val="12"/>
                            <w:szCs w:val="12"/>
                          </w:rPr>
                        </w:pPr>
                        <w:r>
                          <w:rPr>
                            <w:rFonts w:ascii="Times New Roman" w:eastAsia="Times New Roman" w:hAnsi="Times New Roman" w:cs="Times New Roman"/>
                            <w:color w:val="404040"/>
                            <w:position w:val="-2"/>
                            <w:sz w:val="12"/>
                            <w:szCs w:val="12"/>
                          </w:rPr>
                          <w:drawing>
                            <wp:inline distT="0" distB="0" distL="0" distR="0">
                              <wp:extent cx="73151" cy="73152"/>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6"/>
                                      <a:stretch>
                                        <a:fillRect/>
                                      </a:stretch>
                                    </pic:blipFill>
                                    <pic:spPr>
                                      <a:xfrm>
                                        <a:off x="0" y="0"/>
                                        <a:ext cx="73151" cy="73152"/>
                                      </a:xfrm>
                                      <a:prstGeom prst="rect">
                                        <a:avLst/>
                                      </a:prstGeom>
                                    </pic:spPr>
                                  </pic:pic>
                                </a:graphicData>
                              </a:graphic>
                            </wp:inline>
                          </w:drawing>
                        </w:r>
                        <w:r>
                          <w:rPr>
                            <w:rFonts w:ascii="Times New Roman" w:eastAsia="Times New Roman" w:hAnsi="Times New Roman" w:cs="Times New Roman"/>
                            <w:color w:val="404040"/>
                            <w:spacing w:val="1"/>
                            <w:position w:val="-1"/>
                            <w:sz w:val="12"/>
                            <w:szCs w:val="12"/>
                            <w:shd w:val="clear" w:color="auto" w:fill="8064A2"/>
                          </w:rPr>
                          <w:t xml:space="preserve">    </w:t>
                        </w:r>
                        <w:r>
                          <w:rPr>
                            <w:rFonts w:ascii="Times New Roman" w:eastAsia="Times New Roman" w:hAnsi="Times New Roman" w:cs="Times New Roman"/>
                            <w:color w:val="404040"/>
                            <w:spacing w:val="-4"/>
                            <w:position w:val="-1"/>
                            <w:sz w:val="12"/>
                            <w:szCs w:val="12"/>
                            <w:shd w:val="clear" w:color="auto" w:fill="8064A2"/>
                          </w:rPr>
                          <w:t>12.1</w:t>
                        </w:r>
                        <w:r>
                          <w:rPr>
                            <w:rFonts w:ascii="Times New Roman" w:eastAsia="Times New Roman" w:hAnsi="Times New Roman" w:cs="Times New Roman"/>
                            <w:color w:val="404040"/>
                            <w:spacing w:val="1"/>
                            <w:position w:val="-1"/>
                            <w:sz w:val="12"/>
                            <w:szCs w:val="12"/>
                            <w:shd w:val="clear" w:color="auto" w:fill="8064A2"/>
                          </w:rPr>
                          <w:t xml:space="preserve">               </w:t>
                        </w:r>
                        <w:r>
                          <w:rPr>
                            <w:position w:val="-1"/>
                            <w:sz w:val="12"/>
                            <w:szCs w:val="12"/>
                          </w:rPr>
                          <w:drawing>
                            <wp:inline distT="0" distB="0" distL="0" distR="0">
                              <wp:extent cx="73151" cy="73152"/>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7"/>
                                      <a:stretch>
                                        <a:fillRect/>
                                      </a:stretch>
                                    </pic:blipFill>
                                    <pic:spPr>
                                      <a:xfrm>
                                        <a:off x="0" y="0"/>
                                        <a:ext cx="73151" cy="73152"/>
                                      </a:xfrm>
                                      <a:prstGeom prst="rect">
                                        <a:avLst/>
                                      </a:prstGeom>
                                    </pic:spPr>
                                  </pic:pic>
                                </a:graphicData>
                              </a:graphic>
                            </wp:inline>
                          </w:drawing>
                        </w:r>
                      </w:p>
                    </w:txbxContent>
                  </v:textbox>
                </v:shape>
              </w:pict>
            </w:r>
            <w:r>
              <w:rPr>
                <w:rFonts w:ascii="Times New Roman" w:eastAsia="Times New Roman" w:hAnsi="Times New Roman" w:cs="Times New Roman"/>
                <w:color w:val="404040"/>
                <w:position w:val="-1"/>
                <w:sz w:val="12"/>
                <w:szCs w:val="12"/>
              </w:rPr>
              <w:drawing>
                <wp:inline distT="0" distB="0" distL="0" distR="0">
                  <wp:extent cx="73151" cy="73152"/>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8"/>
                          <a:stretch>
                            <a:fillRect/>
                          </a:stretch>
                        </pic:blipFill>
                        <pic:spPr>
                          <a:xfrm>
                            <a:off x="0" y="0"/>
                            <a:ext cx="73151" cy="73152"/>
                          </a:xfrm>
                          <a:prstGeom prst="rect">
                            <a:avLst/>
                          </a:prstGeom>
                        </pic:spPr>
                      </pic:pic>
                    </a:graphicData>
                  </a:graphic>
                </wp:inline>
              </w:drawing>
            </w:r>
            <w:r>
              <w:rPr>
                <w:rFonts w:ascii="Times New Roman" w:eastAsia="Times New Roman" w:hAnsi="Times New Roman" w:cs="Times New Roman"/>
                <w:color w:val="404040"/>
                <w:spacing w:val="1"/>
                <w:sz w:val="12"/>
                <w:szCs w:val="12"/>
              </w:rPr>
              <w:t xml:space="preserve">    </w:t>
            </w:r>
            <w:r>
              <w:rPr>
                <w:rFonts w:ascii="Times New Roman" w:eastAsia="Times New Roman" w:hAnsi="Times New Roman" w:cs="Times New Roman"/>
                <w:color w:val="404040"/>
                <w:spacing w:val="-4"/>
                <w:sz w:val="12"/>
                <w:szCs w:val="12"/>
              </w:rPr>
              <w:t>14</w:t>
            </w:r>
          </w:p>
        </w:tc>
        <w:tc>
          <w:tcPr>
            <w:tcW w:w="434" w:type="dxa"/>
            <w:tcBorders>
              <w:top w:val="single" w:sz="4" w:space="0" w:color="D9D9D9"/>
              <w:bottom w:val="single" w:sz="4" w:space="0" w:color="D9D9D9"/>
            </w:tcBorders>
            <w:vAlign w:val="top"/>
          </w:tcPr>
          <w:p>
            <w:pPr>
              <w:spacing w:before="250" w:line="179" w:lineRule="auto"/>
              <w:ind w:left="162"/>
              <w:rPr>
                <w:rFonts w:ascii="Times New Roman" w:eastAsia="Times New Roman" w:hAnsi="Times New Roman" w:cs="Times New Roman"/>
                <w:sz w:val="12"/>
                <w:szCs w:val="12"/>
              </w:rPr>
            </w:pPr>
            <w:r>
              <w:rPr>
                <w:rFonts w:ascii="Times New Roman" w:eastAsia="Times New Roman" w:hAnsi="Times New Roman" w:cs="Times New Roman"/>
                <w:color w:val="404040"/>
                <w:spacing w:val="-4"/>
                <w:sz w:val="12"/>
                <w:szCs w:val="12"/>
              </w:rPr>
              <w:t>12.2</w:t>
            </w:r>
          </w:p>
        </w:tc>
      </w:tr>
      <w:tr>
        <w:tblPrEx>
          <w:tblW w:w="8207" w:type="dxa"/>
          <w:tblInd w:w="0" w:type="dxa"/>
          <w:tblLayout w:type="fixed"/>
        </w:tblPrEx>
        <w:trPr>
          <w:trHeight w:val="358"/>
        </w:trPr>
        <w:tc>
          <w:tcPr>
            <w:tcW w:w="2395" w:type="dxa"/>
            <w:gridSpan w:val="2"/>
            <w:tcBorders>
              <w:top w:val="single" w:sz="4" w:space="0" w:color="D9D9D9"/>
              <w:bottom w:val="single" w:sz="4" w:space="0" w:color="D9D9D9"/>
            </w:tcBorders>
            <w:vAlign w:val="top"/>
          </w:tcPr>
          <w:p>
            <w:pPr>
              <w:spacing w:before="6" w:line="245" w:lineRule="exact"/>
              <w:ind w:firstLine="2223"/>
            </w:pPr>
            <w:r>
              <w:rPr>
                <w:position w:val="-4"/>
              </w:rPr>
              <w:drawing>
                <wp:inline distT="0" distB="0" distL="0" distR="0">
                  <wp:extent cx="73151" cy="155447"/>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9"/>
                          <a:stretch>
                            <a:fillRect/>
                          </a:stretch>
                        </pic:blipFill>
                        <pic:spPr>
                          <a:xfrm>
                            <a:off x="0" y="0"/>
                            <a:ext cx="73151" cy="155447"/>
                          </a:xfrm>
                          <a:prstGeom prst="rect">
                            <a:avLst/>
                          </a:prstGeom>
                        </pic:spPr>
                      </pic:pic>
                    </a:graphicData>
                  </a:graphic>
                </wp:inline>
              </w:drawing>
            </w:r>
          </w:p>
        </w:tc>
        <w:tc>
          <w:tcPr>
            <w:tcW w:w="2163" w:type="dxa"/>
            <w:gridSpan w:val="2"/>
            <w:tcBorders>
              <w:top w:val="single" w:sz="4" w:space="0" w:color="D9D9D9"/>
              <w:bottom w:val="single" w:sz="4" w:space="0" w:color="D9D9D9"/>
            </w:tcBorders>
            <w:vAlign w:val="top"/>
          </w:tcPr>
          <w:p>
            <w:pPr>
              <w:rPr>
                <w:rFonts w:ascii="Arial"/>
                <w:sz w:val="21"/>
              </w:rPr>
            </w:pPr>
            <w:r>
              <w:pict>
                <v:shape id="_x0000_s1039" type="#_x0000_t202" style="width:15.4pt;height:13.9pt;margin-top:0.37pt;margin-left:-106.26pt;mso-position-horizontal-relative:right-margin-area;mso-position-vertical-relative:top-margin-area;position:absolute;z-index:251685888" filled="f" stroked="f">
                  <o:lock v:ext="edit" aspectratio="f"/>
                  <v:textbox inset="0,0,0,0">
                    <w:txbxContent>
                      <w:p>
                        <w:pPr>
                          <w:spacing w:before="19" w:line="207" w:lineRule="auto"/>
                          <w:ind w:left="20" w:right="20" w:firstLine="10"/>
                          <w:rPr>
                            <w:rFonts w:ascii="Times New Roman" w:eastAsia="Times New Roman" w:hAnsi="Times New Roman" w:cs="Times New Roman"/>
                            <w:sz w:val="12"/>
                            <w:szCs w:val="12"/>
                          </w:rPr>
                        </w:pPr>
                        <w:r>
                          <w:rPr>
                            <w:rFonts w:ascii="Times New Roman" w:eastAsia="Times New Roman" w:hAnsi="Times New Roman" w:cs="Times New Roman"/>
                            <w:color w:val="404040"/>
                            <w:spacing w:val="-3"/>
                            <w:sz w:val="12"/>
                            <w:szCs w:val="12"/>
                          </w:rPr>
                          <w:t>10.74</w:t>
                        </w:r>
                        <w:r>
                          <w:rPr>
                            <w:rFonts w:ascii="Times New Roman" w:eastAsia="Times New Roman" w:hAnsi="Times New Roman" w:cs="Times New Roman"/>
                            <w:color w:val="404040"/>
                            <w:spacing w:val="1"/>
                            <w:sz w:val="12"/>
                            <w:szCs w:val="12"/>
                          </w:rPr>
                          <w:t xml:space="preserve"> </w:t>
                        </w:r>
                        <w:r>
                          <w:rPr>
                            <w:rFonts w:ascii="Times New Roman" w:eastAsia="Times New Roman" w:hAnsi="Times New Roman" w:cs="Times New Roman"/>
                            <w:color w:val="404040"/>
                            <w:spacing w:val="-1"/>
                            <w:sz w:val="12"/>
                            <w:szCs w:val="12"/>
                          </w:rPr>
                          <w:t>9.47</w:t>
                        </w:r>
                      </w:p>
                    </w:txbxContent>
                  </v:textbox>
                </v:shape>
              </w:pict>
            </w:r>
          </w:p>
        </w:tc>
        <w:tc>
          <w:tcPr>
            <w:tcW w:w="3215" w:type="dxa"/>
            <w:gridSpan w:val="2"/>
            <w:tcBorders>
              <w:top w:val="single" w:sz="4" w:space="0" w:color="D9D9D9"/>
              <w:bottom w:val="single" w:sz="4" w:space="0" w:color="D9D9D9"/>
            </w:tcBorders>
            <w:vAlign w:val="top"/>
          </w:tcPr>
          <w:p>
            <w:pPr>
              <w:spacing w:before="145" w:line="82" w:lineRule="exact"/>
              <w:ind w:firstLine="2257"/>
            </w:pPr>
            <w:r>
              <w:pict>
                <v:shape id="_x0000_s1040" style="width:47.9pt;height:25.45pt;margin-top:-4.99pt;margin-left:-93.45pt;mso-position-horizontal-relative:right-margin-area;mso-position-vertical-relative:top-margin-area;position:absolute;z-index:251687936" coordorigin="0,0" coordsize="958,509" path="m22,486l934,22e" filled="f" strokecolor="#8064a2" strokeweight="2.28pt">
                  <v:stroke endcap="round"/>
                </v:shape>
              </w:pict>
            </w:r>
            <w:r>
              <w:drawing>
                <wp:anchor distT="0" distB="0" distL="0" distR="0" simplePos="0" relativeHeight="251691008" behindDoc="0" locked="0" layoutInCell="1" allowOverlap="1">
                  <wp:simplePos x="0" y="0"/>
                  <wp:positionH relativeFrom="rightMargin">
                    <wp:posOffset>-628269</wp:posOffset>
                  </wp:positionH>
                  <wp:positionV relativeFrom="topMargin">
                    <wp:posOffset>78994</wp:posOffset>
                  </wp:positionV>
                  <wp:extent cx="73151" cy="73152"/>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0"/>
                          <a:stretch>
                            <a:fillRect/>
                          </a:stretch>
                        </pic:blipFill>
                        <pic:spPr>
                          <a:xfrm>
                            <a:off x="0" y="0"/>
                            <a:ext cx="73151" cy="73152"/>
                          </a:xfrm>
                          <a:prstGeom prst="rect">
                            <a:avLst/>
                          </a:prstGeom>
                        </pic:spPr>
                      </pic:pic>
                    </a:graphicData>
                  </a:graphic>
                </wp:anchor>
              </w:drawing>
            </w:r>
            <w:r>
              <w:drawing>
                <wp:anchor distT="0" distB="0" distL="0" distR="0" simplePos="0" relativeHeight="251692032" behindDoc="0" locked="0" layoutInCell="1" allowOverlap="1">
                  <wp:simplePos x="0" y="0"/>
                  <wp:positionH relativeFrom="rightMargin">
                    <wp:posOffset>-49149</wp:posOffset>
                  </wp:positionH>
                  <wp:positionV relativeFrom="topMargin">
                    <wp:posOffset>91185</wp:posOffset>
                  </wp:positionV>
                  <wp:extent cx="73151" cy="73152"/>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1"/>
                          <a:stretch>
                            <a:fillRect/>
                          </a:stretch>
                        </pic:blipFill>
                        <pic:spPr>
                          <a:xfrm>
                            <a:off x="0" y="0"/>
                            <a:ext cx="73151" cy="73152"/>
                          </a:xfrm>
                          <a:prstGeom prst="rect">
                            <a:avLst/>
                          </a:prstGeom>
                        </pic:spPr>
                      </pic:pic>
                    </a:graphicData>
                  </a:graphic>
                </wp:anchor>
              </w:drawing>
            </w:r>
            <w:r>
              <w:rPr>
                <w:position w:val="-1"/>
              </w:rPr>
              <w:pict>
                <v:shape id="_x0000_i1041" type="#_x0000_t202" style="width:47.9pt;height:4.15pt;mso-position-horizontal-relative:char;mso-position-vertical-relative:line" filled="t" fillcolor="#e46c0a" stroked="f">
                  <o:lock v:ext="edit" aspectratio="f"/>
                  <v:textbox inset="0,0,0,0">
                    <w:txbxContent>
                      <w:p>
                        <w:pPr>
                          <w:spacing w:line="186" w:lineRule="auto"/>
                          <w:ind w:left="199"/>
                          <w:rPr>
                            <w:rFonts w:ascii="Times New Roman" w:eastAsia="Times New Roman" w:hAnsi="Times New Roman" w:cs="Times New Roman"/>
                            <w:sz w:val="12"/>
                            <w:szCs w:val="12"/>
                          </w:rPr>
                        </w:pPr>
                        <w:r>
                          <w:rPr>
                            <w:rFonts w:ascii="Times New Roman" w:eastAsia="Times New Roman" w:hAnsi="Times New Roman" w:cs="Times New Roman"/>
                            <w:color w:val="404040"/>
                            <w:spacing w:val="-2"/>
                            <w:sz w:val="12"/>
                            <w:szCs w:val="12"/>
                          </w:rPr>
                          <w:t>9.6</w:t>
                        </w:r>
                      </w:p>
                    </w:txbxContent>
                  </v:textbox>
                  <w10:wrap type="none"/>
                </v:shape>
              </w:pict>
            </w:r>
          </w:p>
        </w:tc>
        <w:tc>
          <w:tcPr>
            <w:tcW w:w="434" w:type="dxa"/>
            <w:tcBorders>
              <w:top w:val="single" w:sz="4" w:space="0" w:color="D9D9D9"/>
              <w:bottom w:val="single" w:sz="4" w:space="0" w:color="D9D9D9"/>
            </w:tcBorders>
            <w:vAlign w:val="top"/>
          </w:tcPr>
          <w:p>
            <w:pPr>
              <w:spacing w:before="165" w:line="186" w:lineRule="auto"/>
              <w:ind w:left="154"/>
              <w:rPr>
                <w:rFonts w:ascii="Times New Roman" w:eastAsia="Times New Roman" w:hAnsi="Times New Roman" w:cs="Times New Roman"/>
                <w:sz w:val="12"/>
                <w:szCs w:val="12"/>
              </w:rPr>
            </w:pPr>
            <w:r>
              <w:rPr>
                <w:rFonts w:ascii="Times New Roman" w:eastAsia="Times New Roman" w:hAnsi="Times New Roman" w:cs="Times New Roman"/>
                <w:color w:val="404040"/>
                <w:spacing w:val="-2"/>
                <w:sz w:val="12"/>
                <w:szCs w:val="12"/>
              </w:rPr>
              <w:t>9.4</w:t>
            </w:r>
          </w:p>
        </w:tc>
      </w:tr>
      <w:tr>
        <w:tblPrEx>
          <w:tblW w:w="8207" w:type="dxa"/>
          <w:tblInd w:w="0" w:type="dxa"/>
          <w:tblLayout w:type="fixed"/>
        </w:tblPrEx>
        <w:trPr>
          <w:trHeight w:val="355"/>
        </w:trPr>
        <w:tc>
          <w:tcPr>
            <w:tcW w:w="2395" w:type="dxa"/>
            <w:gridSpan w:val="2"/>
            <w:tcBorders>
              <w:top w:val="single" w:sz="4" w:space="0" w:color="D9D9D9"/>
              <w:bottom w:val="single" w:sz="4" w:space="0" w:color="D9D9D9"/>
            </w:tcBorders>
            <w:vAlign w:val="top"/>
          </w:tcPr>
          <w:p>
            <w:pPr>
              <w:spacing w:line="192" w:lineRule="auto"/>
              <w:ind w:left="1311"/>
              <w:rPr>
                <w:rFonts w:ascii="Times New Roman" w:eastAsia="Times New Roman" w:hAnsi="Times New Roman" w:cs="Times New Roman"/>
                <w:sz w:val="12"/>
                <w:szCs w:val="12"/>
              </w:rPr>
            </w:pPr>
            <w:r>
              <w:pict>
                <v:shape id="_x0000_s1042" style="width:47.9pt;height:29.2pt;margin-top:-16.41pt;margin-left:67.2pt;position:absolute;z-index:-251637760" coordorigin="0,0" coordsize="958,584" path="m22,560l934,22e" filled="f" strokecolor="#8064a2" strokeweight="2.28pt">
                  <v:stroke endcap="round"/>
                </v:shape>
              </w:pict>
            </w:r>
            <w:r>
              <w:pict>
                <v:shape id="_x0000_s1043" style="width:47.9pt;height:23.55pt;margin-top:0.63pt;margin-left:21.6pt;position:absolute;z-index:-251642880" coordorigin="0,0" coordsize="958,470" path="m22,447l934,22e" filled="f" strokecolor="#e46c0a" strokeweight="2.28pt">
                  <v:stroke endcap="round"/>
                </v:shape>
              </w:pict>
            </w:r>
            <w:r>
              <w:drawing>
                <wp:anchor distT="0" distB="0" distL="0" distR="0" simplePos="0" relativeHeight="251671552" behindDoc="1" locked="0" layoutInCell="1" allowOverlap="1">
                  <wp:simplePos x="0" y="0"/>
                  <wp:positionH relativeFrom="column">
                    <wp:posOffset>141732</wp:posOffset>
                  </wp:positionH>
                  <wp:positionV relativeFrom="paragraph">
                    <wp:posOffset>-187092</wp:posOffset>
                  </wp:positionV>
                  <wp:extent cx="4762500" cy="1350264"/>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2"/>
                          <a:stretch>
                            <a:fillRect/>
                          </a:stretch>
                        </pic:blipFill>
                        <pic:spPr>
                          <a:xfrm>
                            <a:off x="0" y="0"/>
                            <a:ext cx="4762500" cy="1350264"/>
                          </a:xfrm>
                          <a:prstGeom prst="rect">
                            <a:avLst/>
                          </a:prstGeom>
                        </pic:spPr>
                      </pic:pic>
                    </a:graphicData>
                  </a:graphic>
                </wp:anchor>
              </w:drawing>
            </w:r>
            <w:r>
              <w:pict>
                <v:shape id="_x0000_s1044" style="width:47.9pt;height:12.75pt;margin-top:-9.81pt;margin-left:67.2pt;position:absolute;z-index:-251643904" coordorigin="0,0" coordsize="958,255" path="m22,231l934,22e" filled="f" strokecolor="#e46c0a" strokeweight="2.28pt">
                  <v:stroke endcap="round"/>
                </v:shape>
              </w:pict>
            </w:r>
            <w:r>
              <w:pict>
                <v:shape id="_x0000_s1045" type="#_x0000_t202" style="width:23.8pt;height:10.25pt;margin-top:7.7pt;margin-left:-55.17pt;mso-position-horizontal-relative:right-margin-area;mso-position-vertical-relative:top-margin-area;position:absolute;z-index:251680768" filled="f" stroked="f">
                  <o:lock v:ext="edit" aspectratio="f"/>
                  <v:textbox inset="0,0,0,0">
                    <w:txbxContent>
                      <w:p>
                        <w:pPr>
                          <w:spacing w:before="20" w:line="164" w:lineRule="exact"/>
                          <w:ind w:left="20"/>
                          <w:rPr>
                            <w:rFonts w:ascii="Times New Roman" w:eastAsia="Times New Roman" w:hAnsi="Times New Roman" w:cs="Times New Roman"/>
                            <w:sz w:val="12"/>
                            <w:szCs w:val="12"/>
                          </w:rPr>
                        </w:pPr>
                        <w:r>
                          <w:rPr>
                            <w:rFonts w:ascii="Arial" w:eastAsia="Arial" w:hAnsi="Arial" w:cs="Arial"/>
                            <w:color w:val="8064A2"/>
                            <w:spacing w:val="8"/>
                            <w:position w:val="1"/>
                            <w:sz w:val="24"/>
                            <w:szCs w:val="24"/>
                          </w:rPr>
                          <w:t>.</w:t>
                        </w:r>
                        <w:r>
                          <w:rPr>
                            <w:rFonts w:ascii="Arial" w:eastAsia="Arial" w:hAnsi="Arial" w:cs="Arial"/>
                            <w:color w:val="8064A2"/>
                            <w:spacing w:val="51"/>
                            <w:position w:val="1"/>
                            <w:sz w:val="24"/>
                            <w:szCs w:val="24"/>
                          </w:rPr>
                          <w:t xml:space="preserve"> </w:t>
                        </w:r>
                        <w:r>
                          <w:rPr>
                            <w:rFonts w:ascii="Times New Roman" w:eastAsia="Times New Roman" w:hAnsi="Times New Roman" w:cs="Times New Roman"/>
                            <w:color w:val="404040"/>
                            <w:spacing w:val="8"/>
                            <w:position w:val="1"/>
                            <w:sz w:val="12"/>
                            <w:szCs w:val="12"/>
                          </w:rPr>
                          <w:t>5.54</w:t>
                        </w:r>
                      </w:p>
                    </w:txbxContent>
                  </v:textbox>
                </v:shape>
              </w:pict>
            </w:r>
            <w:r>
              <w:rPr>
                <w:rFonts w:ascii="Times New Roman" w:eastAsia="Times New Roman" w:hAnsi="Times New Roman" w:cs="Times New Roman"/>
                <w:color w:val="404040"/>
                <w:position w:val="-1"/>
                <w:sz w:val="12"/>
                <w:szCs w:val="12"/>
              </w:rPr>
              <w:drawing>
                <wp:inline distT="0" distB="0" distL="0" distR="0">
                  <wp:extent cx="73151" cy="60197"/>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3"/>
                          <a:stretch>
                            <a:fillRect/>
                          </a:stretch>
                        </pic:blipFill>
                        <pic:spPr>
                          <a:xfrm>
                            <a:off x="0" y="0"/>
                            <a:ext cx="73151" cy="60197"/>
                          </a:xfrm>
                          <a:prstGeom prst="rect">
                            <a:avLst/>
                          </a:prstGeom>
                        </pic:spPr>
                      </pic:pic>
                    </a:graphicData>
                  </a:graphic>
                </wp:inline>
              </w:drawing>
            </w:r>
            <w:r>
              <w:rPr>
                <w:rFonts w:ascii="Times New Roman" w:eastAsia="Times New Roman" w:hAnsi="Times New Roman" w:cs="Times New Roman"/>
                <w:color w:val="404040"/>
                <w:spacing w:val="7"/>
                <w:w w:val="102"/>
                <w:sz w:val="12"/>
                <w:szCs w:val="12"/>
              </w:rPr>
              <w:t xml:space="preserve">   </w:t>
            </w:r>
            <w:r>
              <w:rPr>
                <w:rFonts w:ascii="Times New Roman" w:eastAsia="Times New Roman" w:hAnsi="Times New Roman" w:cs="Times New Roman"/>
                <w:color w:val="404040"/>
                <w:spacing w:val="-1"/>
                <w:sz w:val="12"/>
                <w:szCs w:val="12"/>
              </w:rPr>
              <w:t>7.44</w:t>
            </w:r>
          </w:p>
        </w:tc>
        <w:tc>
          <w:tcPr>
            <w:tcW w:w="2163" w:type="dxa"/>
            <w:gridSpan w:val="2"/>
            <w:tcBorders>
              <w:top w:val="single" w:sz="4" w:space="0" w:color="D9D9D9"/>
              <w:bottom w:val="single" w:sz="4" w:space="0" w:color="D9D9D9"/>
            </w:tcBorders>
            <w:vAlign w:val="top"/>
          </w:tcPr>
          <w:p>
            <w:pPr>
              <w:spacing w:before="121" w:line="228" w:lineRule="auto"/>
              <w:ind w:left="740"/>
              <w:rPr>
                <w:rFonts w:ascii="Times New Roman" w:eastAsia="Times New Roman" w:hAnsi="Times New Roman" w:cs="Times New Roman"/>
                <w:sz w:val="12"/>
                <w:szCs w:val="12"/>
              </w:rPr>
            </w:pPr>
            <w:r>
              <w:pict>
                <v:shape id="_x0000_s1046" style="width:47.9pt;height:46.45pt;margin-top:-16.43pt;margin-left:-6.95pt;position:absolute;z-index:251679744" coordorigin="0,0" coordsize="958,929" path="m22,22l934,905e" filled="f" strokecolor="#8064a2" strokeweight="2.28pt">
                  <v:stroke endcap="round"/>
                </v:shape>
              </w:pict>
            </w:r>
            <w:r>
              <w:pict>
                <v:shape id="_x0000_s1047" style="width:47.9pt;height:19.95pt;margin-top:-9.83pt;margin-left:-6.95pt;position:absolute;z-index:-251638784" coordorigin="0,0" coordsize="958,399" path="m22,22l934,375e" filled="f" strokecolor="#e46c0a" strokeweight="2.28pt">
                  <v:stroke endcap="round"/>
                </v:shape>
              </w:pict>
            </w:r>
            <w:r>
              <w:pict>
                <v:shape id="_x0000_s1048" style="width:47.9pt;height:20.8pt;margin-top:7.81pt;margin-left:38.65pt;position:absolute;z-index:-251640832" coordorigin="0,0" coordsize="958,415" path="m22,22l934,392e" filled="f" strokecolor="#e46c0a" strokeweight="2.28pt">
                  <v:stroke endcap="round"/>
                </v:shape>
              </w:pict>
            </w:r>
            <w:r>
              <w:rPr>
                <w:rFonts w:ascii="Times New Roman" w:eastAsia="Times New Roman" w:hAnsi="Times New Roman" w:cs="Times New Roman"/>
                <w:color w:val="404040"/>
                <w:position w:val="-1"/>
                <w:sz w:val="12"/>
                <w:szCs w:val="12"/>
              </w:rPr>
              <w:drawing>
                <wp:inline distT="0" distB="0" distL="0" distR="0">
                  <wp:extent cx="73151" cy="73152"/>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4"/>
                          <a:stretch>
                            <a:fillRect/>
                          </a:stretch>
                        </pic:blipFill>
                        <pic:spPr>
                          <a:xfrm>
                            <a:off x="0" y="0"/>
                            <a:ext cx="73151" cy="73152"/>
                          </a:xfrm>
                          <a:prstGeom prst="rect">
                            <a:avLst/>
                          </a:prstGeom>
                        </pic:spPr>
                      </pic:pic>
                    </a:graphicData>
                  </a:graphic>
                </wp:inline>
              </w:drawing>
            </w:r>
            <w:r>
              <w:rPr>
                <w:rFonts w:ascii="Times New Roman" w:eastAsia="Times New Roman" w:hAnsi="Times New Roman" w:cs="Times New Roman"/>
                <w:color w:val="404040"/>
                <w:spacing w:val="9"/>
                <w:sz w:val="12"/>
                <w:szCs w:val="12"/>
              </w:rPr>
              <w:t xml:space="preserve">   </w:t>
            </w:r>
            <w:r>
              <w:rPr>
                <w:rFonts w:ascii="Times New Roman" w:eastAsia="Times New Roman" w:hAnsi="Times New Roman" w:cs="Times New Roman"/>
                <w:color w:val="404040"/>
                <w:spacing w:val="-2"/>
                <w:sz w:val="12"/>
                <w:szCs w:val="12"/>
              </w:rPr>
              <w:t>6.05</w:t>
            </w:r>
          </w:p>
        </w:tc>
        <w:tc>
          <w:tcPr>
            <w:tcW w:w="3215" w:type="dxa"/>
            <w:gridSpan w:val="2"/>
            <w:tcBorders>
              <w:top w:val="single" w:sz="4" w:space="0" w:color="D9D9D9"/>
              <w:bottom w:val="single" w:sz="4" w:space="0" w:color="D9D9D9"/>
            </w:tcBorders>
            <w:vAlign w:val="top"/>
          </w:tcPr>
          <w:p>
            <w:pPr>
              <w:rPr>
                <w:rFonts w:ascii="Arial"/>
                <w:sz w:val="21"/>
              </w:rPr>
            </w:pPr>
            <w:r>
              <w:pict>
                <v:shape id="_x0000_s1049" type="#_x0000_t202" style="width:66.5pt;height:9.05pt;margin-top:-3.34pt;margin-left:-141.67pt;mso-position-horizontal-relative:right-margin-area;mso-position-vertical-relative:top-margin-area;position:absolute;z-index:251689984" filled="f" stroked="f">
                  <o:lock v:ext="edit" aspectratio="f"/>
                  <v:textbox inset="0,0,0,0">
                    <w:txbxContent>
                      <w:p>
                        <w:pPr>
                          <w:spacing w:before="20" w:line="239"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sz w:val="12"/>
                            <w:szCs w:val="12"/>
                          </w:rPr>
                          <w:drawing>
                            <wp:inline distT="0" distB="0" distL="0" distR="0">
                              <wp:extent cx="73151" cy="73152"/>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5"/>
                                      <a:stretch>
                                        <a:fillRect/>
                                      </a:stretch>
                                    </pic:blipFill>
                                    <pic:spPr>
                                      <a:xfrm>
                                        <a:off x="0" y="0"/>
                                        <a:ext cx="73151" cy="73152"/>
                                      </a:xfrm>
                                      <a:prstGeom prst="rect">
                                        <a:avLst/>
                                      </a:prstGeom>
                                    </pic:spPr>
                                  </pic:pic>
                                </a:graphicData>
                              </a:graphic>
                            </wp:inline>
                          </w:drawing>
                        </w:r>
                        <w:r>
                          <w:rPr>
                            <w:rFonts w:ascii="Times New Roman" w:eastAsia="Times New Roman" w:hAnsi="Times New Roman" w:cs="Times New Roman"/>
                            <w:strike/>
                            <w:color w:val="404040"/>
                            <w:spacing w:val="11"/>
                            <w:w w:val="102"/>
                            <w:sz w:val="12"/>
                            <w:szCs w:val="12"/>
                          </w:rPr>
                          <w:t xml:space="preserve">   </w:t>
                        </w:r>
                        <w:r>
                          <w:rPr>
                            <w:rFonts w:ascii="Times New Roman" w:eastAsia="Times New Roman" w:hAnsi="Times New Roman" w:cs="Times New Roman"/>
                            <w:strike/>
                            <w:color w:val="404040"/>
                            <w:spacing w:val="-1"/>
                            <w:sz w:val="12"/>
                            <w:szCs w:val="12"/>
                          </w:rPr>
                          <w:t xml:space="preserve">7.68                </w:t>
                        </w:r>
                        <w:r>
                          <w:rPr>
                            <w:position w:val="-1"/>
                            <w:sz w:val="12"/>
                            <w:szCs w:val="12"/>
                          </w:rPr>
                          <w:drawing>
                            <wp:inline distT="0" distB="0" distL="0" distR="0">
                              <wp:extent cx="73151" cy="73152"/>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6"/>
                                      <a:stretch>
                                        <a:fillRect/>
                                      </a:stretch>
                                    </pic:blipFill>
                                    <pic:spPr>
                                      <a:xfrm>
                                        <a:off x="0" y="0"/>
                                        <a:ext cx="73151" cy="73152"/>
                                      </a:xfrm>
                                      <a:prstGeom prst="rect">
                                        <a:avLst/>
                                      </a:prstGeom>
                                    </pic:spPr>
                                  </pic:pic>
                                </a:graphicData>
                              </a:graphic>
                            </wp:inline>
                          </w:drawing>
                        </w:r>
                        <w:r>
                          <w:rPr>
                            <w:rFonts w:ascii="Times New Roman" w:eastAsia="Times New Roman" w:hAnsi="Times New Roman" w:cs="Times New Roman"/>
                            <w:color w:val="404040"/>
                            <w:spacing w:val="8"/>
                            <w:w w:val="102"/>
                            <w:sz w:val="12"/>
                            <w:szCs w:val="12"/>
                          </w:rPr>
                          <w:t xml:space="preserve">   </w:t>
                        </w:r>
                        <w:r>
                          <w:rPr>
                            <w:rFonts w:ascii="Times New Roman" w:eastAsia="Times New Roman" w:hAnsi="Times New Roman" w:cs="Times New Roman"/>
                            <w:color w:val="404040"/>
                            <w:spacing w:val="-1"/>
                            <w:sz w:val="12"/>
                            <w:szCs w:val="12"/>
                          </w:rPr>
                          <w:t>7.6</w:t>
                        </w:r>
                      </w:p>
                    </w:txbxContent>
                  </v:textbox>
                </v:shape>
              </w:pict>
            </w:r>
          </w:p>
        </w:tc>
        <w:tc>
          <w:tcPr>
            <w:tcW w:w="434" w:type="dxa"/>
            <w:tcBorders>
              <w:top w:val="single" w:sz="4" w:space="0" w:color="D9D9D9"/>
              <w:bottom w:val="single" w:sz="4" w:space="0" w:color="D9D9D9"/>
            </w:tcBorders>
            <w:vAlign w:val="top"/>
          </w:tcPr>
          <w:p>
            <w:pPr>
              <w:rPr>
                <w:rFonts w:ascii="Arial"/>
                <w:sz w:val="21"/>
              </w:rPr>
            </w:pPr>
          </w:p>
        </w:tc>
      </w:tr>
      <w:tr>
        <w:tblPrEx>
          <w:tblW w:w="8207" w:type="dxa"/>
          <w:tblInd w:w="0" w:type="dxa"/>
          <w:tblLayout w:type="fixed"/>
        </w:tblPrEx>
        <w:trPr>
          <w:trHeight w:val="356"/>
        </w:trPr>
        <w:tc>
          <w:tcPr>
            <w:tcW w:w="570" w:type="dxa"/>
            <w:tcBorders>
              <w:top w:val="single" w:sz="4" w:space="0" w:color="D9D9D9"/>
              <w:bottom w:val="single" w:sz="4" w:space="0" w:color="D9D9D9"/>
            </w:tcBorders>
            <w:vAlign w:val="top"/>
          </w:tcPr>
          <w:p>
            <w:pPr>
              <w:spacing w:before="37" w:line="204" w:lineRule="exact"/>
              <w:ind w:firstLine="399"/>
            </w:pPr>
            <w:r>
              <w:rPr>
                <w:position w:val="-4"/>
              </w:rPr>
              <w:drawing>
                <wp:inline distT="0" distB="0" distL="0" distR="0">
                  <wp:extent cx="73152" cy="129539"/>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7"/>
                          <a:stretch>
                            <a:fillRect/>
                          </a:stretch>
                        </pic:blipFill>
                        <pic:spPr>
                          <a:xfrm>
                            <a:off x="0" y="0"/>
                            <a:ext cx="73152" cy="129539"/>
                          </a:xfrm>
                          <a:prstGeom prst="rect">
                            <a:avLst/>
                          </a:prstGeom>
                        </pic:spPr>
                      </pic:pic>
                    </a:graphicData>
                  </a:graphic>
                </wp:inline>
              </w:drawing>
            </w:r>
          </w:p>
        </w:tc>
        <w:tc>
          <w:tcPr>
            <w:tcW w:w="1825" w:type="dxa"/>
            <w:tcBorders>
              <w:top w:val="single" w:sz="4" w:space="0" w:color="D9D9D9"/>
              <w:bottom w:val="single" w:sz="4" w:space="0" w:color="D9D9D9"/>
            </w:tcBorders>
            <w:vAlign w:val="top"/>
          </w:tcPr>
          <w:p>
            <w:pPr>
              <w:rPr>
                <w:rFonts w:ascii="Arial"/>
                <w:sz w:val="21"/>
              </w:rPr>
            </w:pPr>
            <w:r>
              <w:pict>
                <v:shape id="_x0000_s1050" type="#_x0000_t202" style="width:12.45pt;height:11.8pt;margin-top:1.92pt;margin-left:-89.44pt;mso-position-horizontal-relative:right-margin-area;mso-position-vertical-relative:top-margin-area;position:absolute;z-index:251681792" filled="f" stroked="f">
                  <o:lock v:ext="edit" aspectratio="f"/>
                  <v:textbox inset="0,0,0,0">
                    <w:txbxContent>
                      <w:p>
                        <w:pPr>
                          <w:spacing w:before="20" w:line="170" w:lineRule="auto"/>
                          <w:ind w:left="20" w:right="20" w:firstLine="2"/>
                          <w:rPr>
                            <w:rFonts w:ascii="Times New Roman" w:eastAsia="Times New Roman" w:hAnsi="Times New Roman" w:cs="Times New Roman"/>
                            <w:sz w:val="12"/>
                            <w:szCs w:val="12"/>
                          </w:rPr>
                        </w:pPr>
                        <w:r>
                          <w:rPr>
                            <w:rFonts w:ascii="Times New Roman" w:eastAsia="Times New Roman" w:hAnsi="Times New Roman" w:cs="Times New Roman"/>
                            <w:color w:val="404040"/>
                            <w:spacing w:val="-1"/>
                            <w:sz w:val="12"/>
                            <w:szCs w:val="12"/>
                          </w:rPr>
                          <w:t>3.32</w:t>
                        </w:r>
                        <w:r>
                          <w:rPr>
                            <w:rFonts w:ascii="Times New Roman" w:eastAsia="Times New Roman" w:hAnsi="Times New Roman" w:cs="Times New Roman"/>
                            <w:color w:val="404040"/>
                            <w:sz w:val="12"/>
                            <w:szCs w:val="12"/>
                          </w:rPr>
                          <w:t xml:space="preserve"> </w:t>
                        </w:r>
                        <w:r>
                          <w:rPr>
                            <w:rFonts w:ascii="Times New Roman" w:eastAsia="Times New Roman" w:hAnsi="Times New Roman" w:cs="Times New Roman"/>
                            <w:color w:val="404040"/>
                            <w:spacing w:val="-1"/>
                            <w:sz w:val="12"/>
                            <w:szCs w:val="12"/>
                          </w:rPr>
                          <w:t>2.46</w:t>
                        </w:r>
                      </w:p>
                    </w:txbxContent>
                  </v:textbox>
                </v:shape>
              </w:pict>
            </w:r>
          </w:p>
        </w:tc>
        <w:tc>
          <w:tcPr>
            <w:tcW w:w="1414" w:type="dxa"/>
            <w:tcBorders>
              <w:top w:val="single" w:sz="4" w:space="0" w:color="D9D9D9"/>
              <w:bottom w:val="single" w:sz="4" w:space="0" w:color="D9D9D9"/>
            </w:tcBorders>
            <w:vAlign w:val="top"/>
          </w:tcPr>
          <w:p>
            <w:pPr>
              <w:rPr>
                <w:rFonts w:ascii="Arial"/>
                <w:sz w:val="21"/>
              </w:rPr>
            </w:pPr>
            <w:r>
              <w:pict>
                <v:shape id="_x0000_s1051" type="#_x0000_t202" style="width:23.8pt;height:8.6pt;margin-top:6.73pt;margin-left:-34.67pt;mso-position-horizontal-relative:right-margin-area;mso-position-vertical-relative:top-margin-area;position:absolute;z-index:251684864" filled="f" stroked="f">
                  <o:lock v:ext="edit" aspectratio="f"/>
                  <v:textbox inset="0,0,0,0">
                    <w:txbxContent>
                      <w:p>
                        <w:pPr>
                          <w:spacing w:before="20" w:line="228"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position w:val="-1"/>
                            <w:sz w:val="12"/>
                            <w:szCs w:val="12"/>
                          </w:rPr>
                          <w:drawing>
                            <wp:inline distT="0" distB="0" distL="0" distR="0">
                              <wp:extent cx="73151" cy="73152"/>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8"/>
                                      <a:stretch>
                                        <a:fillRect/>
                                      </a:stretch>
                                    </pic:blipFill>
                                    <pic:spPr>
                                      <a:xfrm>
                                        <a:off x="0" y="0"/>
                                        <a:ext cx="73151" cy="73152"/>
                                      </a:xfrm>
                                      <a:prstGeom prst="rect">
                                        <a:avLst/>
                                      </a:prstGeom>
                                    </pic:spPr>
                                  </pic:pic>
                                </a:graphicData>
                              </a:graphic>
                            </wp:inline>
                          </w:drawing>
                        </w:r>
                        <w:r>
                          <w:rPr>
                            <w:rFonts w:ascii="Times New Roman" w:eastAsia="Times New Roman" w:hAnsi="Times New Roman" w:cs="Times New Roman"/>
                            <w:color w:val="404040"/>
                            <w:spacing w:val="7"/>
                            <w:w w:val="102"/>
                            <w:sz w:val="12"/>
                            <w:szCs w:val="12"/>
                          </w:rPr>
                          <w:t xml:space="preserve">   </w:t>
                        </w:r>
                        <w:r>
                          <w:rPr>
                            <w:rFonts w:ascii="Times New Roman" w:eastAsia="Times New Roman" w:hAnsi="Times New Roman" w:cs="Times New Roman"/>
                            <w:color w:val="404040"/>
                            <w:spacing w:val="-1"/>
                            <w:sz w:val="12"/>
                            <w:szCs w:val="12"/>
                          </w:rPr>
                          <w:t>2.18</w:t>
                        </w:r>
                      </w:p>
                    </w:txbxContent>
                  </v:textbox>
                </v:shape>
              </w:pict>
            </w:r>
          </w:p>
        </w:tc>
        <w:tc>
          <w:tcPr>
            <w:tcW w:w="1327" w:type="dxa"/>
            <w:gridSpan w:val="2"/>
            <w:tcBorders>
              <w:top w:val="single" w:sz="4" w:space="0" w:color="D9D9D9"/>
              <w:bottom w:val="single" w:sz="4" w:space="0" w:color="D9D9D9"/>
            </w:tcBorders>
            <w:vAlign w:val="top"/>
          </w:tcPr>
          <w:p>
            <w:pPr>
              <w:spacing w:before="160" w:line="137" w:lineRule="exact"/>
              <w:ind w:firstLine="270"/>
            </w:pPr>
            <w:r>
              <w:drawing>
                <wp:anchor distT="0" distB="0" distL="0" distR="0" simplePos="0" relativeHeight="251676672" behindDoc="1" locked="0" layoutInCell="1" allowOverlap="1">
                  <wp:simplePos x="0" y="0"/>
                  <wp:positionH relativeFrom="rightMargin">
                    <wp:posOffset>-691134</wp:posOffset>
                  </wp:positionH>
                  <wp:positionV relativeFrom="topMargin">
                    <wp:posOffset>79883</wp:posOffset>
                  </wp:positionV>
                  <wp:extent cx="73151" cy="73152"/>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9"/>
                          <a:stretch>
                            <a:fillRect/>
                          </a:stretch>
                        </pic:blipFill>
                        <pic:spPr>
                          <a:xfrm>
                            <a:off x="0" y="0"/>
                            <a:ext cx="73151" cy="73152"/>
                          </a:xfrm>
                          <a:prstGeom prst="rect">
                            <a:avLst/>
                          </a:prstGeom>
                        </pic:spPr>
                      </pic:pic>
                    </a:graphicData>
                  </a:graphic>
                </wp:anchor>
              </w:drawing>
            </w:r>
            <w:r>
              <w:drawing>
                <wp:anchor distT="0" distB="0" distL="0" distR="0" simplePos="0" relativeHeight="251682816" behindDoc="0" locked="0" layoutInCell="1" allowOverlap="1">
                  <wp:simplePos x="0" y="0"/>
                  <wp:positionH relativeFrom="rightMargin">
                    <wp:posOffset>-112014</wp:posOffset>
                  </wp:positionH>
                  <wp:positionV relativeFrom="topMargin">
                    <wp:posOffset>137795</wp:posOffset>
                  </wp:positionV>
                  <wp:extent cx="73151" cy="73152"/>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0"/>
                          <a:stretch>
                            <a:fillRect/>
                          </a:stretch>
                        </pic:blipFill>
                        <pic:spPr>
                          <a:xfrm>
                            <a:off x="0" y="0"/>
                            <a:ext cx="73151" cy="73152"/>
                          </a:xfrm>
                          <a:prstGeom prst="rect">
                            <a:avLst/>
                          </a:prstGeom>
                        </pic:spPr>
                      </pic:pic>
                    </a:graphicData>
                  </a:graphic>
                </wp:anchor>
              </w:drawing>
            </w:r>
            <w:r>
              <w:pict>
                <v:shape id="_x0000_s1052" type="#_x0000_t202" style="width:49.9pt;height:10.75pt;margin-top:6.36pt;margin-left:-53.8pt;mso-position-horizontal-relative:right-margin-area;mso-position-vertical-relative:top-margin-area;position:absolute;z-index:251686912" filled="f" stroked="f">
                  <o:lock v:ext="edit" aspectratio="f"/>
                  <v:textbox inset="0,0,0,0">
                    <w:txbxContent>
                      <w:p>
                        <w:pPr>
                          <w:spacing w:before="20" w:line="186" w:lineRule="auto"/>
                          <w:ind w:left="214"/>
                          <w:rPr>
                            <w:rFonts w:ascii="Times New Roman" w:eastAsia="Times New Roman" w:hAnsi="Times New Roman" w:cs="Times New Roman"/>
                            <w:sz w:val="12"/>
                            <w:szCs w:val="12"/>
                          </w:rPr>
                        </w:pPr>
                        <w:r>
                          <w:rPr>
                            <w:rFonts w:ascii="Times New Roman" w:eastAsia="Times New Roman" w:hAnsi="Times New Roman" w:cs="Times New Roman"/>
                            <w:color w:val="404040"/>
                            <w:spacing w:val="-1"/>
                            <w:sz w:val="12"/>
                            <w:szCs w:val="12"/>
                          </w:rPr>
                          <w:t>2.46</w:t>
                        </w:r>
                      </w:p>
                    </w:txbxContent>
                  </v:textbox>
                </v:shape>
              </w:pict>
            </w:r>
            <w:r>
              <w:rPr>
                <w:position w:val="-2"/>
              </w:rPr>
              <w:pict>
                <v:shape id="_x0000_i1053" style="width:47.9pt;height:6.85pt;mso-position-horizontal-relative:char;mso-position-vertical-relative:line" coordorigin="0,0" coordsize="958,136" path="m22,22l934,114e" filled="f" strokecolor="#e46c0a" strokeweight="2.28pt">
                  <v:stroke endcap="round"/>
                  <w10:wrap type="none"/>
                </v:shape>
              </w:pict>
            </w:r>
          </w:p>
        </w:tc>
        <w:tc>
          <w:tcPr>
            <w:tcW w:w="3071" w:type="dxa"/>
            <w:gridSpan w:val="2"/>
            <w:tcBorders>
              <w:top w:val="single" w:sz="4" w:space="0" w:color="D9D9D9"/>
              <w:bottom w:val="single" w:sz="4" w:space="0" w:color="D9D9D9"/>
            </w:tcBorders>
            <w:vAlign w:val="top"/>
          </w:tcPr>
          <w:p>
            <w:pPr>
              <w:spacing w:before="239" w:line="186" w:lineRule="auto"/>
              <w:ind w:left="63"/>
              <w:rPr>
                <w:rFonts w:ascii="Times New Roman" w:eastAsia="Times New Roman" w:hAnsi="Times New Roman" w:cs="Times New Roman"/>
                <w:sz w:val="12"/>
                <w:szCs w:val="12"/>
              </w:rPr>
            </w:pPr>
            <w:r>
              <w:rPr>
                <w:rFonts w:ascii="Times New Roman" w:eastAsia="Times New Roman" w:hAnsi="Times New Roman" w:cs="Times New Roman"/>
                <w:color w:val="404040"/>
                <w:spacing w:val="-4"/>
                <w:sz w:val="12"/>
                <w:szCs w:val="12"/>
              </w:rPr>
              <w:t>1.57</w:t>
            </w:r>
          </w:p>
        </w:tc>
      </w:tr>
      <w:tr>
        <w:tblPrEx>
          <w:tblW w:w="8207" w:type="dxa"/>
          <w:tblInd w:w="0" w:type="dxa"/>
          <w:tblLayout w:type="fixed"/>
        </w:tblPrEx>
        <w:trPr>
          <w:trHeight w:val="356"/>
        </w:trPr>
        <w:tc>
          <w:tcPr>
            <w:tcW w:w="8207" w:type="dxa"/>
            <w:gridSpan w:val="7"/>
            <w:tcBorders>
              <w:top w:val="single" w:sz="4" w:space="0" w:color="D9D9D9"/>
              <w:bottom w:val="single" w:sz="4" w:space="0" w:color="D9D9D9"/>
            </w:tcBorders>
            <w:vAlign w:val="top"/>
          </w:tcPr>
          <w:p>
            <w:pPr>
              <w:rPr>
                <w:rFonts w:ascii="Arial"/>
                <w:sz w:val="21"/>
              </w:rPr>
            </w:pPr>
          </w:p>
        </w:tc>
      </w:tr>
      <w:tr>
        <w:tblPrEx>
          <w:tblW w:w="8207" w:type="dxa"/>
          <w:tblInd w:w="0" w:type="dxa"/>
          <w:tblLayout w:type="fixed"/>
        </w:tblPrEx>
        <w:trPr>
          <w:trHeight w:val="358"/>
        </w:trPr>
        <w:tc>
          <w:tcPr>
            <w:tcW w:w="8207" w:type="dxa"/>
            <w:gridSpan w:val="7"/>
            <w:tcBorders>
              <w:top w:val="single" w:sz="4" w:space="0" w:color="D9D9D9"/>
              <w:bottom w:val="single" w:sz="4" w:space="0" w:color="D9D9D9"/>
            </w:tcBorders>
            <w:vAlign w:val="top"/>
          </w:tcPr>
          <w:p>
            <w:pPr>
              <w:rPr>
                <w:rFonts w:ascii="Arial"/>
                <w:sz w:val="21"/>
              </w:rPr>
            </w:pPr>
            <w:r>
              <w:pict>
                <v:shape id="_x0000_s1054" type="#_x0000_t202" style="width:25.9pt;height:8.6pt;margin-top:4.69pt;margin-left:-208.97pt;mso-position-horizontal-relative:right-margin-area;mso-position-vertical-relative:top-margin-area;position:absolute;z-index:251683840" filled="f" stroked="f">
                  <o:lock v:ext="edit" aspectratio="f"/>
                  <v:textbox inset="0,0,0,0">
                    <w:txbxContent>
                      <w:p>
                        <w:pPr>
                          <w:spacing w:before="20" w:line="228" w:lineRule="auto"/>
                          <w:ind w:left="20"/>
                          <w:rPr>
                            <w:rFonts w:ascii="Times New Roman" w:eastAsia="Times New Roman" w:hAnsi="Times New Roman" w:cs="Times New Roman"/>
                            <w:sz w:val="12"/>
                            <w:szCs w:val="12"/>
                          </w:rPr>
                        </w:pPr>
                        <w:r>
                          <w:rPr>
                            <w:rFonts w:ascii="Times New Roman" w:eastAsia="Times New Roman" w:hAnsi="Times New Roman" w:cs="Times New Roman"/>
                            <w:color w:val="404040"/>
                            <w:position w:val="-1"/>
                            <w:sz w:val="12"/>
                            <w:szCs w:val="12"/>
                          </w:rPr>
                          <w:drawing>
                            <wp:inline distT="0" distB="0" distL="0" distR="0">
                              <wp:extent cx="73151" cy="73152"/>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1"/>
                                      <a:stretch>
                                        <a:fillRect/>
                                      </a:stretch>
                                    </pic:blipFill>
                                    <pic:spPr>
                                      <a:xfrm>
                                        <a:off x="0" y="0"/>
                                        <a:ext cx="73151" cy="73152"/>
                                      </a:xfrm>
                                      <a:prstGeom prst="rect">
                                        <a:avLst/>
                                      </a:prstGeom>
                                    </pic:spPr>
                                  </pic:pic>
                                </a:graphicData>
                              </a:graphic>
                            </wp:inline>
                          </w:drawing>
                        </w:r>
                        <w:r>
                          <w:rPr>
                            <w:rFonts w:ascii="Times New Roman" w:eastAsia="Times New Roman" w:hAnsi="Times New Roman" w:cs="Times New Roman"/>
                            <w:color w:val="404040"/>
                            <w:spacing w:val="8"/>
                            <w:w w:val="102"/>
                            <w:sz w:val="12"/>
                            <w:szCs w:val="12"/>
                          </w:rPr>
                          <w:t xml:space="preserve">   </w:t>
                        </w:r>
                        <w:r>
                          <w:rPr>
                            <w:rFonts w:ascii="Times New Roman" w:eastAsia="Times New Roman" w:hAnsi="Times New Roman" w:cs="Times New Roman"/>
                            <w:color w:val="404040"/>
                            <w:spacing w:val="-1"/>
                            <w:sz w:val="12"/>
                            <w:szCs w:val="12"/>
                          </w:rPr>
                          <w:t>-4.53</w:t>
                        </w:r>
                      </w:p>
                    </w:txbxContent>
                  </v:textbox>
                </v:shape>
              </w:pict>
            </w:r>
          </w:p>
        </w:tc>
      </w:tr>
      <w:tr>
        <w:tblPrEx>
          <w:tblW w:w="8207" w:type="dxa"/>
          <w:tblInd w:w="0" w:type="dxa"/>
          <w:tblLayout w:type="fixed"/>
        </w:tblPrEx>
        <w:trPr>
          <w:trHeight w:val="363"/>
        </w:trPr>
        <w:tc>
          <w:tcPr>
            <w:tcW w:w="8207" w:type="dxa"/>
            <w:gridSpan w:val="7"/>
            <w:tcBorders>
              <w:top w:val="single" w:sz="4" w:space="0" w:color="D9D9D9"/>
              <w:bottom w:val="single" w:sz="4" w:space="0" w:color="D9D9D9"/>
            </w:tcBorders>
            <w:vAlign w:val="top"/>
          </w:tcPr>
          <w:p>
            <w:pPr>
              <w:spacing w:before="234" w:line="118" w:lineRule="exact"/>
              <w:ind w:firstLine="482"/>
            </w:pPr>
            <w:r>
              <w:rPr>
                <w:position w:val="-2"/>
              </w:rPr>
              <w:drawing>
                <wp:inline distT="0" distB="0" distL="0" distR="0">
                  <wp:extent cx="4764023" cy="75310"/>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2"/>
                          <a:stretch>
                            <a:fillRect/>
                          </a:stretch>
                        </pic:blipFill>
                        <pic:spPr>
                          <a:xfrm>
                            <a:off x="0" y="0"/>
                            <a:ext cx="4764023" cy="75310"/>
                          </a:xfrm>
                          <a:prstGeom prst="rect">
                            <a:avLst/>
                          </a:prstGeom>
                        </pic:spPr>
                      </pic:pic>
                    </a:graphicData>
                  </a:graphic>
                </wp:inline>
              </w:drawing>
            </w:r>
          </w:p>
        </w:tc>
      </w:tr>
    </w:tbl>
    <w:p>
      <w:pPr>
        <w:spacing w:before="82" w:line="220" w:lineRule="auto"/>
        <w:ind w:left="278"/>
        <w:rPr>
          <w:rFonts w:ascii="SimSun" w:eastAsia="SimSun" w:hAnsi="SimSun" w:cs="SimSun"/>
          <w:sz w:val="12"/>
          <w:szCs w:val="12"/>
        </w:rPr>
      </w:pPr>
      <w:r>
        <w:rPr>
          <w:rFonts w:ascii="Times New Roman" w:eastAsia="Times New Roman" w:hAnsi="Times New Roman" w:cs="Times New Roman"/>
          <w:color w:val="595959"/>
          <w:sz w:val="12"/>
          <w:szCs w:val="12"/>
        </w:rPr>
        <w:t>2015</w:t>
      </w:r>
      <w:r>
        <w:rPr>
          <w:rFonts w:ascii="SimSun" w:eastAsia="SimSun" w:hAnsi="SimSun" w:cs="SimSun"/>
          <w:color w:val="595959"/>
          <w:sz w:val="12"/>
          <w:szCs w:val="12"/>
        </w:rPr>
        <w:t xml:space="preserve">年         </w:t>
      </w:r>
      <w:r>
        <w:rPr>
          <w:rFonts w:ascii="Times New Roman" w:eastAsia="Times New Roman" w:hAnsi="Times New Roman" w:cs="Times New Roman"/>
          <w:color w:val="595959"/>
          <w:sz w:val="12"/>
          <w:szCs w:val="12"/>
        </w:rPr>
        <w:t>2016</w:t>
      </w:r>
      <w:r>
        <w:rPr>
          <w:rFonts w:ascii="SimSun" w:eastAsia="SimSun" w:hAnsi="SimSun" w:cs="SimSun"/>
          <w:color w:val="595959"/>
          <w:sz w:val="12"/>
          <w:szCs w:val="12"/>
        </w:rPr>
        <w:t xml:space="preserve">年         </w:t>
      </w:r>
      <w:r>
        <w:rPr>
          <w:rFonts w:ascii="Times New Roman" w:eastAsia="Times New Roman" w:hAnsi="Times New Roman" w:cs="Times New Roman"/>
          <w:color w:val="595959"/>
          <w:sz w:val="12"/>
          <w:szCs w:val="12"/>
        </w:rPr>
        <w:t>2017</w:t>
      </w:r>
      <w:r>
        <w:rPr>
          <w:rFonts w:ascii="SimSun" w:eastAsia="SimSun" w:hAnsi="SimSun" w:cs="SimSun"/>
          <w:color w:val="595959"/>
          <w:sz w:val="12"/>
          <w:szCs w:val="12"/>
        </w:rPr>
        <w:t>年</w:t>
      </w:r>
      <w:r>
        <w:rPr>
          <w:rFonts w:ascii="SimSun" w:eastAsia="SimSun" w:hAnsi="SimSun" w:cs="SimSun"/>
          <w:color w:val="595959"/>
          <w:spacing w:val="2"/>
          <w:sz w:val="12"/>
          <w:szCs w:val="12"/>
        </w:rPr>
        <w:t xml:space="preserve">         </w:t>
      </w:r>
      <w:r>
        <w:rPr>
          <w:rFonts w:ascii="Times New Roman" w:eastAsia="Times New Roman" w:hAnsi="Times New Roman" w:cs="Times New Roman"/>
          <w:color w:val="595959"/>
          <w:sz w:val="12"/>
          <w:szCs w:val="12"/>
        </w:rPr>
        <w:t>2018</w:t>
      </w:r>
      <w:r>
        <w:rPr>
          <w:rFonts w:ascii="SimSun" w:eastAsia="SimSun" w:hAnsi="SimSun" w:cs="SimSun"/>
          <w:color w:val="595959"/>
          <w:sz w:val="12"/>
          <w:szCs w:val="12"/>
        </w:rPr>
        <w:t>年</w:t>
      </w:r>
      <w:r>
        <w:rPr>
          <w:rFonts w:ascii="SimSun" w:eastAsia="SimSun" w:hAnsi="SimSun" w:cs="SimSun"/>
          <w:color w:val="595959"/>
          <w:spacing w:val="1"/>
          <w:sz w:val="12"/>
          <w:szCs w:val="12"/>
        </w:rPr>
        <w:t xml:space="preserve">         </w:t>
      </w:r>
      <w:r>
        <w:rPr>
          <w:rFonts w:ascii="Times New Roman" w:eastAsia="Times New Roman" w:hAnsi="Times New Roman" w:cs="Times New Roman"/>
          <w:color w:val="595959"/>
          <w:sz w:val="12"/>
          <w:szCs w:val="12"/>
        </w:rPr>
        <w:t>2019</w:t>
      </w:r>
      <w:r>
        <w:rPr>
          <w:rFonts w:ascii="SimSun" w:eastAsia="SimSun" w:hAnsi="SimSun" w:cs="SimSun"/>
          <w:color w:val="595959"/>
          <w:sz w:val="12"/>
          <w:szCs w:val="12"/>
        </w:rPr>
        <w:t>年</w:t>
      </w:r>
      <w:r>
        <w:rPr>
          <w:rFonts w:ascii="SimSun" w:eastAsia="SimSun" w:hAnsi="SimSun" w:cs="SimSun"/>
          <w:color w:val="595959"/>
          <w:spacing w:val="2"/>
          <w:sz w:val="12"/>
          <w:szCs w:val="12"/>
        </w:rPr>
        <w:t xml:space="preserve">         </w:t>
      </w:r>
      <w:r>
        <w:rPr>
          <w:rFonts w:ascii="Times New Roman" w:eastAsia="Times New Roman" w:hAnsi="Times New Roman" w:cs="Times New Roman"/>
          <w:color w:val="595959"/>
          <w:sz w:val="12"/>
          <w:szCs w:val="12"/>
        </w:rPr>
        <w:t>2020</w:t>
      </w:r>
      <w:r>
        <w:rPr>
          <w:rFonts w:ascii="SimSun" w:eastAsia="SimSun" w:hAnsi="SimSun" w:cs="SimSun"/>
          <w:color w:val="595959"/>
          <w:sz w:val="12"/>
          <w:szCs w:val="12"/>
        </w:rPr>
        <w:t>年</w:t>
      </w:r>
      <w:r>
        <w:rPr>
          <w:rFonts w:ascii="SimSun" w:eastAsia="SimSun" w:hAnsi="SimSun" w:cs="SimSun"/>
          <w:color w:val="595959"/>
          <w:spacing w:val="2"/>
          <w:sz w:val="12"/>
          <w:szCs w:val="12"/>
        </w:rPr>
        <w:t xml:space="preserve">         </w:t>
      </w:r>
      <w:r>
        <w:rPr>
          <w:rFonts w:ascii="Times New Roman" w:eastAsia="Times New Roman" w:hAnsi="Times New Roman" w:cs="Times New Roman"/>
          <w:color w:val="595959"/>
          <w:sz w:val="12"/>
          <w:szCs w:val="12"/>
        </w:rPr>
        <w:t>2021</w:t>
      </w:r>
      <w:r>
        <w:rPr>
          <w:rFonts w:ascii="SimSun" w:eastAsia="SimSun" w:hAnsi="SimSun" w:cs="SimSun"/>
          <w:color w:val="595959"/>
          <w:sz w:val="12"/>
          <w:szCs w:val="12"/>
        </w:rPr>
        <w:t>年</w:t>
      </w:r>
      <w:r>
        <w:rPr>
          <w:rFonts w:ascii="SimSun" w:eastAsia="SimSun" w:hAnsi="SimSun" w:cs="SimSun"/>
          <w:color w:val="595959"/>
          <w:spacing w:val="1"/>
          <w:sz w:val="12"/>
          <w:szCs w:val="12"/>
        </w:rPr>
        <w:t xml:space="preserve">         </w:t>
      </w:r>
      <w:r>
        <w:rPr>
          <w:rFonts w:ascii="Times New Roman" w:eastAsia="Times New Roman" w:hAnsi="Times New Roman" w:cs="Times New Roman"/>
          <w:color w:val="595959"/>
          <w:sz w:val="12"/>
          <w:szCs w:val="12"/>
        </w:rPr>
        <w:t>2022</w:t>
      </w:r>
      <w:r>
        <w:rPr>
          <w:rFonts w:ascii="SimSun" w:eastAsia="SimSun" w:hAnsi="SimSun" w:cs="SimSun"/>
          <w:color w:val="595959"/>
          <w:sz w:val="12"/>
          <w:szCs w:val="12"/>
        </w:rPr>
        <w:t>年</w:t>
      </w:r>
      <w:r>
        <w:rPr>
          <w:rFonts w:ascii="SimSun" w:eastAsia="SimSun" w:hAnsi="SimSun" w:cs="SimSun"/>
          <w:color w:val="595959"/>
          <w:spacing w:val="4"/>
          <w:sz w:val="12"/>
          <w:szCs w:val="12"/>
        </w:rPr>
        <w:t xml:space="preserve">     </w:t>
      </w:r>
      <w:r>
        <w:rPr>
          <w:rFonts w:ascii="Times New Roman" w:eastAsia="Times New Roman" w:hAnsi="Times New Roman" w:cs="Times New Roman"/>
          <w:color w:val="595959"/>
          <w:sz w:val="12"/>
          <w:szCs w:val="12"/>
        </w:rPr>
        <w:t>2023</w:t>
      </w:r>
      <w:r>
        <w:rPr>
          <w:rFonts w:ascii="SimSun" w:eastAsia="SimSun" w:hAnsi="SimSun" w:cs="SimSun"/>
          <w:color w:val="595959"/>
          <w:sz w:val="12"/>
          <w:szCs w:val="12"/>
        </w:rPr>
        <w:t>年上半年度</w:t>
      </w:r>
    </w:p>
    <w:p>
      <w:pPr>
        <w:spacing w:before="119" w:line="168" w:lineRule="auto"/>
        <w:ind w:left="1874"/>
        <w:rPr>
          <w:rFonts w:ascii="SimSun" w:eastAsia="SimSun" w:hAnsi="SimSun" w:cs="SimSun"/>
          <w:sz w:val="12"/>
          <w:szCs w:val="12"/>
        </w:rPr>
        <w:sectPr>
          <w:headerReference w:type="default" r:id="rId33"/>
          <w:footerReference w:type="default" r:id="rId34"/>
          <w:type w:val="continuous"/>
          <w:pgSz w:w="11907" w:h="16839"/>
          <w:pgMar w:top="1336" w:right="1072" w:bottom="1272" w:left="783" w:header="1148" w:footer="1077" w:gutter="0"/>
          <w:pgNumType w:start="5"/>
          <w:cols w:num="3" w:space="708" w:equalWidth="0">
            <w:col w:w="723" w:space="100"/>
            <w:col w:w="8216" w:space="100"/>
            <w:col w:w="913" w:space="0"/>
          </w:cols>
        </w:sectPr>
      </w:pPr>
      <w:r>
        <w:rPr>
          <w:rFonts w:ascii="Arial" w:eastAsia="Arial" w:hAnsi="Arial" w:cs="Arial"/>
          <w:color w:val="0070C0"/>
          <w:spacing w:val="-2"/>
          <w:position w:val="2"/>
          <w:sz w:val="12"/>
          <w:szCs w:val="12"/>
        </w:rPr>
        <w:t>______</w:t>
      </w:r>
      <w:r>
        <w:rPr>
          <w:rFonts w:ascii="Arial" w:eastAsia="Arial" w:hAnsi="Arial" w:cs="Arial"/>
          <w:color w:val="0070C0"/>
          <w:spacing w:val="26"/>
          <w:position w:val="2"/>
          <w:sz w:val="12"/>
          <w:szCs w:val="12"/>
        </w:rPr>
        <w:t xml:space="preserve"> </w:t>
      </w:r>
      <w:r>
        <w:rPr>
          <w:rFonts w:ascii="SimSun" w:eastAsia="SimSun" w:hAnsi="SimSun" w:cs="SimSun"/>
          <w:color w:val="595959"/>
          <w:spacing w:val="-2"/>
          <w:sz w:val="12"/>
          <w:szCs w:val="12"/>
        </w:rPr>
        <w:t>营业收入</w:t>
      </w:r>
      <w:r>
        <w:rPr>
          <w:rFonts w:ascii="SimSun" w:eastAsia="SimSun" w:hAnsi="SimSun" w:cs="SimSun"/>
          <w:color w:val="595959"/>
          <w:spacing w:val="15"/>
          <w:sz w:val="12"/>
          <w:szCs w:val="12"/>
        </w:rPr>
        <w:t xml:space="preserve">   </w:t>
      </w:r>
      <w:r>
        <w:rPr>
          <w:sz w:val="12"/>
          <w:szCs w:val="12"/>
        </w:rPr>
        <w:drawing>
          <wp:inline distT="0" distB="0" distL="0" distR="0">
            <wp:extent cx="243839" cy="38100"/>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35"/>
                    <a:stretch>
                      <a:fillRect/>
                    </a:stretch>
                  </pic:blipFill>
                  <pic:spPr>
                    <a:xfrm>
                      <a:off x="0" y="0"/>
                      <a:ext cx="243839" cy="38100"/>
                    </a:xfrm>
                    <a:prstGeom prst="rect">
                      <a:avLst/>
                    </a:prstGeom>
                  </pic:spPr>
                </pic:pic>
              </a:graphicData>
            </a:graphic>
          </wp:inline>
        </w:drawing>
      </w:r>
      <w:r>
        <w:rPr>
          <w:rFonts w:ascii="SimSun" w:eastAsia="SimSun" w:hAnsi="SimSun" w:cs="SimSun"/>
          <w:color w:val="595959"/>
          <w:spacing w:val="-12"/>
          <w:sz w:val="12"/>
          <w:szCs w:val="12"/>
        </w:rPr>
        <w:t xml:space="preserve"> </w:t>
      </w:r>
      <w:r>
        <w:rPr>
          <w:rFonts w:ascii="SimSun" w:eastAsia="SimSun" w:hAnsi="SimSun" w:cs="SimSun"/>
          <w:color w:val="595959"/>
          <w:spacing w:val="-2"/>
          <w:sz w:val="12"/>
          <w:szCs w:val="12"/>
        </w:rPr>
        <w:t>利润总额</w:t>
      </w:r>
      <w:r>
        <w:rPr>
          <w:rFonts w:ascii="SimSun" w:eastAsia="SimSun" w:hAnsi="SimSun" w:cs="SimSun"/>
          <w:color w:val="595959"/>
          <w:spacing w:val="9"/>
          <w:sz w:val="12"/>
          <w:szCs w:val="12"/>
        </w:rPr>
        <w:t xml:space="preserve">   </w:t>
      </w:r>
      <w:r>
        <w:rPr>
          <w:sz w:val="12"/>
          <w:szCs w:val="12"/>
        </w:rPr>
        <w:drawing>
          <wp:inline distT="0" distB="0" distL="0" distR="0">
            <wp:extent cx="269747" cy="47244"/>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36"/>
                    <a:stretch>
                      <a:fillRect/>
                    </a:stretch>
                  </pic:blipFill>
                  <pic:spPr>
                    <a:xfrm>
                      <a:off x="0" y="0"/>
                      <a:ext cx="269747" cy="47244"/>
                    </a:xfrm>
                    <a:prstGeom prst="rect">
                      <a:avLst/>
                    </a:prstGeom>
                  </pic:spPr>
                </pic:pic>
              </a:graphicData>
            </a:graphic>
          </wp:inline>
        </w:drawing>
      </w:r>
    </w:p>
    <w:p>
      <w:pPr>
        <w:spacing w:before="119" w:line="168" w:lineRule="auto"/>
        <w:ind w:left="1874"/>
        <w:rPr>
          <w:rFonts w:ascii="SimSun" w:eastAsia="SimSun" w:hAnsi="SimSun" w:cs="SimSun"/>
          <w:sz w:val="12"/>
          <w:szCs w:val="12"/>
        </w:rPr>
      </w:pPr>
      <w:r>
        <w:rPr>
          <w:rFonts w:ascii="SimSun" w:eastAsia="SimSun" w:hAnsi="SimSun" w:cs="SimSun"/>
          <w:color w:val="595959"/>
          <w:spacing w:val="-31"/>
          <w:sz w:val="12"/>
          <w:szCs w:val="12"/>
        </w:rPr>
        <w:t xml:space="preserve"> </w:t>
      </w:r>
      <w:r>
        <w:rPr>
          <w:rFonts w:ascii="SimSun" w:eastAsia="SimSun" w:hAnsi="SimSun" w:cs="SimSun"/>
          <w:color w:val="595959"/>
          <w:spacing w:val="-2"/>
          <w:sz w:val="12"/>
          <w:szCs w:val="12"/>
        </w:rPr>
        <w:t>营业收入增速</w:t>
      </w:r>
      <w:r>
        <w:rPr>
          <w:rFonts w:ascii="SimSun" w:eastAsia="SimSun" w:hAnsi="SimSun" w:cs="SimSun"/>
          <w:color w:val="595959"/>
          <w:spacing w:val="9"/>
          <w:sz w:val="12"/>
          <w:szCs w:val="12"/>
        </w:rPr>
        <w:t xml:space="preserve">   </w:t>
      </w:r>
      <w:r>
        <w:rPr>
          <w:sz w:val="12"/>
          <w:szCs w:val="12"/>
        </w:rPr>
        <w:drawing>
          <wp:inline distT="0" distB="0" distL="0" distR="0">
            <wp:extent cx="269747" cy="47244"/>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37"/>
                    <a:stretch>
                      <a:fillRect/>
                    </a:stretch>
                  </pic:blipFill>
                  <pic:spPr>
                    <a:xfrm>
                      <a:off x="0" y="0"/>
                      <a:ext cx="269747" cy="47244"/>
                    </a:xfrm>
                    <a:prstGeom prst="rect">
                      <a:avLst/>
                    </a:prstGeom>
                  </pic:spPr>
                </pic:pic>
              </a:graphicData>
            </a:graphic>
          </wp:inline>
        </w:drawing>
      </w:r>
      <w:r>
        <w:rPr>
          <w:rFonts w:ascii="SimSun" w:eastAsia="SimSun" w:hAnsi="SimSun" w:cs="SimSun"/>
          <w:color w:val="595959"/>
          <w:spacing w:val="-33"/>
          <w:sz w:val="12"/>
          <w:szCs w:val="12"/>
        </w:rPr>
        <w:t xml:space="preserve"> </w:t>
      </w:r>
      <w:r>
        <w:rPr>
          <w:rFonts w:ascii="SimSun" w:eastAsia="SimSun" w:hAnsi="SimSun" w:cs="SimSun"/>
          <w:color w:val="595959"/>
          <w:spacing w:val="-2"/>
          <w:sz w:val="12"/>
          <w:szCs w:val="12"/>
        </w:rPr>
        <w:t>利润总额增速</w:t>
      </w:r>
    </w:p>
    <w:p>
      <w:pPr>
        <w:spacing w:line="14" w:lineRule="auto"/>
        <w:rPr>
          <w:rFonts w:ascii="Arial"/>
          <w:sz w:val="2"/>
        </w:rPr>
      </w:pPr>
      <w:r>
        <w:rPr>
          <w:rFonts w:ascii="Arial" w:eastAsia="Arial" w:hAnsi="Arial" w:cs="Arial"/>
          <w:sz w:val="2"/>
          <w:szCs w:val="2"/>
        </w:rPr>
        <w:br w:type="column"/>
      </w:r>
    </w:p>
    <w:p>
      <w:pPr>
        <w:spacing w:line="184" w:lineRule="auto"/>
        <w:ind w:left="9"/>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15.00</w:t>
      </w:r>
    </w:p>
    <w:p>
      <w:pPr>
        <w:spacing w:line="370" w:lineRule="auto"/>
        <w:rPr>
          <w:rFonts w:ascii="Arial"/>
          <w:sz w:val="21"/>
        </w:rPr>
      </w:pPr>
    </w:p>
    <w:p>
      <w:pPr>
        <w:spacing w:before="35" w:line="187" w:lineRule="auto"/>
        <w:ind w:left="9"/>
        <w:rPr>
          <w:rFonts w:ascii="Times New Roman" w:eastAsia="Times New Roman" w:hAnsi="Times New Roman" w:cs="Times New Roman"/>
          <w:sz w:val="12"/>
          <w:szCs w:val="12"/>
        </w:rPr>
      </w:pPr>
      <w:r>
        <w:rPr>
          <w:rFonts w:ascii="Times New Roman" w:eastAsia="Times New Roman" w:hAnsi="Times New Roman" w:cs="Times New Roman"/>
          <w:color w:val="595959"/>
          <w:spacing w:val="-3"/>
          <w:sz w:val="12"/>
          <w:szCs w:val="12"/>
        </w:rPr>
        <w:t>10.00</w:t>
      </w:r>
    </w:p>
    <w:p>
      <w:pPr>
        <w:spacing w:line="370" w:lineRule="auto"/>
        <w:rPr>
          <w:rFonts w:ascii="Arial"/>
          <w:sz w:val="21"/>
        </w:rPr>
      </w:pPr>
    </w:p>
    <w:p>
      <w:pPr>
        <w:spacing w:before="35" w:line="187" w:lineRule="auto"/>
        <w:ind w:left="1"/>
        <w:rPr>
          <w:rFonts w:ascii="Times New Roman" w:eastAsia="Times New Roman" w:hAnsi="Times New Roman" w:cs="Times New Roman"/>
          <w:sz w:val="12"/>
          <w:szCs w:val="12"/>
        </w:rPr>
      </w:pPr>
      <w:r>
        <w:rPr>
          <w:rFonts w:ascii="Times New Roman" w:eastAsia="Times New Roman" w:hAnsi="Times New Roman" w:cs="Times New Roman"/>
          <w:color w:val="595959"/>
          <w:spacing w:val="-2"/>
          <w:sz w:val="12"/>
          <w:szCs w:val="12"/>
        </w:rPr>
        <w:t>5.00</w:t>
      </w:r>
    </w:p>
    <w:p>
      <w:pPr>
        <w:spacing w:line="371" w:lineRule="auto"/>
        <w:rPr>
          <w:rFonts w:ascii="Arial"/>
          <w:sz w:val="21"/>
        </w:rPr>
      </w:pPr>
    </w:p>
    <w:p>
      <w:pPr>
        <w:spacing w:before="35" w:line="186" w:lineRule="auto"/>
        <w:rPr>
          <w:rFonts w:ascii="Times New Roman" w:eastAsia="Times New Roman" w:hAnsi="Times New Roman" w:cs="Times New Roman"/>
          <w:sz w:val="12"/>
          <w:szCs w:val="12"/>
        </w:rPr>
      </w:pPr>
      <w:r>
        <w:rPr>
          <w:rFonts w:ascii="Times New Roman" w:eastAsia="Times New Roman" w:hAnsi="Times New Roman" w:cs="Times New Roman"/>
          <w:color w:val="595959"/>
          <w:spacing w:val="-1"/>
          <w:sz w:val="12"/>
          <w:szCs w:val="12"/>
        </w:rPr>
        <w:t>0.00</w:t>
      </w:r>
    </w:p>
    <w:p>
      <w:pPr>
        <w:spacing w:line="369" w:lineRule="auto"/>
        <w:rPr>
          <w:rFonts w:ascii="Arial"/>
          <w:sz w:val="21"/>
        </w:rPr>
      </w:pPr>
    </w:p>
    <w:p>
      <w:pPr>
        <w:spacing w:before="35" w:line="190" w:lineRule="auto"/>
        <w:rPr>
          <w:rFonts w:ascii="Times New Roman" w:eastAsia="Times New Roman" w:hAnsi="Times New Roman" w:cs="Times New Roman"/>
          <w:sz w:val="12"/>
          <w:szCs w:val="12"/>
        </w:rPr>
      </w:pPr>
      <w:r>
        <w:rPr>
          <w:rFonts w:ascii="Times New Roman" w:eastAsia="Times New Roman" w:hAnsi="Times New Roman" w:cs="Times New Roman"/>
          <w:color w:val="FF0000"/>
          <w:spacing w:val="-1"/>
          <w:sz w:val="12"/>
          <w:szCs w:val="12"/>
        </w:rPr>
        <w:t>(5.00)</w:t>
      </w:r>
    </w:p>
    <w:p>
      <w:pPr>
        <w:spacing w:line="368" w:lineRule="auto"/>
        <w:rPr>
          <w:rFonts w:ascii="Arial"/>
          <w:sz w:val="21"/>
        </w:rPr>
      </w:pPr>
    </w:p>
    <w:p>
      <w:pPr>
        <w:spacing w:before="35" w:line="190" w:lineRule="auto"/>
        <w:rPr>
          <w:rFonts w:ascii="Times New Roman" w:eastAsia="Times New Roman" w:hAnsi="Times New Roman" w:cs="Times New Roman"/>
          <w:sz w:val="12"/>
          <w:szCs w:val="12"/>
        </w:rPr>
      </w:pPr>
      <w:r>
        <w:rPr>
          <w:rFonts w:ascii="Times New Roman" w:eastAsia="Times New Roman" w:hAnsi="Times New Roman" w:cs="Times New Roman"/>
          <w:color w:val="FF0000"/>
          <w:spacing w:val="-1"/>
          <w:sz w:val="12"/>
          <w:szCs w:val="12"/>
        </w:rPr>
        <w:t>(10.00)</w:t>
      </w:r>
    </w:p>
    <w:p>
      <w:pPr>
        <w:spacing w:line="190" w:lineRule="auto"/>
        <w:rPr>
          <w:rFonts w:ascii="Times New Roman" w:eastAsia="Times New Roman" w:hAnsi="Times New Roman" w:cs="Times New Roman"/>
          <w:sz w:val="12"/>
          <w:szCs w:val="12"/>
        </w:rPr>
        <w:sectPr>
          <w:headerReference w:type="default" r:id="rId38"/>
          <w:footerReference w:type="default" r:id="rId39"/>
          <w:type w:val="nextPage"/>
          <w:pgSz w:w="11907" w:h="16839"/>
          <w:pgMar w:top="1336" w:right="1072" w:bottom="1272" w:left="783" w:header="1148" w:footer="1077" w:gutter="0"/>
          <w:pgNumType w:start="6"/>
          <w:cols w:num="3" w:space="708" w:equalWidth="0">
            <w:col w:w="723" w:space="100"/>
            <w:col w:w="8216" w:space="100"/>
            <w:col w:w="913" w:space="0"/>
          </w:cols>
          <w:titlePg w:val="0"/>
        </w:sectPr>
      </w:pPr>
    </w:p>
    <w:p>
      <w:pPr>
        <w:spacing w:before="276" w:line="220" w:lineRule="auto"/>
        <w:ind w:left="770"/>
        <w:rPr>
          <w:rFonts w:ascii="SimSun" w:eastAsia="SimSun" w:hAnsi="SimSun" w:cs="SimSun"/>
          <w:sz w:val="15"/>
          <w:szCs w:val="15"/>
        </w:rPr>
      </w:pPr>
      <w:r>
        <w:rPr>
          <w:rFonts w:ascii="SimSun" w:eastAsia="SimSun" w:hAnsi="SimSun" w:cs="SimSun"/>
          <w:spacing w:val="-6"/>
          <w:sz w:val="15"/>
          <w:szCs w:val="15"/>
        </w:rPr>
        <w:t>资料来源： 中国机械工业联合会</w:t>
      </w:r>
    </w:p>
    <w:p>
      <w:pPr>
        <w:spacing w:before="173" w:line="261" w:lineRule="auto"/>
        <w:ind w:left="359" w:right="58"/>
        <w:rPr>
          <w:rFonts w:ascii="SimSun" w:eastAsia="SimSun" w:hAnsi="SimSun" w:cs="SimSun"/>
          <w:sz w:val="21"/>
          <w:szCs w:val="21"/>
        </w:rPr>
      </w:pPr>
      <w:r>
        <w:rPr>
          <w:rFonts w:ascii="SimSun" w:eastAsia="SimSun" w:hAnsi="SimSun" w:cs="SimSun"/>
          <w:spacing w:val="-3"/>
          <w:sz w:val="21"/>
          <w:szCs w:val="21"/>
        </w:rPr>
        <w:t>从海外市场看， 目前我国全球机械工业产值位列第一。</w:t>
      </w:r>
      <w:r>
        <w:rPr>
          <w:rFonts w:ascii="Times New Roman" w:eastAsia="Times New Roman" w:hAnsi="Times New Roman" w:cs="Times New Roman"/>
          <w:spacing w:val="-3"/>
          <w:sz w:val="21"/>
          <w:szCs w:val="21"/>
        </w:rPr>
        <w:t xml:space="preserve">2022  </w:t>
      </w:r>
      <w:r>
        <w:rPr>
          <w:rFonts w:ascii="SimSun" w:eastAsia="SimSun" w:hAnsi="SimSun" w:cs="SimSun"/>
          <w:spacing w:val="-3"/>
          <w:sz w:val="21"/>
          <w:szCs w:val="21"/>
        </w:rPr>
        <w:t>年我国机械工业</w:t>
      </w:r>
      <w:r>
        <w:rPr>
          <w:rFonts w:ascii="SimSun" w:eastAsia="SimSun" w:hAnsi="SimSun" w:cs="SimSun"/>
          <w:spacing w:val="-4"/>
          <w:sz w:val="21"/>
          <w:szCs w:val="21"/>
        </w:rPr>
        <w:t xml:space="preserve">进出口总额达到 </w:t>
      </w:r>
      <w:r>
        <w:rPr>
          <w:rFonts w:ascii="Times New Roman" w:eastAsia="Times New Roman" w:hAnsi="Times New Roman" w:cs="Times New Roman"/>
          <w:spacing w:val="-4"/>
          <w:sz w:val="21"/>
          <w:szCs w:val="21"/>
        </w:rPr>
        <w:t>1.36</w:t>
      </w:r>
      <w:r>
        <w:rPr>
          <w:rFonts w:ascii="Times New Roman" w:eastAsia="Times New Roman" w:hAnsi="Times New Roman" w:cs="Times New Roman"/>
          <w:spacing w:val="39"/>
          <w:w w:val="101"/>
          <w:sz w:val="21"/>
          <w:szCs w:val="21"/>
        </w:rPr>
        <w:t xml:space="preserve"> </w:t>
      </w:r>
      <w:r>
        <w:rPr>
          <w:rFonts w:ascii="SimSun" w:eastAsia="SimSun" w:hAnsi="SimSun" w:cs="SimSun"/>
          <w:spacing w:val="-4"/>
          <w:sz w:val="21"/>
          <w:szCs w:val="21"/>
        </w:rPr>
        <w:t>万亿美</w:t>
      </w:r>
      <w:r>
        <w:rPr>
          <w:rFonts w:ascii="SimSun" w:eastAsia="SimSun" w:hAnsi="SimSun" w:cs="SimSun"/>
          <w:sz w:val="21"/>
          <w:szCs w:val="21"/>
        </w:rPr>
        <w:t xml:space="preserve"> </w:t>
      </w:r>
      <w:r>
        <w:rPr>
          <w:rFonts w:ascii="SimSun" w:eastAsia="SimSun" w:hAnsi="SimSun" w:cs="SimSun"/>
          <w:spacing w:val="-2"/>
          <w:sz w:val="21"/>
          <w:szCs w:val="21"/>
        </w:rPr>
        <w:t xml:space="preserve">元，同比增长 </w:t>
      </w:r>
      <w:r>
        <w:rPr>
          <w:rFonts w:ascii="Times New Roman" w:eastAsia="Times New Roman" w:hAnsi="Times New Roman" w:cs="Times New Roman"/>
          <w:spacing w:val="-2"/>
          <w:sz w:val="21"/>
          <w:szCs w:val="21"/>
        </w:rPr>
        <w:t>11.3%</w:t>
      </w:r>
      <w:r>
        <w:rPr>
          <w:rFonts w:ascii="SimSun" w:eastAsia="SimSun" w:hAnsi="SimSun" w:cs="SimSun"/>
          <w:spacing w:val="-2"/>
          <w:sz w:val="21"/>
          <w:szCs w:val="21"/>
        </w:rPr>
        <w:t>。其中出口总额</w:t>
      </w:r>
      <w:r>
        <w:rPr>
          <w:rFonts w:ascii="SimSun" w:eastAsia="SimSun" w:hAnsi="SimSun" w:cs="SimSun"/>
          <w:spacing w:val="-19"/>
          <w:sz w:val="21"/>
          <w:szCs w:val="21"/>
        </w:rPr>
        <w:t xml:space="preserve"> </w:t>
      </w:r>
      <w:r>
        <w:rPr>
          <w:rFonts w:ascii="Times New Roman" w:eastAsia="Times New Roman" w:hAnsi="Times New Roman" w:cs="Times New Roman"/>
          <w:spacing w:val="-2"/>
          <w:sz w:val="21"/>
          <w:szCs w:val="21"/>
        </w:rPr>
        <w:t>7,885</w:t>
      </w:r>
      <w:r>
        <w:rPr>
          <w:rFonts w:ascii="Times New Roman" w:eastAsia="Times New Roman" w:hAnsi="Times New Roman" w:cs="Times New Roman"/>
          <w:spacing w:val="34"/>
          <w:sz w:val="21"/>
          <w:szCs w:val="21"/>
        </w:rPr>
        <w:t xml:space="preserve"> </w:t>
      </w:r>
      <w:r>
        <w:rPr>
          <w:rFonts w:ascii="SimSun" w:eastAsia="SimSun" w:hAnsi="SimSun" w:cs="SimSun"/>
          <w:spacing w:val="-2"/>
          <w:sz w:val="21"/>
          <w:szCs w:val="21"/>
        </w:rPr>
        <w:t xml:space="preserve">亿美元，同比增长 </w:t>
      </w:r>
      <w:r>
        <w:rPr>
          <w:rFonts w:ascii="Times New Roman" w:eastAsia="Times New Roman" w:hAnsi="Times New Roman" w:cs="Times New Roman"/>
          <w:spacing w:val="-2"/>
          <w:sz w:val="21"/>
          <w:szCs w:val="21"/>
        </w:rPr>
        <w:t>10.4%</w:t>
      </w:r>
      <w:r>
        <w:rPr>
          <w:rFonts w:ascii="SimSun" w:eastAsia="SimSun" w:hAnsi="SimSun" w:cs="SimSun"/>
          <w:spacing w:val="-2"/>
          <w:sz w:val="21"/>
          <w:szCs w:val="21"/>
        </w:rPr>
        <w:t xml:space="preserve">；进口总额 </w:t>
      </w:r>
      <w:r>
        <w:rPr>
          <w:rFonts w:ascii="Times New Roman" w:eastAsia="Times New Roman" w:hAnsi="Times New Roman" w:cs="Times New Roman"/>
          <w:spacing w:val="-2"/>
          <w:sz w:val="21"/>
          <w:szCs w:val="21"/>
        </w:rPr>
        <w:t>5,747</w:t>
      </w:r>
      <w:r>
        <w:rPr>
          <w:rFonts w:ascii="Times New Roman" w:eastAsia="Times New Roman" w:hAnsi="Times New Roman" w:cs="Times New Roman"/>
          <w:spacing w:val="35"/>
          <w:w w:val="101"/>
          <w:sz w:val="21"/>
          <w:szCs w:val="21"/>
        </w:rPr>
        <w:t xml:space="preserve"> </w:t>
      </w:r>
      <w:r>
        <w:rPr>
          <w:rFonts w:ascii="SimSun" w:eastAsia="SimSun" w:hAnsi="SimSun" w:cs="SimSun"/>
          <w:spacing w:val="-2"/>
          <w:sz w:val="21"/>
          <w:szCs w:val="21"/>
        </w:rPr>
        <w:t>亿美元，同比增长</w:t>
      </w:r>
    </w:p>
    <w:p>
      <w:pPr>
        <w:spacing w:line="292" w:lineRule="auto"/>
        <w:rPr>
          <w:rFonts w:ascii="Arial"/>
          <w:sz w:val="21"/>
        </w:rPr>
      </w:pPr>
    </w:p>
    <w:p>
      <w:pPr>
        <w:spacing w:line="292" w:lineRule="auto"/>
        <w:rPr>
          <w:rFonts w:ascii="Arial"/>
          <w:sz w:val="21"/>
        </w:rPr>
      </w:pPr>
    </w:p>
    <w:p>
      <w:pPr>
        <w:spacing w:before="40" w:line="159" w:lineRule="exact"/>
        <w:ind w:left="351"/>
        <w:rPr>
          <w:rFonts w:ascii="SimSun" w:eastAsia="SimSun" w:hAnsi="SimSun" w:cs="SimSun"/>
          <w:sz w:val="12"/>
          <w:szCs w:val="12"/>
        </w:rPr>
      </w:pPr>
      <w:r>
        <w:rPr>
          <w:rFonts w:ascii="Times New Roman" w:eastAsia="Times New Roman" w:hAnsi="Times New Roman" w:cs="Times New Roman"/>
          <w:spacing w:val="9"/>
          <w:sz w:val="12"/>
          <w:szCs w:val="12"/>
        </w:rPr>
        <w:t>2</w:t>
      </w:r>
      <w:r>
        <w:rPr>
          <w:rFonts w:ascii="Times New Roman" w:eastAsia="Times New Roman" w:hAnsi="Times New Roman" w:cs="Times New Roman"/>
          <w:spacing w:val="-5"/>
          <w:sz w:val="12"/>
          <w:szCs w:val="12"/>
        </w:rPr>
        <w:t xml:space="preserve"> </w:t>
      </w:r>
      <w:r>
        <w:rPr>
          <w:rFonts w:ascii="SimSun" w:eastAsia="SimSun" w:hAnsi="SimSun" w:cs="SimSun"/>
          <w:spacing w:val="9"/>
          <w:sz w:val="12"/>
          <w:szCs w:val="12"/>
        </w:rPr>
        <w:t>中国机械工业联合会统计的机械工业数据除包含本文所涉机械行业范畴外，还包含汽车、电工电器（电气设备）等。</w:t>
      </w:r>
    </w:p>
    <w:p>
      <w:pPr>
        <w:spacing w:line="159" w:lineRule="exact"/>
        <w:rPr>
          <w:rFonts w:ascii="SimSun" w:eastAsia="SimSun" w:hAnsi="SimSun" w:cs="SimSun"/>
          <w:sz w:val="12"/>
          <w:szCs w:val="12"/>
        </w:rPr>
        <w:sectPr>
          <w:headerReference w:type="default" r:id="rId40"/>
          <w:footerReference w:type="default" r:id="rId41"/>
          <w:type w:val="continuous"/>
          <w:pgSz w:w="11907" w:h="16839"/>
          <w:pgMar w:top="1336" w:right="1072" w:bottom="1272" w:left="783" w:header="1148" w:footer="1077" w:gutter="0"/>
          <w:pgNumType w:start="7"/>
          <w:cols w:num="1" w:space="708" w:equalWidth="0">
            <w:col w:w="10051" w:space="0"/>
          </w:cols>
        </w:sectPr>
      </w:pPr>
    </w:p>
    <w:p>
      <w:pPr>
        <w:spacing w:line="326" w:lineRule="auto"/>
        <w:rPr>
          <w:rFonts w:ascii="Arial"/>
          <w:sz w:val="21"/>
        </w:rPr>
      </w:pPr>
    </w:p>
    <w:p>
      <w:pPr>
        <w:spacing w:before="69" w:line="283" w:lineRule="auto"/>
        <w:ind w:left="39" w:right="35" w:firstLine="13"/>
        <w:jc w:val="both"/>
        <w:rPr>
          <w:rFonts w:ascii="SimSun" w:eastAsia="SimSun" w:hAnsi="SimSun" w:cs="SimSun"/>
          <w:sz w:val="21"/>
          <w:szCs w:val="21"/>
        </w:rPr>
      </w:pPr>
      <w:r>
        <w:rPr>
          <w:rFonts w:ascii="Times New Roman" w:eastAsia="Times New Roman" w:hAnsi="Times New Roman" w:cs="Times New Roman"/>
          <w:spacing w:val="-3"/>
          <w:sz w:val="21"/>
          <w:szCs w:val="21"/>
        </w:rPr>
        <w:t>12.5%</w:t>
      </w:r>
      <w:r>
        <w:rPr>
          <w:rFonts w:ascii="SimSun" w:eastAsia="SimSun" w:hAnsi="SimSun" w:cs="SimSun"/>
          <w:spacing w:val="-3"/>
          <w:sz w:val="21"/>
          <w:szCs w:val="21"/>
        </w:rPr>
        <w:t>。机械工业贸易顺差为</w:t>
      </w:r>
      <w:r>
        <w:rPr>
          <w:rFonts w:ascii="SimSun" w:eastAsia="SimSun" w:hAnsi="SimSun" w:cs="SimSun"/>
          <w:spacing w:val="-23"/>
          <w:sz w:val="21"/>
          <w:szCs w:val="21"/>
        </w:rPr>
        <w:t xml:space="preserve"> </w:t>
      </w:r>
      <w:r>
        <w:rPr>
          <w:rFonts w:ascii="Times New Roman" w:eastAsia="Times New Roman" w:hAnsi="Times New Roman" w:cs="Times New Roman"/>
          <w:spacing w:val="-3"/>
          <w:sz w:val="21"/>
          <w:szCs w:val="21"/>
        </w:rPr>
        <w:t>2,138</w:t>
      </w:r>
      <w:r>
        <w:rPr>
          <w:rFonts w:ascii="Times New Roman" w:eastAsia="Times New Roman" w:hAnsi="Times New Roman" w:cs="Times New Roman"/>
          <w:spacing w:val="24"/>
          <w:w w:val="101"/>
          <w:sz w:val="21"/>
          <w:szCs w:val="21"/>
        </w:rPr>
        <w:t xml:space="preserve"> </w:t>
      </w:r>
      <w:r>
        <w:rPr>
          <w:rFonts w:ascii="SimSun" w:eastAsia="SimSun" w:hAnsi="SimSun" w:cs="SimSun"/>
          <w:spacing w:val="-3"/>
          <w:sz w:val="21"/>
          <w:szCs w:val="21"/>
        </w:rPr>
        <w:t>亿美元， 同比扩大</w:t>
      </w:r>
      <w:r>
        <w:rPr>
          <w:rFonts w:ascii="SimSun" w:eastAsia="SimSun" w:hAnsi="SimSun" w:cs="SimSun"/>
          <w:spacing w:val="-26"/>
          <w:sz w:val="21"/>
          <w:szCs w:val="21"/>
        </w:rPr>
        <w:t xml:space="preserve"> </w:t>
      </w:r>
      <w:r>
        <w:rPr>
          <w:rFonts w:ascii="Times New Roman" w:eastAsia="Times New Roman" w:hAnsi="Times New Roman" w:cs="Times New Roman"/>
          <w:spacing w:val="-3"/>
          <w:sz w:val="21"/>
          <w:szCs w:val="21"/>
        </w:rPr>
        <w:t>5.6%</w:t>
      </w:r>
      <w:r>
        <w:rPr>
          <w:rFonts w:ascii="SimSun" w:eastAsia="SimSun" w:hAnsi="SimSun" w:cs="SimSun"/>
          <w:spacing w:val="-3"/>
          <w:sz w:val="21"/>
          <w:szCs w:val="21"/>
        </w:rPr>
        <w:t>。从产品结构看，工程机械、发电设备、矿山</w:t>
      </w:r>
      <w:r>
        <w:rPr>
          <w:rFonts w:ascii="SimSun" w:eastAsia="SimSun" w:hAnsi="SimSun" w:cs="SimSun"/>
          <w:sz w:val="21"/>
          <w:szCs w:val="21"/>
        </w:rPr>
        <w:t xml:space="preserve"> </w:t>
      </w:r>
      <w:r>
        <w:rPr>
          <w:rFonts w:ascii="SimSun" w:eastAsia="SimSun" w:hAnsi="SimSun" w:cs="SimSun"/>
          <w:spacing w:val="-1"/>
          <w:sz w:val="21"/>
          <w:szCs w:val="21"/>
        </w:rPr>
        <w:t>设备等整机、主机对出口的带动作用持续增强。其中挖掘机、电动叉车、金属轧机、起重机等产品出口量</w:t>
      </w:r>
      <w:r>
        <w:rPr>
          <w:rFonts w:ascii="SimSun" w:eastAsia="SimSun" w:hAnsi="SimSun" w:cs="SimSun"/>
          <w:spacing w:val="18"/>
          <w:sz w:val="21"/>
          <w:szCs w:val="21"/>
        </w:rPr>
        <w:t xml:space="preserve"> </w:t>
      </w:r>
      <w:r>
        <w:rPr>
          <w:rFonts w:ascii="SimSun" w:eastAsia="SimSun" w:hAnsi="SimSun" w:cs="SimSun"/>
          <w:spacing w:val="-1"/>
          <w:sz w:val="21"/>
          <w:szCs w:val="21"/>
        </w:rPr>
        <w:t>分别增长</w:t>
      </w:r>
      <w:r>
        <w:rPr>
          <w:rFonts w:ascii="SimSun" w:eastAsia="SimSun" w:hAnsi="SimSun" w:cs="SimSun"/>
          <w:spacing w:val="-26"/>
          <w:sz w:val="21"/>
          <w:szCs w:val="21"/>
        </w:rPr>
        <w:t xml:space="preserve"> </w:t>
      </w:r>
      <w:r>
        <w:rPr>
          <w:rFonts w:ascii="Times New Roman" w:eastAsia="Times New Roman" w:hAnsi="Times New Roman" w:cs="Times New Roman"/>
          <w:spacing w:val="-1"/>
          <w:sz w:val="21"/>
          <w:szCs w:val="21"/>
        </w:rPr>
        <w:t>41.9%</w:t>
      </w:r>
      <w:r>
        <w:rPr>
          <w:rFonts w:ascii="SimSun" w:eastAsia="SimSun" w:hAnsi="SimSun" w:cs="SimSun"/>
          <w:spacing w:val="-1"/>
          <w:sz w:val="21"/>
          <w:szCs w:val="21"/>
        </w:rPr>
        <w:t>、</w:t>
      </w:r>
      <w:r>
        <w:rPr>
          <w:rFonts w:ascii="Times New Roman" w:eastAsia="Times New Roman" w:hAnsi="Times New Roman" w:cs="Times New Roman"/>
          <w:spacing w:val="-1"/>
          <w:sz w:val="21"/>
          <w:szCs w:val="21"/>
        </w:rPr>
        <w:t>33.7%</w:t>
      </w:r>
      <w:r>
        <w:rPr>
          <w:rFonts w:ascii="Times New Roman" w:eastAsia="Times New Roman" w:hAnsi="Times New Roman" w:cs="Times New Roman"/>
          <w:spacing w:val="-30"/>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pacing w:val="-1"/>
          <w:sz w:val="21"/>
          <w:szCs w:val="21"/>
        </w:rPr>
        <w:t>51.8%</w:t>
      </w:r>
      <w:r>
        <w:rPr>
          <w:rFonts w:ascii="SimSun" w:eastAsia="SimSun" w:hAnsi="SimSun" w:cs="SimSun"/>
          <w:spacing w:val="-1"/>
          <w:sz w:val="21"/>
          <w:szCs w:val="21"/>
        </w:rPr>
        <w:t>和</w:t>
      </w:r>
      <w:r>
        <w:rPr>
          <w:rFonts w:ascii="SimSun" w:eastAsia="SimSun" w:hAnsi="SimSun" w:cs="SimSun"/>
          <w:spacing w:val="-41"/>
          <w:sz w:val="21"/>
          <w:szCs w:val="21"/>
        </w:rPr>
        <w:t xml:space="preserve"> </w:t>
      </w:r>
      <w:r>
        <w:rPr>
          <w:rFonts w:ascii="Times New Roman" w:eastAsia="Times New Roman" w:hAnsi="Times New Roman" w:cs="Times New Roman"/>
          <w:spacing w:val="-1"/>
          <w:sz w:val="21"/>
          <w:szCs w:val="21"/>
        </w:rPr>
        <w:t>20.1%</w:t>
      </w:r>
      <w:r>
        <w:rPr>
          <w:rFonts w:ascii="SimSun" w:eastAsia="SimSun" w:hAnsi="SimSun" w:cs="SimSun"/>
          <w:spacing w:val="-1"/>
          <w:sz w:val="21"/>
          <w:szCs w:val="21"/>
        </w:rPr>
        <w:t>，主要受益于疫情后“一带一路“沿线国家和地区恢复基础设施</w:t>
      </w:r>
      <w:r>
        <w:rPr>
          <w:rFonts w:ascii="SimSun" w:eastAsia="SimSun" w:hAnsi="SimSun" w:cs="SimSun"/>
          <w:sz w:val="21"/>
          <w:szCs w:val="21"/>
        </w:rPr>
        <w:t xml:space="preserve"> </w:t>
      </w:r>
      <w:r>
        <w:rPr>
          <w:rFonts w:ascii="SimSun" w:eastAsia="SimSun" w:hAnsi="SimSun" w:cs="SimSun"/>
          <w:sz w:val="21"/>
          <w:szCs w:val="21"/>
        </w:rPr>
        <w:t>建设等需求拉动。但与此同时，我国机械行</w:t>
      </w:r>
      <w:r>
        <w:rPr>
          <w:rFonts w:ascii="SimSun" w:eastAsia="SimSun" w:hAnsi="SimSun" w:cs="SimSun"/>
          <w:spacing w:val="-1"/>
          <w:sz w:val="21"/>
          <w:szCs w:val="21"/>
        </w:rPr>
        <w:t>业仍有许多关键核心技术和零部件依赖进口，有待通过技术攻</w:t>
      </w:r>
      <w:r>
        <w:rPr>
          <w:rFonts w:ascii="SimSun" w:eastAsia="SimSun" w:hAnsi="SimSun" w:cs="SimSun"/>
          <w:sz w:val="21"/>
          <w:szCs w:val="21"/>
        </w:rPr>
        <w:t xml:space="preserve"> </w:t>
      </w:r>
      <w:r>
        <w:rPr>
          <w:rFonts w:ascii="SimSun" w:eastAsia="SimSun" w:hAnsi="SimSun" w:cs="SimSun"/>
          <w:spacing w:val="-2"/>
          <w:sz w:val="21"/>
          <w:szCs w:val="21"/>
        </w:rPr>
        <w:t>坚逐步缓解。</w:t>
      </w:r>
    </w:p>
    <w:p>
      <w:pPr>
        <w:spacing w:line="260" w:lineRule="auto"/>
        <w:rPr>
          <w:rFonts w:ascii="Arial"/>
          <w:sz w:val="21"/>
        </w:rPr>
      </w:pPr>
    </w:p>
    <w:p>
      <w:pPr>
        <w:spacing w:before="68" w:line="211" w:lineRule="auto"/>
        <w:ind w:left="33"/>
        <w:rPr>
          <w:rFonts w:ascii="SimHei" w:eastAsia="SimHei" w:hAnsi="SimHei" w:cs="SimHei"/>
          <w:sz w:val="21"/>
          <w:szCs w:val="21"/>
        </w:rPr>
      </w:pPr>
      <w:r>
        <w:rPr>
          <w:rFonts w:ascii="Times New Roman" w:eastAsia="Times New Roman" w:hAnsi="Times New Roman" w:cs="Times New Roman"/>
          <w:spacing w:val="-4"/>
          <w:sz w:val="21"/>
          <w:szCs w:val="21"/>
        </w:rPr>
        <w:t xml:space="preserve">2022 </w:t>
      </w:r>
      <w:r>
        <w:rPr>
          <w:rFonts w:ascii="SimHei" w:eastAsia="SimHei" w:hAnsi="SimHei" w:cs="SimHei"/>
          <w:spacing w:val="-4"/>
          <w:sz w:val="21"/>
          <w:szCs w:val="21"/>
        </w:rPr>
        <w:t>年以来机械行业加大科技创新投入，</w:t>
      </w:r>
      <w:r>
        <w:rPr>
          <w:rFonts w:ascii="SimHei" w:eastAsia="SimHei" w:hAnsi="SimHei" w:cs="SimHei"/>
          <w:spacing w:val="-9"/>
          <w:sz w:val="21"/>
          <w:szCs w:val="21"/>
        </w:rPr>
        <w:t xml:space="preserve"> </w:t>
      </w:r>
      <w:r>
        <w:rPr>
          <w:rFonts w:ascii="SimHei" w:eastAsia="SimHei" w:hAnsi="SimHei" w:cs="SimHei"/>
          <w:spacing w:val="-4"/>
          <w:sz w:val="21"/>
          <w:szCs w:val="21"/>
        </w:rPr>
        <w:t>加强关键核心技术研发，</w:t>
      </w:r>
      <w:r>
        <w:rPr>
          <w:rFonts w:ascii="SimHei" w:eastAsia="SimHei" w:hAnsi="SimHei" w:cs="SimHei"/>
          <w:spacing w:val="-24"/>
          <w:sz w:val="21"/>
          <w:szCs w:val="21"/>
        </w:rPr>
        <w:t xml:space="preserve"> </w:t>
      </w:r>
      <w:r>
        <w:rPr>
          <w:rFonts w:ascii="SimHei" w:eastAsia="SimHei" w:hAnsi="SimHei" w:cs="SimHei"/>
          <w:spacing w:val="-4"/>
          <w:sz w:val="21"/>
          <w:szCs w:val="21"/>
        </w:rPr>
        <w:t>驱动行业产业链水平提升。</w:t>
      </w:r>
    </w:p>
    <w:p>
      <w:pPr>
        <w:spacing w:before="223" w:line="283" w:lineRule="auto"/>
        <w:ind w:left="33" w:right="37" w:firstLine="4"/>
        <w:rPr>
          <w:rFonts w:ascii="SimSun" w:eastAsia="SimSun" w:hAnsi="SimSun" w:cs="SimSun"/>
          <w:sz w:val="21"/>
          <w:szCs w:val="21"/>
        </w:rPr>
      </w:pPr>
      <w:r>
        <w:rPr>
          <w:rFonts w:ascii="SimSun" w:eastAsia="SimSun" w:hAnsi="SimSun" w:cs="SimSun"/>
          <w:spacing w:val="-1"/>
          <w:sz w:val="21"/>
          <w:szCs w:val="21"/>
        </w:rPr>
        <w:t>技术是驱动机械行业发展的核心要素。传统机械行业因产能过剩，缺乏核心技术，行业竞争激烈，盈利能</w:t>
      </w:r>
      <w:r>
        <w:rPr>
          <w:rFonts w:ascii="SimSun" w:eastAsia="SimSun" w:hAnsi="SimSun" w:cs="SimSun"/>
          <w:spacing w:val="18"/>
          <w:sz w:val="21"/>
          <w:szCs w:val="21"/>
        </w:rPr>
        <w:t xml:space="preserve"> </w:t>
      </w:r>
      <w:r>
        <w:rPr>
          <w:rFonts w:ascii="SimSun" w:eastAsia="SimSun" w:hAnsi="SimSun" w:cs="SimSun"/>
          <w:spacing w:val="-1"/>
          <w:sz w:val="21"/>
          <w:szCs w:val="21"/>
        </w:rPr>
        <w:t>力较弱，而近年来技术进步与产品结构升级正不断</w:t>
      </w:r>
      <w:r>
        <w:rPr>
          <w:rFonts w:ascii="SimSun" w:eastAsia="SimSun" w:hAnsi="SimSun" w:cs="SimSun"/>
          <w:spacing w:val="-2"/>
          <w:sz w:val="21"/>
          <w:szCs w:val="21"/>
        </w:rPr>
        <w:t>驱动行业实现创新发展。根据国家统计局数据，</w:t>
      </w:r>
      <w:r>
        <w:rPr>
          <w:rFonts w:ascii="Times New Roman" w:eastAsia="Times New Roman" w:hAnsi="Times New Roman" w:cs="Times New Roman"/>
          <w:spacing w:val="-2"/>
          <w:sz w:val="21"/>
          <w:szCs w:val="21"/>
        </w:rPr>
        <w:t xml:space="preserve">2022 </w:t>
      </w:r>
      <w:r>
        <w:rPr>
          <w:rFonts w:ascii="SimSun" w:eastAsia="SimSun" w:hAnsi="SimSun" w:cs="SimSun"/>
          <w:spacing w:val="-2"/>
          <w:sz w:val="21"/>
          <w:szCs w:val="21"/>
        </w:rPr>
        <w:t>年</w:t>
      </w:r>
      <w:r>
        <w:rPr>
          <w:rFonts w:ascii="SimSun" w:eastAsia="SimSun" w:hAnsi="SimSun" w:cs="SimSun"/>
          <w:sz w:val="21"/>
          <w:szCs w:val="21"/>
        </w:rPr>
        <w:t xml:space="preserve"> </w:t>
      </w:r>
      <w:r>
        <w:rPr>
          <w:rFonts w:ascii="SimSun" w:eastAsia="SimSun" w:hAnsi="SimSun" w:cs="SimSun"/>
          <w:spacing w:val="-3"/>
          <w:sz w:val="21"/>
          <w:szCs w:val="21"/>
        </w:rPr>
        <w:t>高技术制造业、装备制造业增加值分别增长</w:t>
      </w:r>
      <w:r>
        <w:rPr>
          <w:rFonts w:ascii="SimSun" w:eastAsia="SimSun" w:hAnsi="SimSun" w:cs="SimSun"/>
          <w:spacing w:val="-43"/>
          <w:sz w:val="21"/>
          <w:szCs w:val="21"/>
        </w:rPr>
        <w:t xml:space="preserve"> </w:t>
      </w:r>
      <w:r>
        <w:rPr>
          <w:rFonts w:ascii="Times New Roman" w:eastAsia="Times New Roman" w:hAnsi="Times New Roman" w:cs="Times New Roman"/>
          <w:spacing w:val="-3"/>
          <w:sz w:val="21"/>
          <w:szCs w:val="21"/>
        </w:rPr>
        <w:t>7.4%</w:t>
      </w:r>
      <w:r>
        <w:rPr>
          <w:rFonts w:ascii="SimSun" w:eastAsia="SimSun" w:hAnsi="SimSun" w:cs="SimSun"/>
          <w:spacing w:val="-3"/>
          <w:sz w:val="21"/>
          <w:szCs w:val="21"/>
        </w:rPr>
        <w:t>、</w:t>
      </w:r>
      <w:r>
        <w:rPr>
          <w:rFonts w:ascii="Times New Roman" w:eastAsia="Times New Roman" w:hAnsi="Times New Roman" w:cs="Times New Roman"/>
          <w:spacing w:val="-3"/>
          <w:sz w:val="21"/>
          <w:szCs w:val="21"/>
        </w:rPr>
        <w:t>5.6%</w:t>
      </w:r>
      <w:r>
        <w:rPr>
          <w:rFonts w:ascii="SimSun" w:eastAsia="SimSun" w:hAnsi="SimSun" w:cs="SimSun"/>
          <w:spacing w:val="-3"/>
          <w:sz w:val="21"/>
          <w:szCs w:val="21"/>
        </w:rPr>
        <w:t>，增速分别比规模以上工业快</w:t>
      </w:r>
      <w:r>
        <w:rPr>
          <w:rFonts w:ascii="SimSun" w:eastAsia="SimSun" w:hAnsi="SimSun" w:cs="SimSun"/>
          <w:spacing w:val="-44"/>
          <w:sz w:val="21"/>
          <w:szCs w:val="21"/>
        </w:rPr>
        <w:t xml:space="preserve"> </w:t>
      </w:r>
      <w:r>
        <w:rPr>
          <w:rFonts w:ascii="Times New Roman" w:eastAsia="Times New Roman" w:hAnsi="Times New Roman" w:cs="Times New Roman"/>
          <w:spacing w:val="-3"/>
          <w:sz w:val="21"/>
          <w:szCs w:val="21"/>
        </w:rPr>
        <w:t>3.8</w:t>
      </w:r>
      <w:r>
        <w:rPr>
          <w:rFonts w:ascii="SimSun" w:eastAsia="SimSun" w:hAnsi="SimSun" w:cs="SimSun"/>
          <w:spacing w:val="-3"/>
          <w:sz w:val="21"/>
          <w:szCs w:val="21"/>
        </w:rPr>
        <w:t>、</w:t>
      </w:r>
      <w:r>
        <w:rPr>
          <w:rFonts w:ascii="Times New Roman" w:eastAsia="Times New Roman" w:hAnsi="Times New Roman" w:cs="Times New Roman"/>
          <w:spacing w:val="-3"/>
          <w:sz w:val="21"/>
          <w:szCs w:val="21"/>
        </w:rPr>
        <w:t xml:space="preserve">2.0 </w:t>
      </w:r>
      <w:r>
        <w:rPr>
          <w:rFonts w:ascii="SimSun" w:eastAsia="SimSun" w:hAnsi="SimSun" w:cs="SimSun"/>
          <w:spacing w:val="-3"/>
          <w:sz w:val="21"/>
          <w:szCs w:val="21"/>
        </w:rPr>
        <w:t>个百分点。</w:t>
      </w:r>
      <w:r>
        <w:rPr>
          <w:rFonts w:ascii="SimSun" w:eastAsia="SimSun" w:hAnsi="SimSun" w:cs="SimSun"/>
          <w:sz w:val="21"/>
          <w:szCs w:val="21"/>
        </w:rPr>
        <w:t xml:space="preserve"> </w:t>
      </w:r>
      <w:r>
        <w:rPr>
          <w:rFonts w:ascii="Times New Roman" w:eastAsia="Times New Roman" w:hAnsi="Times New Roman" w:cs="Times New Roman"/>
          <w:spacing w:val="-1"/>
          <w:sz w:val="21"/>
          <w:szCs w:val="21"/>
        </w:rPr>
        <w:t>2022</w:t>
      </w:r>
      <w:r>
        <w:rPr>
          <w:rFonts w:ascii="Times New Roman" w:eastAsia="Times New Roman" w:hAnsi="Times New Roman" w:cs="Times New Roman"/>
          <w:spacing w:val="38"/>
          <w:w w:val="101"/>
          <w:sz w:val="21"/>
          <w:szCs w:val="21"/>
        </w:rPr>
        <w:t xml:space="preserve"> </w:t>
      </w:r>
      <w:r>
        <w:rPr>
          <w:rFonts w:ascii="SimSun" w:eastAsia="SimSun" w:hAnsi="SimSun" w:cs="SimSun"/>
          <w:spacing w:val="-1"/>
          <w:sz w:val="21"/>
          <w:szCs w:val="21"/>
        </w:rPr>
        <w:t xml:space="preserve">年高端装备制造业利润较上年增长 </w:t>
      </w:r>
      <w:r>
        <w:rPr>
          <w:rFonts w:ascii="Times New Roman" w:eastAsia="Times New Roman" w:hAnsi="Times New Roman" w:cs="Times New Roman"/>
          <w:spacing w:val="-1"/>
          <w:sz w:val="21"/>
          <w:szCs w:val="21"/>
        </w:rPr>
        <w:t>1.7%</w:t>
      </w:r>
      <w:r>
        <w:rPr>
          <w:rFonts w:ascii="SimSun" w:eastAsia="SimSun" w:hAnsi="SimSun" w:cs="SimSun"/>
          <w:spacing w:val="-1"/>
          <w:sz w:val="21"/>
          <w:szCs w:val="21"/>
        </w:rPr>
        <w:t xml:space="preserve">，占规模以上工业的比重为 </w:t>
      </w:r>
      <w:r>
        <w:rPr>
          <w:rFonts w:ascii="Times New Roman" w:eastAsia="Times New Roman" w:hAnsi="Times New Roman" w:cs="Times New Roman"/>
          <w:spacing w:val="-1"/>
          <w:sz w:val="21"/>
          <w:szCs w:val="21"/>
        </w:rPr>
        <w:t>34.3%</w:t>
      </w:r>
      <w:r>
        <w:rPr>
          <w:rFonts w:ascii="SimSun" w:eastAsia="SimSun" w:hAnsi="SimSun" w:cs="SimSun"/>
          <w:spacing w:val="-1"/>
          <w:sz w:val="21"/>
          <w:szCs w:val="21"/>
        </w:rPr>
        <w:t>，</w:t>
      </w:r>
      <w:r>
        <w:rPr>
          <w:rFonts w:ascii="SimSun" w:eastAsia="SimSun" w:hAnsi="SimSun" w:cs="SimSun"/>
          <w:spacing w:val="-2"/>
          <w:sz w:val="21"/>
          <w:szCs w:val="21"/>
        </w:rPr>
        <w:t>比上年提高</w:t>
      </w:r>
      <w:r>
        <w:rPr>
          <w:rFonts w:ascii="SimSun" w:eastAsia="SimSun" w:hAnsi="SimSun" w:cs="SimSun"/>
          <w:spacing w:val="-19"/>
          <w:sz w:val="21"/>
          <w:szCs w:val="21"/>
        </w:rPr>
        <w:t xml:space="preserve"> </w:t>
      </w:r>
      <w:r>
        <w:rPr>
          <w:rFonts w:ascii="Times New Roman" w:eastAsia="Times New Roman" w:hAnsi="Times New Roman" w:cs="Times New Roman"/>
          <w:spacing w:val="-2"/>
          <w:sz w:val="21"/>
          <w:szCs w:val="21"/>
        </w:rPr>
        <w:t>2.0</w:t>
      </w:r>
      <w:r>
        <w:rPr>
          <w:rFonts w:ascii="Times New Roman" w:eastAsia="Times New Roman" w:hAnsi="Times New Roman" w:cs="Times New Roman"/>
          <w:spacing w:val="38"/>
          <w:sz w:val="21"/>
          <w:szCs w:val="21"/>
        </w:rPr>
        <w:t xml:space="preserve"> </w:t>
      </w:r>
      <w:r>
        <w:rPr>
          <w:rFonts w:ascii="SimSun" w:eastAsia="SimSun" w:hAnsi="SimSun" w:cs="SimSun"/>
          <w:spacing w:val="-2"/>
          <w:sz w:val="21"/>
          <w:szCs w:val="21"/>
        </w:rPr>
        <w:t>个百分</w:t>
      </w:r>
      <w:r>
        <w:rPr>
          <w:rFonts w:ascii="SimSun" w:eastAsia="SimSun" w:hAnsi="SimSun" w:cs="SimSun"/>
          <w:sz w:val="21"/>
          <w:szCs w:val="21"/>
        </w:rPr>
        <w:t xml:space="preserve"> </w:t>
      </w:r>
      <w:r>
        <w:rPr>
          <w:rFonts w:ascii="SimSun" w:eastAsia="SimSun" w:hAnsi="SimSun" w:cs="SimSun"/>
          <w:spacing w:val="-1"/>
          <w:sz w:val="21"/>
          <w:szCs w:val="21"/>
        </w:rPr>
        <w:t>点，其中铁路船舶航空航天运输设备行业利润比上年增长</w:t>
      </w:r>
      <w:r>
        <w:rPr>
          <w:rFonts w:ascii="SimSun" w:eastAsia="SimSun" w:hAnsi="SimSun" w:cs="SimSun"/>
          <w:spacing w:val="-34"/>
          <w:sz w:val="21"/>
          <w:szCs w:val="21"/>
        </w:rPr>
        <w:t xml:space="preserve"> </w:t>
      </w:r>
      <w:r>
        <w:rPr>
          <w:rFonts w:ascii="Times New Roman" w:eastAsia="Times New Roman" w:hAnsi="Times New Roman" w:cs="Times New Roman"/>
          <w:spacing w:val="-1"/>
          <w:sz w:val="21"/>
          <w:szCs w:val="21"/>
        </w:rPr>
        <w:t>44.5%</w:t>
      </w:r>
      <w:r>
        <w:rPr>
          <w:rFonts w:ascii="SimSun" w:eastAsia="SimSun" w:hAnsi="SimSun" w:cs="SimSun"/>
          <w:spacing w:val="-1"/>
          <w:sz w:val="21"/>
          <w:szCs w:val="21"/>
        </w:rPr>
        <w:t>，拉动作用明显。</w:t>
      </w:r>
    </w:p>
    <w:p>
      <w:pPr>
        <w:spacing w:before="212" w:line="283" w:lineRule="auto"/>
        <w:ind w:left="36" w:right="55" w:hanging="3"/>
        <w:rPr>
          <w:rFonts w:ascii="SimSun" w:eastAsia="SimSun" w:hAnsi="SimSun" w:cs="SimSun"/>
          <w:sz w:val="21"/>
          <w:szCs w:val="21"/>
        </w:rPr>
      </w:pPr>
      <w:r>
        <w:rPr>
          <w:rFonts w:ascii="Times New Roman" w:eastAsia="Times New Roman" w:hAnsi="Times New Roman" w:cs="Times New Roman"/>
          <w:spacing w:val="-6"/>
          <w:sz w:val="21"/>
          <w:szCs w:val="21"/>
        </w:rPr>
        <w:t xml:space="preserve">2022 </w:t>
      </w:r>
      <w:r>
        <w:rPr>
          <w:rFonts w:ascii="SimSun" w:eastAsia="SimSun" w:hAnsi="SimSun" w:cs="SimSun"/>
          <w:spacing w:val="-6"/>
          <w:sz w:val="21"/>
          <w:szCs w:val="21"/>
        </w:rPr>
        <w:t>年，我国机械工业加大科技创新投入，加强关键核心技术攻关和应用示范，提升自主创新能力和</w:t>
      </w:r>
      <w:r>
        <w:rPr>
          <w:rFonts w:ascii="SimSun" w:eastAsia="SimSun" w:hAnsi="SimSun" w:cs="SimSun"/>
          <w:spacing w:val="-7"/>
          <w:sz w:val="21"/>
          <w:szCs w:val="21"/>
        </w:rPr>
        <w:t>水平。</w:t>
      </w:r>
      <w:r>
        <w:rPr>
          <w:rFonts w:ascii="SimSun" w:eastAsia="SimSun" w:hAnsi="SimSun" w:cs="SimSun"/>
          <w:sz w:val="21"/>
          <w:szCs w:val="21"/>
        </w:rPr>
        <w:t xml:space="preserve"> </w:t>
      </w:r>
      <w:r>
        <w:rPr>
          <w:rFonts w:ascii="SimSun" w:eastAsia="SimSun" w:hAnsi="SimSun" w:cs="SimSun"/>
          <w:spacing w:val="-3"/>
          <w:sz w:val="21"/>
          <w:szCs w:val="21"/>
        </w:rPr>
        <w:t>根据中国机械工业联合会的数据，</w:t>
      </w:r>
      <w:r>
        <w:rPr>
          <w:rFonts w:ascii="Times New Roman" w:eastAsia="Times New Roman" w:hAnsi="Times New Roman" w:cs="Times New Roman"/>
          <w:spacing w:val="-3"/>
          <w:sz w:val="21"/>
          <w:szCs w:val="21"/>
        </w:rPr>
        <w:t xml:space="preserve">2022 </w:t>
      </w:r>
      <w:r>
        <w:rPr>
          <w:rFonts w:ascii="SimSun" w:eastAsia="SimSun" w:hAnsi="SimSun" w:cs="SimSun"/>
          <w:spacing w:val="-3"/>
          <w:sz w:val="21"/>
          <w:szCs w:val="21"/>
        </w:rPr>
        <w:t>年，我国机械工业研发经费支出达到</w:t>
      </w:r>
      <w:r>
        <w:rPr>
          <w:rFonts w:ascii="SimSun" w:eastAsia="SimSun" w:hAnsi="SimSun" w:cs="SimSun"/>
          <w:spacing w:val="-28"/>
          <w:sz w:val="21"/>
          <w:szCs w:val="21"/>
        </w:rPr>
        <w:t xml:space="preserve"> </w:t>
      </w:r>
      <w:r>
        <w:rPr>
          <w:rFonts w:ascii="Times New Roman" w:eastAsia="Times New Roman" w:hAnsi="Times New Roman" w:cs="Times New Roman"/>
          <w:spacing w:val="-3"/>
          <w:sz w:val="21"/>
          <w:szCs w:val="21"/>
        </w:rPr>
        <w:t xml:space="preserve">1040 </w:t>
      </w:r>
      <w:r>
        <w:rPr>
          <w:rFonts w:ascii="SimSun" w:eastAsia="SimSun" w:hAnsi="SimSun" w:cs="SimSun"/>
          <w:spacing w:val="-3"/>
          <w:sz w:val="21"/>
          <w:szCs w:val="21"/>
        </w:rPr>
        <w:t xml:space="preserve">亿元， </w:t>
      </w:r>
      <w:r>
        <w:rPr>
          <w:rFonts w:ascii="SimSun" w:eastAsia="SimSun" w:hAnsi="SimSun" w:cs="SimSun"/>
          <w:spacing w:val="-4"/>
          <w:sz w:val="21"/>
          <w:szCs w:val="21"/>
        </w:rPr>
        <w:t>同比增长</w:t>
      </w:r>
      <w:r>
        <w:rPr>
          <w:rFonts w:ascii="SimSun" w:eastAsia="SimSun" w:hAnsi="SimSun" w:cs="SimSun"/>
          <w:spacing w:val="-25"/>
          <w:sz w:val="21"/>
          <w:szCs w:val="21"/>
        </w:rPr>
        <w:t xml:space="preserve"> </w:t>
      </w:r>
      <w:r>
        <w:rPr>
          <w:rFonts w:ascii="Times New Roman" w:eastAsia="Times New Roman" w:hAnsi="Times New Roman" w:cs="Times New Roman"/>
          <w:spacing w:val="-4"/>
          <w:sz w:val="21"/>
          <w:szCs w:val="21"/>
        </w:rPr>
        <w:t>15%</w:t>
      </w:r>
      <w:r>
        <w:rPr>
          <w:rFonts w:ascii="SimSun" w:eastAsia="SimSun" w:hAnsi="SimSun" w:cs="SimSun"/>
          <w:spacing w:val="-4"/>
          <w:sz w:val="21"/>
          <w:szCs w:val="21"/>
        </w:rPr>
        <w:t>，</w:t>
      </w:r>
      <w:r>
        <w:rPr>
          <w:rFonts w:ascii="SimSun" w:eastAsia="SimSun" w:hAnsi="SimSun" w:cs="SimSun"/>
          <w:sz w:val="21"/>
          <w:szCs w:val="21"/>
        </w:rPr>
        <w:t xml:space="preserve"> </w:t>
      </w:r>
      <w:r>
        <w:rPr>
          <w:rFonts w:ascii="SimSun" w:eastAsia="SimSun" w:hAnsi="SimSun" w:cs="SimSun"/>
          <w:spacing w:val="-3"/>
          <w:sz w:val="21"/>
          <w:szCs w:val="21"/>
        </w:rPr>
        <w:t>占营收比重为</w:t>
      </w:r>
      <w:r>
        <w:rPr>
          <w:rFonts w:ascii="SimSun" w:eastAsia="SimSun" w:hAnsi="SimSun" w:cs="SimSun"/>
          <w:spacing w:val="-28"/>
          <w:sz w:val="21"/>
          <w:szCs w:val="21"/>
        </w:rPr>
        <w:t xml:space="preserve"> </w:t>
      </w:r>
      <w:r>
        <w:rPr>
          <w:rFonts w:ascii="Times New Roman" w:eastAsia="Times New Roman" w:hAnsi="Times New Roman" w:cs="Times New Roman"/>
          <w:spacing w:val="-3"/>
          <w:sz w:val="21"/>
          <w:szCs w:val="21"/>
        </w:rPr>
        <w:t>1.4%</w:t>
      </w:r>
      <w:r>
        <w:rPr>
          <w:rFonts w:ascii="SimSun" w:eastAsia="SimSun" w:hAnsi="SimSun" w:cs="SimSun"/>
          <w:spacing w:val="-3"/>
          <w:sz w:val="21"/>
          <w:szCs w:val="21"/>
        </w:rPr>
        <w:t>，较上年提高</w:t>
      </w:r>
      <w:r>
        <w:rPr>
          <w:rFonts w:ascii="SimSun" w:eastAsia="SimSun" w:hAnsi="SimSun" w:cs="SimSun"/>
          <w:spacing w:val="-45"/>
          <w:sz w:val="21"/>
          <w:szCs w:val="21"/>
        </w:rPr>
        <w:t xml:space="preserve"> </w:t>
      </w:r>
      <w:r>
        <w:rPr>
          <w:rFonts w:ascii="Times New Roman" w:eastAsia="Times New Roman" w:hAnsi="Times New Roman" w:cs="Times New Roman"/>
          <w:spacing w:val="-3"/>
          <w:sz w:val="21"/>
          <w:szCs w:val="21"/>
        </w:rPr>
        <w:t xml:space="preserve">0.1 </w:t>
      </w:r>
      <w:r>
        <w:rPr>
          <w:rFonts w:ascii="SimSun" w:eastAsia="SimSun" w:hAnsi="SimSun" w:cs="SimSun"/>
          <w:spacing w:val="-3"/>
          <w:sz w:val="21"/>
          <w:szCs w:val="21"/>
        </w:rPr>
        <w:t>个百分点；研发人员数量达到</w:t>
      </w:r>
      <w:r>
        <w:rPr>
          <w:rFonts w:ascii="SimSun" w:eastAsia="SimSun" w:hAnsi="SimSun" w:cs="SimSun"/>
          <w:spacing w:val="-30"/>
          <w:sz w:val="21"/>
          <w:szCs w:val="21"/>
        </w:rPr>
        <w:t xml:space="preserve"> </w:t>
      </w:r>
      <w:r>
        <w:rPr>
          <w:rFonts w:ascii="Times New Roman" w:eastAsia="Times New Roman" w:hAnsi="Times New Roman" w:cs="Times New Roman"/>
          <w:spacing w:val="-3"/>
          <w:sz w:val="21"/>
          <w:szCs w:val="21"/>
        </w:rPr>
        <w:t xml:space="preserve">110 </w:t>
      </w:r>
      <w:r>
        <w:rPr>
          <w:rFonts w:ascii="SimSun" w:eastAsia="SimSun" w:hAnsi="SimSun" w:cs="SimSun"/>
          <w:spacing w:val="-3"/>
          <w:sz w:val="21"/>
          <w:szCs w:val="21"/>
        </w:rPr>
        <w:t>万人，同比增长</w:t>
      </w:r>
      <w:r>
        <w:rPr>
          <w:rFonts w:ascii="SimSun" w:eastAsia="SimSun" w:hAnsi="SimSun" w:cs="SimSun"/>
          <w:spacing w:val="-28"/>
          <w:sz w:val="21"/>
          <w:szCs w:val="21"/>
        </w:rPr>
        <w:t xml:space="preserve"> </w:t>
      </w:r>
      <w:r>
        <w:rPr>
          <w:rFonts w:ascii="Times New Roman" w:eastAsia="Times New Roman" w:hAnsi="Times New Roman" w:cs="Times New Roman"/>
          <w:spacing w:val="-3"/>
          <w:sz w:val="21"/>
          <w:szCs w:val="21"/>
        </w:rPr>
        <w:t>10%</w:t>
      </w:r>
      <w:r>
        <w:rPr>
          <w:rFonts w:ascii="SimSun" w:eastAsia="SimSun" w:hAnsi="SimSun" w:cs="SimSun"/>
          <w:spacing w:val="-3"/>
          <w:sz w:val="21"/>
          <w:szCs w:val="21"/>
        </w:rPr>
        <w:t>，占从业人员</w:t>
      </w:r>
      <w:r>
        <w:rPr>
          <w:rFonts w:ascii="SimSun" w:eastAsia="SimSun" w:hAnsi="SimSun" w:cs="SimSun"/>
          <w:sz w:val="21"/>
          <w:szCs w:val="21"/>
        </w:rPr>
        <w:t xml:space="preserve"> </w:t>
      </w:r>
      <w:r>
        <w:rPr>
          <w:rFonts w:ascii="SimSun" w:eastAsia="SimSun" w:hAnsi="SimSun" w:cs="SimSun"/>
          <w:spacing w:val="-1"/>
          <w:sz w:val="21"/>
          <w:szCs w:val="21"/>
        </w:rPr>
        <w:t>比重为</w:t>
      </w:r>
      <w:r>
        <w:rPr>
          <w:rFonts w:ascii="SimSun" w:eastAsia="SimSun" w:hAnsi="SimSun" w:cs="SimSun"/>
          <w:spacing w:val="-39"/>
          <w:sz w:val="21"/>
          <w:szCs w:val="21"/>
        </w:rPr>
        <w:t xml:space="preserve"> </w:t>
      </w:r>
      <w:r>
        <w:rPr>
          <w:rFonts w:ascii="Times New Roman" w:eastAsia="Times New Roman" w:hAnsi="Times New Roman" w:cs="Times New Roman"/>
          <w:spacing w:val="-1"/>
          <w:sz w:val="21"/>
          <w:szCs w:val="21"/>
        </w:rPr>
        <w:t>8%</w:t>
      </w:r>
      <w:r>
        <w:rPr>
          <w:rFonts w:ascii="SimSun" w:eastAsia="SimSun" w:hAnsi="SimSun" w:cs="SimSun"/>
          <w:spacing w:val="-1"/>
          <w:sz w:val="21"/>
          <w:szCs w:val="21"/>
        </w:rPr>
        <w:t>，较上年提高</w:t>
      </w:r>
      <w:r>
        <w:rPr>
          <w:rFonts w:ascii="SimSun" w:eastAsia="SimSun" w:hAnsi="SimSun" w:cs="SimSun"/>
          <w:spacing w:val="-47"/>
          <w:sz w:val="21"/>
          <w:szCs w:val="21"/>
        </w:rPr>
        <w:t xml:space="preserve"> </w:t>
      </w:r>
      <w:r>
        <w:rPr>
          <w:rFonts w:ascii="Times New Roman" w:eastAsia="Times New Roman" w:hAnsi="Times New Roman" w:cs="Times New Roman"/>
          <w:spacing w:val="-1"/>
          <w:sz w:val="21"/>
          <w:szCs w:val="21"/>
        </w:rPr>
        <w:t xml:space="preserve">0.5 </w:t>
      </w:r>
      <w:r>
        <w:rPr>
          <w:rFonts w:ascii="SimSun" w:eastAsia="SimSun" w:hAnsi="SimSun" w:cs="SimSun"/>
          <w:spacing w:val="-1"/>
          <w:sz w:val="21"/>
          <w:szCs w:val="21"/>
        </w:rPr>
        <w:t>个百分点；有效发明专利拥有量达到</w:t>
      </w:r>
      <w:r>
        <w:rPr>
          <w:rFonts w:ascii="SimSun" w:eastAsia="SimSun" w:hAnsi="SimSun" w:cs="SimSun"/>
          <w:spacing w:val="-48"/>
          <w:sz w:val="21"/>
          <w:szCs w:val="21"/>
        </w:rPr>
        <w:t xml:space="preserve"> </w:t>
      </w:r>
      <w:r>
        <w:rPr>
          <w:rFonts w:ascii="Times New Roman" w:eastAsia="Times New Roman" w:hAnsi="Times New Roman" w:cs="Times New Roman"/>
          <w:spacing w:val="-2"/>
          <w:sz w:val="21"/>
          <w:szCs w:val="21"/>
        </w:rPr>
        <w:t>27</w:t>
      </w:r>
      <w:r>
        <w:rPr>
          <w:rFonts w:ascii="Times New Roman" w:eastAsia="Times New Roman" w:hAnsi="Times New Roman" w:cs="Times New Roman"/>
          <w:spacing w:val="14"/>
          <w:w w:val="101"/>
          <w:sz w:val="21"/>
          <w:szCs w:val="21"/>
        </w:rPr>
        <w:t xml:space="preserve"> </w:t>
      </w:r>
      <w:r>
        <w:rPr>
          <w:rFonts w:ascii="SimSun" w:eastAsia="SimSun" w:hAnsi="SimSun" w:cs="SimSun"/>
          <w:spacing w:val="-2"/>
          <w:sz w:val="21"/>
          <w:szCs w:val="21"/>
        </w:rPr>
        <w:t>万件，同比增长</w:t>
      </w:r>
      <w:r>
        <w:rPr>
          <w:rFonts w:ascii="SimSun" w:eastAsia="SimSun" w:hAnsi="SimSun" w:cs="SimSun"/>
          <w:spacing w:val="-49"/>
          <w:sz w:val="21"/>
          <w:szCs w:val="21"/>
        </w:rPr>
        <w:t xml:space="preserve"> </w:t>
      </w:r>
      <w:r>
        <w:rPr>
          <w:rFonts w:ascii="Times New Roman" w:eastAsia="Times New Roman" w:hAnsi="Times New Roman" w:cs="Times New Roman"/>
          <w:spacing w:val="-2"/>
          <w:sz w:val="21"/>
          <w:szCs w:val="21"/>
        </w:rPr>
        <w:t>20%</w:t>
      </w:r>
      <w:r>
        <w:rPr>
          <w:rFonts w:ascii="SimSun" w:eastAsia="SimSun" w:hAnsi="SimSun" w:cs="SimSun"/>
          <w:spacing w:val="-2"/>
          <w:sz w:val="21"/>
          <w:szCs w:val="21"/>
        </w:rPr>
        <w:t>，每亿元营收拥</w:t>
      </w:r>
      <w:r>
        <w:rPr>
          <w:rFonts w:ascii="SimSun" w:eastAsia="SimSun" w:hAnsi="SimSun" w:cs="SimSun"/>
          <w:sz w:val="21"/>
          <w:szCs w:val="21"/>
        </w:rPr>
        <w:t xml:space="preserve"> </w:t>
      </w:r>
      <w:r>
        <w:rPr>
          <w:rFonts w:ascii="SimSun" w:eastAsia="SimSun" w:hAnsi="SimSun" w:cs="SimSun"/>
          <w:spacing w:val="-4"/>
          <w:sz w:val="21"/>
          <w:szCs w:val="21"/>
        </w:rPr>
        <w:t>有有效发明专利数量为</w:t>
      </w:r>
      <w:r>
        <w:rPr>
          <w:rFonts w:ascii="SimSun" w:eastAsia="SimSun" w:hAnsi="SimSun" w:cs="SimSun"/>
          <w:spacing w:val="-43"/>
          <w:sz w:val="21"/>
          <w:szCs w:val="21"/>
        </w:rPr>
        <w:t xml:space="preserve"> </w:t>
      </w:r>
      <w:r>
        <w:rPr>
          <w:rFonts w:ascii="Times New Roman" w:eastAsia="Times New Roman" w:hAnsi="Times New Roman" w:cs="Times New Roman"/>
          <w:spacing w:val="-4"/>
          <w:sz w:val="21"/>
          <w:szCs w:val="21"/>
        </w:rPr>
        <w:t xml:space="preserve">3.6 </w:t>
      </w:r>
      <w:r>
        <w:rPr>
          <w:rFonts w:ascii="SimSun" w:eastAsia="SimSun" w:hAnsi="SimSun" w:cs="SimSun"/>
          <w:spacing w:val="-4"/>
          <w:sz w:val="21"/>
          <w:szCs w:val="21"/>
        </w:rPr>
        <w:t>件，</w:t>
      </w:r>
      <w:r>
        <w:rPr>
          <w:rFonts w:ascii="SimSun" w:eastAsia="SimSun" w:hAnsi="SimSun" w:cs="SimSun"/>
          <w:spacing w:val="-25"/>
          <w:sz w:val="21"/>
          <w:szCs w:val="21"/>
        </w:rPr>
        <w:t xml:space="preserve"> </w:t>
      </w:r>
      <w:r>
        <w:rPr>
          <w:rFonts w:ascii="SimSun" w:eastAsia="SimSun" w:hAnsi="SimSun" w:cs="SimSun"/>
          <w:spacing w:val="-4"/>
          <w:sz w:val="21"/>
          <w:szCs w:val="21"/>
        </w:rPr>
        <w:t>较上年提</w:t>
      </w:r>
      <w:r>
        <w:rPr>
          <w:rFonts w:ascii="SimSun" w:eastAsia="SimSun" w:hAnsi="SimSun" w:cs="SimSun"/>
          <w:spacing w:val="-5"/>
          <w:sz w:val="21"/>
          <w:szCs w:val="21"/>
        </w:rPr>
        <w:t>高</w:t>
      </w:r>
      <w:r>
        <w:rPr>
          <w:rFonts w:ascii="SimSun" w:eastAsia="SimSun" w:hAnsi="SimSun" w:cs="SimSun"/>
          <w:spacing w:val="-45"/>
          <w:sz w:val="21"/>
          <w:szCs w:val="21"/>
        </w:rPr>
        <w:t xml:space="preserve"> </w:t>
      </w:r>
      <w:r>
        <w:rPr>
          <w:rFonts w:ascii="Times New Roman" w:eastAsia="Times New Roman" w:hAnsi="Times New Roman" w:cs="Times New Roman"/>
          <w:spacing w:val="-5"/>
          <w:sz w:val="21"/>
          <w:szCs w:val="21"/>
        </w:rPr>
        <w:t xml:space="preserve">0.4 </w:t>
      </w:r>
      <w:r>
        <w:rPr>
          <w:rFonts w:ascii="SimSun" w:eastAsia="SimSun" w:hAnsi="SimSun" w:cs="SimSun"/>
          <w:spacing w:val="-5"/>
          <w:sz w:val="21"/>
          <w:szCs w:val="21"/>
        </w:rPr>
        <w:t>件。</w:t>
      </w:r>
    </w:p>
    <w:p>
      <w:pPr>
        <w:spacing w:before="213" w:line="267" w:lineRule="auto"/>
        <w:ind w:left="35" w:right="49" w:firstLine="22"/>
        <w:jc w:val="both"/>
        <w:rPr>
          <w:rFonts w:ascii="SimSun" w:eastAsia="SimSun" w:hAnsi="SimSun" w:cs="SimSun"/>
          <w:sz w:val="21"/>
          <w:szCs w:val="21"/>
        </w:rPr>
      </w:pPr>
      <w:r>
        <w:rPr>
          <w:rFonts w:ascii="SimSun" w:eastAsia="SimSun" w:hAnsi="SimSun" w:cs="SimSun"/>
          <w:spacing w:val="-1"/>
          <w:sz w:val="21"/>
          <w:szCs w:val="21"/>
        </w:rPr>
        <w:t>民营企业是我国科技创新的重要主体，根据全国工商发布的《</w:t>
      </w:r>
      <w:r>
        <w:rPr>
          <w:rFonts w:ascii="Times New Roman" w:eastAsia="Times New Roman" w:hAnsi="Times New Roman" w:cs="Times New Roman"/>
          <w:spacing w:val="-1"/>
          <w:sz w:val="21"/>
          <w:szCs w:val="21"/>
        </w:rPr>
        <w:t xml:space="preserve">2023 </w:t>
      </w:r>
      <w:r>
        <w:rPr>
          <w:rFonts w:ascii="SimSun" w:eastAsia="SimSun" w:hAnsi="SimSun" w:cs="SimSun"/>
          <w:spacing w:val="-1"/>
          <w:sz w:val="21"/>
          <w:szCs w:val="21"/>
        </w:rPr>
        <w:t>研发投入前</w:t>
      </w:r>
      <w:r>
        <w:rPr>
          <w:rFonts w:ascii="SimSun" w:eastAsia="SimSun" w:hAnsi="SimSun" w:cs="SimSun"/>
          <w:spacing w:val="-28"/>
          <w:sz w:val="21"/>
          <w:szCs w:val="21"/>
        </w:rPr>
        <w:t xml:space="preserve"> </w:t>
      </w:r>
      <w:r>
        <w:rPr>
          <w:rFonts w:ascii="Times New Roman" w:eastAsia="Times New Roman" w:hAnsi="Times New Roman" w:cs="Times New Roman"/>
          <w:spacing w:val="-1"/>
          <w:sz w:val="21"/>
          <w:szCs w:val="21"/>
        </w:rPr>
        <w:t xml:space="preserve">1000 </w:t>
      </w:r>
      <w:r>
        <w:rPr>
          <w:rFonts w:ascii="SimSun" w:eastAsia="SimSun" w:hAnsi="SimSun" w:cs="SimSun"/>
          <w:spacing w:val="-1"/>
          <w:sz w:val="21"/>
          <w:szCs w:val="21"/>
        </w:rPr>
        <w:t>家民营企业创新状况</w:t>
      </w:r>
      <w:r>
        <w:rPr>
          <w:rFonts w:ascii="SimSun" w:eastAsia="SimSun" w:hAnsi="SimSun" w:cs="SimSun"/>
          <w:sz w:val="21"/>
          <w:szCs w:val="21"/>
        </w:rPr>
        <w:t xml:space="preserve"> </w:t>
      </w:r>
      <w:r>
        <w:rPr>
          <w:rFonts w:ascii="SimSun" w:eastAsia="SimSun" w:hAnsi="SimSun" w:cs="SimSun"/>
          <w:spacing w:val="-4"/>
          <w:sz w:val="21"/>
          <w:szCs w:val="21"/>
        </w:rPr>
        <w:t>报告》显示，截至</w:t>
      </w:r>
      <w:r>
        <w:rPr>
          <w:rFonts w:ascii="SimSun" w:eastAsia="SimSun" w:hAnsi="SimSun" w:cs="SimSun"/>
          <w:spacing w:val="-47"/>
          <w:sz w:val="21"/>
          <w:szCs w:val="21"/>
        </w:rPr>
        <w:t xml:space="preserve"> </w:t>
      </w:r>
      <w:r>
        <w:rPr>
          <w:rFonts w:ascii="Times New Roman" w:eastAsia="Times New Roman" w:hAnsi="Times New Roman" w:cs="Times New Roman"/>
          <w:spacing w:val="-4"/>
          <w:sz w:val="21"/>
          <w:szCs w:val="21"/>
        </w:rPr>
        <w:t xml:space="preserve">2023 </w:t>
      </w:r>
      <w:r>
        <w:rPr>
          <w:rFonts w:ascii="SimSun" w:eastAsia="SimSun" w:hAnsi="SimSun" w:cs="SimSun"/>
          <w:spacing w:val="-4"/>
          <w:sz w:val="21"/>
          <w:szCs w:val="21"/>
        </w:rPr>
        <w:t>年</w:t>
      </w:r>
      <w:r>
        <w:rPr>
          <w:rFonts w:ascii="SimSun" w:eastAsia="SimSun" w:hAnsi="SimSun" w:cs="SimSun"/>
          <w:spacing w:val="-44"/>
          <w:sz w:val="21"/>
          <w:szCs w:val="21"/>
        </w:rPr>
        <w:t xml:space="preserve"> </w:t>
      </w:r>
      <w:r>
        <w:rPr>
          <w:rFonts w:ascii="Times New Roman" w:eastAsia="Times New Roman" w:hAnsi="Times New Roman" w:cs="Times New Roman"/>
          <w:spacing w:val="-4"/>
          <w:sz w:val="21"/>
          <w:szCs w:val="21"/>
        </w:rPr>
        <w:t>3</w:t>
      </w:r>
      <w:r>
        <w:rPr>
          <w:rFonts w:ascii="Times New Roman" w:eastAsia="Times New Roman" w:hAnsi="Times New Roman" w:cs="Times New Roman"/>
          <w:spacing w:val="14"/>
          <w:sz w:val="21"/>
          <w:szCs w:val="21"/>
        </w:rPr>
        <w:t xml:space="preserve"> </w:t>
      </w:r>
      <w:r>
        <w:rPr>
          <w:rFonts w:ascii="SimSun" w:eastAsia="SimSun" w:hAnsi="SimSun" w:cs="SimSun"/>
          <w:spacing w:val="-4"/>
          <w:sz w:val="21"/>
          <w:szCs w:val="21"/>
        </w:rPr>
        <w:t>月末， 民营企业贡献了</w:t>
      </w:r>
      <w:r>
        <w:rPr>
          <w:rFonts w:ascii="SimSun" w:eastAsia="SimSun" w:hAnsi="SimSun" w:cs="SimSun"/>
          <w:spacing w:val="-42"/>
          <w:sz w:val="21"/>
          <w:szCs w:val="21"/>
        </w:rPr>
        <w:t xml:space="preserve"> </w:t>
      </w:r>
      <w:r>
        <w:rPr>
          <w:rFonts w:ascii="Times New Roman" w:eastAsia="Times New Roman" w:hAnsi="Times New Roman" w:cs="Times New Roman"/>
          <w:spacing w:val="-4"/>
          <w:sz w:val="21"/>
          <w:szCs w:val="21"/>
        </w:rPr>
        <w:t>50%</w:t>
      </w:r>
      <w:r>
        <w:rPr>
          <w:rFonts w:ascii="SimSun" w:eastAsia="SimSun" w:hAnsi="SimSun" w:cs="SimSun"/>
          <w:spacing w:val="-5"/>
          <w:sz w:val="21"/>
          <w:szCs w:val="21"/>
        </w:rPr>
        <w:t>以上的研发投入和研发人员，</w:t>
      </w:r>
      <w:r>
        <w:rPr>
          <w:rFonts w:ascii="SimSun" w:eastAsia="SimSun" w:hAnsi="SimSun" w:cs="SimSun"/>
          <w:spacing w:val="-23"/>
          <w:sz w:val="21"/>
          <w:szCs w:val="21"/>
        </w:rPr>
        <w:t xml:space="preserve"> </w:t>
      </w:r>
      <w:r>
        <w:rPr>
          <w:rFonts w:ascii="Times New Roman" w:eastAsia="Times New Roman" w:hAnsi="Times New Roman" w:cs="Times New Roman"/>
          <w:spacing w:val="-5"/>
          <w:sz w:val="21"/>
          <w:szCs w:val="21"/>
        </w:rPr>
        <w:t>70%</w:t>
      </w:r>
      <w:r>
        <w:rPr>
          <w:rFonts w:ascii="SimSun" w:eastAsia="SimSun" w:hAnsi="SimSun" w:cs="SimSun"/>
          <w:spacing w:val="-5"/>
          <w:sz w:val="21"/>
          <w:szCs w:val="21"/>
        </w:rPr>
        <w:t>以上的技术创</w:t>
      </w:r>
      <w:r>
        <w:rPr>
          <w:rFonts w:ascii="SimSun" w:eastAsia="SimSun" w:hAnsi="SimSun" w:cs="SimSun"/>
          <w:sz w:val="21"/>
          <w:szCs w:val="21"/>
        </w:rPr>
        <w:t xml:space="preserve">  </w:t>
      </w:r>
      <w:r>
        <w:rPr>
          <w:rFonts w:ascii="SimSun" w:eastAsia="SimSun" w:hAnsi="SimSun" w:cs="SimSun"/>
          <w:sz w:val="21"/>
          <w:szCs w:val="21"/>
        </w:rPr>
        <w:t>新成果、</w:t>
      </w:r>
      <w:r>
        <w:rPr>
          <w:rFonts w:ascii="Times New Roman" w:eastAsia="Times New Roman" w:hAnsi="Times New Roman" w:cs="Times New Roman"/>
          <w:sz w:val="21"/>
          <w:szCs w:val="21"/>
        </w:rPr>
        <w:t>80%</w:t>
      </w:r>
      <w:r>
        <w:rPr>
          <w:rFonts w:ascii="SimSun" w:eastAsia="SimSun" w:hAnsi="SimSun" w:cs="SimSun"/>
          <w:sz w:val="21"/>
          <w:szCs w:val="21"/>
        </w:rPr>
        <w:t>以上的专精特新“小巨人”企业、</w:t>
      </w:r>
      <w:r>
        <w:rPr>
          <w:rFonts w:ascii="Times New Roman" w:eastAsia="Times New Roman" w:hAnsi="Times New Roman" w:cs="Times New Roman"/>
          <w:sz w:val="21"/>
          <w:szCs w:val="21"/>
        </w:rPr>
        <w:t>90%</w:t>
      </w:r>
      <w:r>
        <w:rPr>
          <w:rFonts w:ascii="SimSun" w:eastAsia="SimSun" w:hAnsi="SimSun" w:cs="SimSun"/>
          <w:sz w:val="21"/>
          <w:szCs w:val="21"/>
        </w:rPr>
        <w:t xml:space="preserve">以上的高新技术企业。机械行业在各细分领域存在众 </w:t>
      </w:r>
      <w:r>
        <w:rPr>
          <w:rFonts w:ascii="SimSun" w:eastAsia="SimSun" w:hAnsi="SimSun" w:cs="SimSun"/>
          <w:sz w:val="21"/>
          <w:szCs w:val="21"/>
        </w:rPr>
        <w:t>多专精特新企业，该类企业是产业加快转型升级的重要抓手和行业创新发展的动</w:t>
      </w:r>
      <w:r>
        <w:rPr>
          <w:rFonts w:ascii="SimSun" w:eastAsia="SimSun" w:hAnsi="SimSun" w:cs="SimSun"/>
          <w:spacing w:val="-1"/>
          <w:sz w:val="21"/>
          <w:szCs w:val="21"/>
        </w:rPr>
        <w:t>力。从</w:t>
      </w:r>
      <w:r>
        <w:rPr>
          <w:rFonts w:ascii="SimSun" w:eastAsia="SimSun" w:hAnsi="SimSun" w:cs="SimSun"/>
          <w:spacing w:val="-49"/>
          <w:sz w:val="21"/>
          <w:szCs w:val="21"/>
        </w:rPr>
        <w:t xml:space="preserve"> </w:t>
      </w:r>
      <w:r>
        <w:rPr>
          <w:rFonts w:ascii="Times New Roman" w:eastAsia="Times New Roman" w:hAnsi="Times New Roman" w:cs="Times New Roman"/>
          <w:spacing w:val="-1"/>
          <w:sz w:val="21"/>
          <w:szCs w:val="21"/>
        </w:rPr>
        <w:t xml:space="preserve">Wind </w:t>
      </w:r>
      <w:r>
        <w:rPr>
          <w:rFonts w:ascii="SimSun" w:eastAsia="SimSun" w:hAnsi="SimSun" w:cs="SimSun"/>
          <w:spacing w:val="-1"/>
          <w:sz w:val="21"/>
          <w:szCs w:val="21"/>
        </w:rPr>
        <w:t>机械行业分</w:t>
      </w:r>
      <w:r>
        <w:rPr>
          <w:rFonts w:ascii="SimSun" w:eastAsia="SimSun" w:hAnsi="SimSun" w:cs="SimSun"/>
          <w:sz w:val="21"/>
          <w:szCs w:val="21"/>
        </w:rPr>
        <w:t xml:space="preserve"> </w:t>
      </w:r>
      <w:r>
        <w:rPr>
          <w:rFonts w:ascii="SimSun" w:eastAsia="SimSun" w:hAnsi="SimSun" w:cs="SimSun"/>
          <w:spacing w:val="-3"/>
          <w:sz w:val="21"/>
          <w:szCs w:val="21"/>
        </w:rPr>
        <w:t>类中筛选出的</w:t>
      </w:r>
      <w:r>
        <w:rPr>
          <w:rFonts w:ascii="SimSun" w:eastAsia="SimSun" w:hAnsi="SimSun" w:cs="SimSun"/>
          <w:spacing w:val="-14"/>
          <w:sz w:val="21"/>
          <w:szCs w:val="21"/>
        </w:rPr>
        <w:t xml:space="preserve"> </w:t>
      </w:r>
      <w:r>
        <w:rPr>
          <w:rFonts w:ascii="Times New Roman" w:eastAsia="Times New Roman" w:hAnsi="Times New Roman" w:cs="Times New Roman"/>
          <w:spacing w:val="-3"/>
          <w:sz w:val="21"/>
          <w:szCs w:val="21"/>
        </w:rPr>
        <w:t xml:space="preserve">197 </w:t>
      </w:r>
      <w:r>
        <w:rPr>
          <w:rFonts w:ascii="SimSun" w:eastAsia="SimSun" w:hAnsi="SimSun" w:cs="SimSun"/>
          <w:spacing w:val="-3"/>
          <w:sz w:val="21"/>
          <w:szCs w:val="21"/>
        </w:rPr>
        <w:t>家专精特新企业来看， 民营企业占比达到</w:t>
      </w:r>
      <w:r>
        <w:rPr>
          <w:rFonts w:ascii="SimSun" w:eastAsia="SimSun" w:hAnsi="SimSun" w:cs="SimSun"/>
          <w:spacing w:val="-44"/>
          <w:sz w:val="21"/>
          <w:szCs w:val="21"/>
        </w:rPr>
        <w:t xml:space="preserve"> </w:t>
      </w:r>
      <w:r>
        <w:rPr>
          <w:rFonts w:ascii="Times New Roman" w:eastAsia="Times New Roman" w:hAnsi="Times New Roman" w:cs="Times New Roman"/>
          <w:spacing w:val="-3"/>
          <w:sz w:val="21"/>
          <w:szCs w:val="21"/>
        </w:rPr>
        <w:t>71.57%</w:t>
      </w:r>
      <w:r>
        <w:rPr>
          <w:rFonts w:ascii="SimSun" w:eastAsia="SimSun" w:hAnsi="SimSun" w:cs="SimSun"/>
          <w:spacing w:val="-3"/>
          <w:sz w:val="21"/>
          <w:szCs w:val="21"/>
        </w:rPr>
        <w:t>，其中净资产在</w:t>
      </w:r>
      <w:r>
        <w:rPr>
          <w:rFonts w:ascii="SimSun" w:eastAsia="SimSun" w:hAnsi="SimSun" w:cs="SimSun"/>
          <w:spacing w:val="-48"/>
          <w:sz w:val="21"/>
          <w:szCs w:val="21"/>
        </w:rPr>
        <w:t xml:space="preserve"> </w:t>
      </w:r>
      <w:r>
        <w:rPr>
          <w:rFonts w:ascii="Times New Roman" w:eastAsia="Times New Roman" w:hAnsi="Times New Roman" w:cs="Times New Roman"/>
          <w:spacing w:val="-3"/>
          <w:sz w:val="21"/>
          <w:szCs w:val="21"/>
        </w:rPr>
        <w:t xml:space="preserve">20 </w:t>
      </w:r>
      <w:r>
        <w:rPr>
          <w:rFonts w:ascii="SimSun" w:eastAsia="SimSun" w:hAnsi="SimSun" w:cs="SimSun"/>
          <w:spacing w:val="-3"/>
          <w:sz w:val="21"/>
          <w:szCs w:val="21"/>
        </w:rPr>
        <w:t>亿元以下中小企业</w:t>
      </w:r>
      <w:r>
        <w:rPr>
          <w:rFonts w:ascii="SimSun" w:eastAsia="SimSun" w:hAnsi="SimSun" w:cs="SimSun"/>
          <w:sz w:val="21"/>
          <w:szCs w:val="21"/>
        </w:rPr>
        <w:t xml:space="preserve"> </w:t>
      </w:r>
      <w:r>
        <w:rPr>
          <w:rFonts w:ascii="SimSun" w:eastAsia="SimSun" w:hAnsi="SimSun" w:cs="SimSun"/>
          <w:spacing w:val="-1"/>
          <w:sz w:val="21"/>
          <w:szCs w:val="21"/>
        </w:rPr>
        <w:t>占比达到</w:t>
      </w:r>
      <w:r>
        <w:rPr>
          <w:rFonts w:ascii="SimSun" w:eastAsia="SimSun" w:hAnsi="SimSun" w:cs="SimSun"/>
          <w:spacing w:val="-36"/>
          <w:sz w:val="21"/>
          <w:szCs w:val="21"/>
        </w:rPr>
        <w:t xml:space="preserve"> </w:t>
      </w:r>
      <w:r>
        <w:rPr>
          <w:rFonts w:ascii="Times New Roman" w:eastAsia="Times New Roman" w:hAnsi="Times New Roman" w:cs="Times New Roman"/>
          <w:spacing w:val="-1"/>
          <w:sz w:val="21"/>
          <w:szCs w:val="21"/>
        </w:rPr>
        <w:t>61.93%</w:t>
      </w:r>
      <w:r>
        <w:rPr>
          <w:rFonts w:ascii="SimSun" w:eastAsia="SimSun" w:hAnsi="SimSun" w:cs="SimSun"/>
          <w:spacing w:val="-1"/>
          <w:sz w:val="21"/>
          <w:szCs w:val="21"/>
        </w:rPr>
        <w:t>。从研发投入看，</w:t>
      </w:r>
      <w:r>
        <w:rPr>
          <w:rFonts w:ascii="Times New Roman" w:eastAsia="Times New Roman" w:hAnsi="Times New Roman" w:cs="Times New Roman"/>
          <w:spacing w:val="-1"/>
          <w:sz w:val="21"/>
          <w:szCs w:val="21"/>
        </w:rPr>
        <w:t xml:space="preserve">2022 </w:t>
      </w:r>
      <w:r>
        <w:rPr>
          <w:rFonts w:ascii="SimSun" w:eastAsia="SimSun" w:hAnsi="SimSun" w:cs="SimSun"/>
          <w:spacing w:val="-1"/>
          <w:sz w:val="21"/>
          <w:szCs w:val="21"/>
        </w:rPr>
        <w:t>年</w:t>
      </w:r>
      <w:r>
        <w:rPr>
          <w:rFonts w:ascii="SimSun" w:eastAsia="SimSun" w:hAnsi="SimSun" w:cs="SimSun"/>
          <w:spacing w:val="-28"/>
          <w:sz w:val="21"/>
          <w:szCs w:val="21"/>
        </w:rPr>
        <w:t xml:space="preserve"> </w:t>
      </w:r>
      <w:r>
        <w:rPr>
          <w:rFonts w:ascii="Times New Roman" w:eastAsia="Times New Roman" w:hAnsi="Times New Roman" w:cs="Times New Roman"/>
          <w:spacing w:val="-1"/>
          <w:sz w:val="21"/>
          <w:szCs w:val="21"/>
        </w:rPr>
        <w:t xml:space="preserve">197 </w:t>
      </w:r>
      <w:r>
        <w:rPr>
          <w:rFonts w:ascii="SimSun" w:eastAsia="SimSun" w:hAnsi="SimSun" w:cs="SimSun"/>
          <w:spacing w:val="-1"/>
          <w:sz w:val="21"/>
          <w:szCs w:val="21"/>
        </w:rPr>
        <w:t>家专精特新企业研发费用</w:t>
      </w:r>
      <w:r>
        <w:rPr>
          <w:rFonts w:ascii="Times New Roman" w:eastAsia="Times New Roman" w:hAnsi="Times New Roman" w:cs="Times New Roman"/>
          <w:spacing w:val="-1"/>
          <w:sz w:val="21"/>
          <w:szCs w:val="21"/>
        </w:rPr>
        <w:t>/</w:t>
      </w:r>
      <w:r>
        <w:rPr>
          <w:rFonts w:ascii="SimSun" w:eastAsia="SimSun" w:hAnsi="SimSun" w:cs="SimSun"/>
          <w:spacing w:val="-1"/>
          <w:sz w:val="21"/>
          <w:szCs w:val="21"/>
        </w:rPr>
        <w:t>营业收入比重为</w:t>
      </w:r>
      <w:r>
        <w:rPr>
          <w:rFonts w:ascii="SimSun" w:eastAsia="SimSun" w:hAnsi="SimSun" w:cs="SimSun"/>
          <w:spacing w:val="-42"/>
          <w:sz w:val="21"/>
          <w:szCs w:val="21"/>
        </w:rPr>
        <w:t xml:space="preserve"> </w:t>
      </w:r>
      <w:r>
        <w:rPr>
          <w:rFonts w:ascii="Times New Roman" w:eastAsia="Times New Roman" w:hAnsi="Times New Roman" w:cs="Times New Roman"/>
          <w:spacing w:val="-1"/>
          <w:sz w:val="21"/>
          <w:szCs w:val="21"/>
        </w:rPr>
        <w:t>5.71%</w:t>
      </w:r>
      <w:r>
        <w:rPr>
          <w:rFonts w:ascii="SimSun" w:eastAsia="SimSun" w:hAnsi="SimSun" w:cs="SimSun"/>
          <w:spacing w:val="-1"/>
          <w:sz w:val="21"/>
          <w:szCs w:val="21"/>
        </w:rPr>
        <w:t>，高于机</w:t>
      </w:r>
      <w:r>
        <w:rPr>
          <w:rFonts w:ascii="SimSun" w:eastAsia="SimSun" w:hAnsi="SimSun" w:cs="SimSun"/>
          <w:sz w:val="21"/>
          <w:szCs w:val="21"/>
        </w:rPr>
        <w:t xml:space="preserve"> </w:t>
      </w:r>
      <w:r>
        <w:rPr>
          <w:rFonts w:ascii="SimSun" w:eastAsia="SimSun" w:hAnsi="SimSun" w:cs="SimSun"/>
          <w:sz w:val="21"/>
          <w:szCs w:val="21"/>
        </w:rPr>
        <w:t>械行业整体</w:t>
      </w:r>
      <w:r>
        <w:rPr>
          <w:rFonts w:ascii="SimSun" w:eastAsia="SimSun" w:hAnsi="SimSun" w:cs="SimSun"/>
          <w:spacing w:val="-45"/>
          <w:sz w:val="21"/>
          <w:szCs w:val="21"/>
        </w:rPr>
        <w:t xml:space="preserve"> </w:t>
      </w:r>
      <w:r>
        <w:rPr>
          <w:rFonts w:ascii="Times New Roman" w:eastAsia="Times New Roman" w:hAnsi="Times New Roman" w:cs="Times New Roman"/>
          <w:sz w:val="21"/>
          <w:szCs w:val="21"/>
        </w:rPr>
        <w:t xml:space="preserve">0.9 </w:t>
      </w:r>
      <w:r>
        <w:rPr>
          <w:rFonts w:ascii="SimSun" w:eastAsia="SimSun" w:hAnsi="SimSun" w:cs="SimSun"/>
          <w:sz w:val="21"/>
          <w:szCs w:val="21"/>
        </w:rPr>
        <w:t>个百分点，其中工业机器人、机床等细分</w:t>
      </w:r>
      <w:r>
        <w:rPr>
          <w:rFonts w:ascii="SimSun" w:eastAsia="SimSun" w:hAnsi="SimSun" w:cs="SimSun"/>
          <w:spacing w:val="-1"/>
          <w:sz w:val="21"/>
          <w:szCs w:val="21"/>
        </w:rPr>
        <w:t>领域企业相对较多。</w:t>
      </w:r>
    </w:p>
    <w:p>
      <w:pPr>
        <w:spacing w:before="182" w:line="273" w:lineRule="auto"/>
        <w:ind w:left="39" w:right="35"/>
        <w:jc w:val="both"/>
        <w:rPr>
          <w:rFonts w:ascii="SimSun" w:eastAsia="SimSun" w:hAnsi="SimSun" w:cs="SimSun"/>
          <w:sz w:val="21"/>
          <w:szCs w:val="21"/>
        </w:rPr>
      </w:pPr>
      <w:r>
        <w:rPr>
          <w:rFonts w:ascii="SimSun" w:eastAsia="SimSun" w:hAnsi="SimSun" w:cs="SimSun"/>
          <w:sz w:val="21"/>
          <w:szCs w:val="21"/>
        </w:rPr>
        <w:t>从未来重点突破的技术领域来看，工信部《</w:t>
      </w:r>
      <w:r>
        <w:rPr>
          <w:rFonts w:ascii="SimSun" w:eastAsia="SimSun" w:hAnsi="SimSun" w:cs="SimSun"/>
          <w:spacing w:val="-1"/>
          <w:sz w:val="21"/>
          <w:szCs w:val="21"/>
        </w:rPr>
        <w:t>十四五智能制造发展规划》中提到十四五期间我国将大力发展</w:t>
      </w:r>
      <w:r>
        <w:rPr>
          <w:rFonts w:ascii="SimSun" w:eastAsia="SimSun" w:hAnsi="SimSun" w:cs="SimSun"/>
          <w:sz w:val="21"/>
          <w:szCs w:val="21"/>
        </w:rPr>
        <w:t xml:space="preserve"> </w:t>
      </w:r>
      <w:r>
        <w:rPr>
          <w:rFonts w:ascii="SimSun" w:eastAsia="SimSun" w:hAnsi="SimSun" w:cs="SimSun"/>
          <w:spacing w:val="-4"/>
          <w:sz w:val="21"/>
          <w:szCs w:val="21"/>
        </w:rPr>
        <w:t>智能制造装备，</w:t>
      </w:r>
      <w:r>
        <w:rPr>
          <w:rFonts w:ascii="SimSun" w:eastAsia="SimSun" w:hAnsi="SimSun" w:cs="SimSun"/>
          <w:spacing w:val="-25"/>
          <w:sz w:val="21"/>
          <w:szCs w:val="21"/>
        </w:rPr>
        <w:t xml:space="preserve"> </w:t>
      </w:r>
      <w:r>
        <w:rPr>
          <w:rFonts w:ascii="SimSun" w:eastAsia="SimSun" w:hAnsi="SimSun" w:cs="SimSun"/>
          <w:spacing w:val="-4"/>
          <w:sz w:val="21"/>
          <w:szCs w:val="21"/>
        </w:rPr>
        <w:t>针对感知、控制、决策、执行</w:t>
      </w:r>
      <w:r>
        <w:rPr>
          <w:rFonts w:ascii="SimSun" w:eastAsia="SimSun" w:hAnsi="SimSun" w:cs="SimSun"/>
          <w:spacing w:val="-5"/>
          <w:sz w:val="21"/>
          <w:szCs w:val="21"/>
        </w:rPr>
        <w:t>等环节的短板弱项， 突破一批卡脖子基础零部件和装置，将</w:t>
      </w:r>
      <w:r>
        <w:rPr>
          <w:rFonts w:ascii="SimSun" w:eastAsia="SimSun" w:hAnsi="SimSun" w:cs="SimSun"/>
          <w:sz w:val="21"/>
          <w:szCs w:val="21"/>
        </w:rPr>
        <w:t xml:space="preserve"> </w:t>
      </w:r>
      <w:r>
        <w:rPr>
          <w:rFonts w:ascii="SimSun" w:eastAsia="SimSun" w:hAnsi="SimSun" w:cs="SimSun"/>
          <w:spacing w:val="-1"/>
          <w:sz w:val="21"/>
          <w:szCs w:val="21"/>
        </w:rPr>
        <w:t>驱动行业产业链水平提升及带动相关重点领域企业发展。</w:t>
      </w:r>
    </w:p>
    <w:p>
      <w:pPr>
        <w:spacing w:before="141" w:line="218" w:lineRule="auto"/>
        <w:ind w:left="82"/>
        <w:rPr>
          <w:rFonts w:ascii="SimHei" w:eastAsia="SimHei" w:hAnsi="SimHei" w:cs="SimHei"/>
          <w:sz w:val="18"/>
          <w:szCs w:val="18"/>
        </w:rPr>
      </w:pPr>
      <w:r>
        <w:rPr>
          <w:rFonts w:ascii="SimHei" w:eastAsia="SimHei" w:hAnsi="SimHei" w:cs="SimHei"/>
          <w:spacing w:val="-2"/>
          <w:sz w:val="18"/>
          <w:szCs w:val="18"/>
        </w:rPr>
        <w:t>图表</w:t>
      </w:r>
      <w:r>
        <w:rPr>
          <w:rFonts w:ascii="SimHei" w:eastAsia="SimHei" w:hAnsi="SimHei" w:cs="SimHei"/>
          <w:spacing w:val="-25"/>
          <w:sz w:val="18"/>
          <w:szCs w:val="18"/>
        </w:rPr>
        <w:t xml:space="preserve"> </w:t>
      </w:r>
      <w:r>
        <w:rPr>
          <w:rFonts w:ascii="Times New Roman" w:eastAsia="Times New Roman" w:hAnsi="Times New Roman" w:cs="Times New Roman"/>
          <w:spacing w:val="-2"/>
          <w:sz w:val="18"/>
          <w:szCs w:val="18"/>
        </w:rPr>
        <w:t xml:space="preserve">4. </w:t>
      </w:r>
      <w:r>
        <w:rPr>
          <w:rFonts w:ascii="SimHei" w:eastAsia="SimHei" w:hAnsi="SimHei" w:cs="SimHei"/>
          <w:spacing w:val="-2"/>
          <w:sz w:val="18"/>
          <w:szCs w:val="18"/>
        </w:rPr>
        <w:t>十四五智能制造装备创新发展行动</w:t>
      </w:r>
    </w:p>
    <w:tbl>
      <w:tblPr>
        <w:tblStyle w:val="TableNormal2"/>
        <w:tblW w:w="9694"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33"/>
        <w:gridCol w:w="8261"/>
      </w:tblGrid>
      <w:tr>
        <w:tblPrEx>
          <w:tblW w:w="9694"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7"/>
        </w:trPr>
        <w:tc>
          <w:tcPr>
            <w:tcW w:w="1433" w:type="dxa"/>
            <w:tcBorders>
              <w:top w:val="single" w:sz="10" w:space="0" w:color="000000"/>
              <w:left w:val="nil"/>
            </w:tcBorders>
            <w:shd w:val="clear" w:color="auto" w:fill="D9D9D9"/>
            <w:vAlign w:val="top"/>
          </w:tcPr>
          <w:p>
            <w:pPr>
              <w:spacing w:before="89" w:line="221" w:lineRule="auto"/>
              <w:ind w:left="283"/>
              <w:rPr>
                <w:rFonts w:ascii="SimHei" w:eastAsia="SimHei" w:hAnsi="SimHei" w:cs="SimHei"/>
                <w:sz w:val="15"/>
                <w:szCs w:val="15"/>
              </w:rPr>
            </w:pPr>
            <w:r>
              <w:rPr>
                <w:rFonts w:ascii="SimHei" w:eastAsia="SimHei" w:hAnsi="SimHei" w:cs="SimHei"/>
                <w:spacing w:val="-1"/>
                <w:sz w:val="15"/>
                <w:szCs w:val="15"/>
              </w:rPr>
              <w:t>重点细分领域</w:t>
            </w:r>
          </w:p>
        </w:tc>
        <w:tc>
          <w:tcPr>
            <w:tcW w:w="8261" w:type="dxa"/>
            <w:tcBorders>
              <w:top w:val="single" w:sz="10" w:space="0" w:color="000000"/>
              <w:right w:val="nil"/>
            </w:tcBorders>
            <w:shd w:val="clear" w:color="auto" w:fill="D9D9D9"/>
            <w:vAlign w:val="top"/>
          </w:tcPr>
          <w:p>
            <w:pPr>
              <w:spacing w:before="89" w:line="220" w:lineRule="auto"/>
              <w:ind w:left="3666"/>
              <w:rPr>
                <w:rFonts w:ascii="SimHei" w:eastAsia="SimHei" w:hAnsi="SimHei" w:cs="SimHei"/>
                <w:sz w:val="15"/>
                <w:szCs w:val="15"/>
              </w:rPr>
            </w:pPr>
            <w:r>
              <w:rPr>
                <w:rFonts w:ascii="SimHei" w:eastAsia="SimHei" w:hAnsi="SimHei" w:cs="SimHei"/>
                <w:spacing w:val="-1"/>
                <w:sz w:val="15"/>
                <w:szCs w:val="15"/>
              </w:rPr>
              <w:t>涉及主要产品</w:t>
            </w:r>
          </w:p>
        </w:tc>
      </w:tr>
      <w:tr>
        <w:tblPrEx>
          <w:tblW w:w="9694" w:type="dxa"/>
          <w:tblInd w:w="14" w:type="dxa"/>
          <w:tblLayout w:type="fixed"/>
        </w:tblPrEx>
        <w:trPr>
          <w:trHeight w:val="517"/>
        </w:trPr>
        <w:tc>
          <w:tcPr>
            <w:tcW w:w="1433" w:type="dxa"/>
            <w:tcBorders>
              <w:left w:val="nil"/>
              <w:bottom w:val="dotted" w:sz="2" w:space="0" w:color="000000"/>
            </w:tcBorders>
            <w:vAlign w:val="top"/>
          </w:tcPr>
          <w:p>
            <w:pPr>
              <w:pStyle w:val="TableText"/>
              <w:spacing w:before="204" w:line="221" w:lineRule="auto"/>
              <w:ind w:left="128"/>
            </w:pPr>
            <w:r>
              <w:rPr>
                <w:spacing w:val="-1"/>
              </w:rPr>
              <w:t>基础零部件和装置</w:t>
            </w:r>
          </w:p>
        </w:tc>
        <w:tc>
          <w:tcPr>
            <w:tcW w:w="8261" w:type="dxa"/>
            <w:tcBorders>
              <w:bottom w:val="dotted" w:sz="2" w:space="0" w:color="000000"/>
              <w:right w:val="nil"/>
            </w:tcBorders>
            <w:vAlign w:val="top"/>
          </w:tcPr>
          <w:p>
            <w:pPr>
              <w:pStyle w:val="TableText"/>
              <w:spacing w:before="105" w:line="247" w:lineRule="auto"/>
              <w:ind w:left="114" w:right="144" w:hanging="1"/>
            </w:pPr>
            <w:r>
              <w:rPr>
                <w:spacing w:val="-2"/>
              </w:rPr>
              <w:t>研发微纳位移传感器、柔性触觉传感器、高分辨率视觉传感器、成分在线检测仪器、先进控制器、高精度伺服驱动系统、高</w:t>
            </w:r>
            <w:r>
              <w:rPr>
                <w:spacing w:val="7"/>
              </w:rPr>
              <w:t xml:space="preserve"> </w:t>
            </w:r>
            <w:r>
              <w:t>性能高可靠减速器、可穿戴人机交互设备、工业现场定位设备、智能</w:t>
            </w:r>
            <w:r>
              <w:rPr>
                <w:spacing w:val="-1"/>
              </w:rPr>
              <w:t>数控系统等。</w:t>
            </w:r>
          </w:p>
        </w:tc>
      </w:tr>
      <w:tr>
        <w:tblPrEx>
          <w:tblW w:w="9694" w:type="dxa"/>
          <w:tblInd w:w="14" w:type="dxa"/>
          <w:tblLayout w:type="fixed"/>
        </w:tblPrEx>
        <w:trPr>
          <w:trHeight w:val="993"/>
        </w:trPr>
        <w:tc>
          <w:tcPr>
            <w:tcW w:w="1433" w:type="dxa"/>
            <w:tcBorders>
              <w:top w:val="dotted" w:sz="2" w:space="0" w:color="000000"/>
              <w:left w:val="nil"/>
              <w:bottom w:val="dotted" w:sz="2" w:space="0" w:color="000000"/>
            </w:tcBorders>
            <w:vAlign w:val="top"/>
          </w:tcPr>
          <w:p>
            <w:pPr>
              <w:spacing w:line="396" w:lineRule="auto"/>
              <w:rPr>
                <w:rFonts w:ascii="Arial"/>
                <w:sz w:val="21"/>
              </w:rPr>
            </w:pPr>
          </w:p>
          <w:p>
            <w:pPr>
              <w:pStyle w:val="TableText"/>
              <w:spacing w:before="49" w:line="222" w:lineRule="auto"/>
              <w:ind w:left="128"/>
            </w:pPr>
            <w:r>
              <w:rPr>
                <w:spacing w:val="-1"/>
              </w:rPr>
              <w:t>通用智能制造装备</w:t>
            </w:r>
          </w:p>
        </w:tc>
        <w:tc>
          <w:tcPr>
            <w:tcW w:w="8261" w:type="dxa"/>
            <w:tcBorders>
              <w:top w:val="dotted" w:sz="2" w:space="0" w:color="000000"/>
              <w:bottom w:val="dotted" w:sz="2" w:space="0" w:color="000000"/>
              <w:right w:val="nil"/>
            </w:tcBorders>
            <w:vAlign w:val="top"/>
          </w:tcPr>
          <w:p>
            <w:pPr>
              <w:pStyle w:val="TableText"/>
              <w:spacing w:before="108" w:line="269" w:lineRule="auto"/>
              <w:ind w:left="113" w:right="141"/>
              <w:jc w:val="both"/>
            </w:pPr>
            <w:r>
              <w:t>研发智能立</w:t>
            </w:r>
            <w:r>
              <w:rPr>
                <w:rFonts w:ascii="Times New Roman" w:eastAsia="Times New Roman" w:hAnsi="Times New Roman" w:cs="Times New Roman"/>
              </w:rPr>
              <w:t>/</w:t>
            </w:r>
            <w:r>
              <w:t>卧式五轴加工中心、车铣复合加工中心、高精度数控磨床等工作母机；智能焊接机器人、智能移动机器人、半</w:t>
            </w:r>
            <w:r>
              <w:rPr>
                <w:spacing w:val="2"/>
              </w:rPr>
              <w:t xml:space="preserve"> </w:t>
            </w:r>
            <w:r>
              <w:rPr>
                <w:spacing w:val="-4"/>
              </w:rPr>
              <w:t>导体（洁净） 机器人等工业机器人； 激光</w:t>
            </w:r>
            <w:r>
              <w:rPr>
                <w:rFonts w:ascii="Times New Roman" w:eastAsia="Times New Roman" w:hAnsi="Times New Roman" w:cs="Times New Roman"/>
                <w:spacing w:val="-4"/>
              </w:rPr>
              <w:t>/</w:t>
            </w:r>
            <w:r>
              <w:rPr>
                <w:spacing w:val="-4"/>
              </w:rPr>
              <w:t>电子束高效选区熔化装备、激光选区烧结成形装备等增材制造装备； 超快激光等</w:t>
            </w:r>
            <w:r>
              <w:rPr>
                <w:spacing w:val="12"/>
              </w:rPr>
              <w:t xml:space="preserve"> </w:t>
            </w:r>
            <w:r>
              <w:rPr>
                <w:spacing w:val="-2"/>
              </w:rPr>
              <w:t>先进激光加工装备；高端分布式控制系统、可编程逻辑控制器、监视控制和数据采集系统等工业控制装备；数字化非接触精</w:t>
            </w:r>
            <w:r>
              <w:rPr>
                <w:spacing w:val="6"/>
              </w:rPr>
              <w:t xml:space="preserve"> </w:t>
            </w:r>
            <w:r>
              <w:t>密测量、在线无损检测、激光跟踪测量等智能监测装备和仪器；智能多层多向穿梭车</w:t>
            </w:r>
            <w:r>
              <w:rPr>
                <w:spacing w:val="-1"/>
              </w:rPr>
              <w:t>、智能大型立体仓库等智能物装备。</w:t>
            </w:r>
          </w:p>
        </w:tc>
      </w:tr>
    </w:tbl>
    <w:p>
      <w:pPr>
        <w:sectPr>
          <w:headerReference w:type="default" r:id="rId42"/>
          <w:footerReference w:type="default" r:id="rId43"/>
          <w:pgSz w:w="11907" w:h="16839"/>
          <w:pgMar w:top="1336" w:right="1093" w:bottom="1271" w:left="1104" w:header="1148" w:footer="1077" w:gutter="0"/>
          <w:pgNumType w:start="8"/>
          <w:cols w:space="708"/>
        </w:sectPr>
      </w:pPr>
    </w:p>
    <w:tbl>
      <w:tblPr>
        <w:tblStyle w:val="TableNormal3"/>
        <w:tblW w:w="9694"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33"/>
        <w:gridCol w:w="8261"/>
      </w:tblGrid>
      <w:tr>
        <w:tblPrEx>
          <w:tblW w:w="9694"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96"/>
        </w:trPr>
        <w:tc>
          <w:tcPr>
            <w:tcW w:w="1433" w:type="dxa"/>
            <w:tcBorders>
              <w:top w:val="dotted" w:sz="2" w:space="0" w:color="000000"/>
              <w:left w:val="nil"/>
              <w:bottom w:val="dotted" w:sz="2" w:space="0" w:color="000000"/>
            </w:tcBorders>
            <w:vAlign w:val="top"/>
          </w:tcPr>
          <w:p>
            <w:pPr>
              <w:spacing w:line="404" w:lineRule="auto"/>
              <w:rPr>
                <w:rFonts w:ascii="Arial"/>
                <w:sz w:val="21"/>
              </w:rPr>
            </w:pPr>
          </w:p>
          <w:p>
            <w:pPr>
              <w:pStyle w:val="TableText"/>
              <w:spacing w:before="48" w:line="222" w:lineRule="auto"/>
              <w:ind w:left="128"/>
            </w:pPr>
            <w:r>
              <w:rPr>
                <w:spacing w:val="-1"/>
              </w:rPr>
              <w:t>专用智能制造装备</w:t>
            </w:r>
          </w:p>
        </w:tc>
        <w:tc>
          <w:tcPr>
            <w:tcW w:w="8261" w:type="dxa"/>
            <w:tcBorders>
              <w:top w:val="dotted" w:sz="2" w:space="0" w:color="000000"/>
              <w:bottom w:val="dotted" w:sz="2" w:space="0" w:color="000000"/>
              <w:right w:val="nil"/>
            </w:tcBorders>
            <w:vAlign w:val="top"/>
          </w:tcPr>
          <w:p>
            <w:pPr>
              <w:pStyle w:val="TableText"/>
              <w:spacing w:before="118" w:line="267" w:lineRule="auto"/>
              <w:ind w:left="114" w:hanging="1"/>
              <w:jc w:val="both"/>
            </w:pPr>
            <w:r>
              <w:rPr>
                <w:spacing w:val="-2"/>
              </w:rPr>
              <w:t>研发汽车发动机、变速箱等高效加工与近净成形成套装备、航空航天大型复合材料智能辅放、成形、加工和检测成套装备，航</w:t>
            </w:r>
            <w:r>
              <w:t xml:space="preserve"> </w:t>
            </w:r>
            <w:r>
              <w:rPr>
                <w:spacing w:val="-2"/>
              </w:rPr>
              <w:t>空航天智能装配装备，船舶板材激光焊接成套装备， 高精度智能化热</w:t>
            </w:r>
            <w:r>
              <w:rPr>
                <w:rFonts w:ascii="Times New Roman" w:eastAsia="Times New Roman" w:hAnsi="Times New Roman" w:cs="Times New Roman"/>
                <w:spacing w:val="-2"/>
              </w:rPr>
              <w:t>/</w:t>
            </w:r>
            <w:r>
              <w:rPr>
                <w:spacing w:val="-2"/>
              </w:rPr>
              <w:t>冷连</w:t>
            </w:r>
            <w:r>
              <w:rPr>
                <w:spacing w:val="-3"/>
              </w:rPr>
              <w:t>轧成套装备，百万吨以上智能化乙烯成套装备，</w:t>
            </w:r>
            <w:r>
              <w:rPr>
                <w:spacing w:val="-16"/>
              </w:rPr>
              <w:t xml:space="preserve"> </w:t>
            </w:r>
            <w:r>
              <w:rPr>
                <w:spacing w:val="-3"/>
              </w:rPr>
              <w:t>新</w:t>
            </w:r>
            <w:r>
              <w:t xml:space="preserve"> </w:t>
            </w:r>
            <w:r>
              <w:rPr>
                <w:spacing w:val="-2"/>
              </w:rPr>
              <w:t>型干法水泥全流程智能化生产线，食品高粘度流体灌装智能成套装备，连续式针织物</w:t>
            </w:r>
            <w:r>
              <w:rPr>
                <w:rFonts w:ascii="Times New Roman" w:eastAsia="Times New Roman" w:hAnsi="Times New Roman" w:cs="Times New Roman"/>
                <w:spacing w:val="-2"/>
              </w:rPr>
              <w:t>/</w:t>
            </w:r>
            <w:r>
              <w:rPr>
                <w:spacing w:val="-2"/>
              </w:rPr>
              <w:t>纯涤纶织物印染成套装备，满足</w:t>
            </w:r>
            <w:r>
              <w:rPr>
                <w:spacing w:val="-25"/>
              </w:rPr>
              <w:t xml:space="preserve"> </w:t>
            </w:r>
            <w:r>
              <w:rPr>
                <w:rFonts w:ascii="Times New Roman" w:eastAsia="Times New Roman" w:hAnsi="Times New Roman" w:cs="Times New Roman"/>
                <w:spacing w:val="-2"/>
              </w:rPr>
              <w:t xml:space="preserve">GMP </w:t>
            </w:r>
            <w:r>
              <w:rPr>
                <w:spacing w:val="-2"/>
              </w:rPr>
              <w:t>要</w:t>
            </w:r>
            <w:r>
              <w:t xml:space="preserve"> </w:t>
            </w:r>
            <w:r>
              <w:rPr>
                <w:spacing w:val="-2"/>
              </w:rPr>
              <w:t>求的无菌原料药智能成套装备，极大规模集成电路制造成套装备，</w:t>
            </w:r>
            <w:r>
              <w:rPr>
                <w:spacing w:val="-6"/>
              </w:rPr>
              <w:t xml:space="preserve"> </w:t>
            </w:r>
            <w:r>
              <w:rPr>
                <w:spacing w:val="-2"/>
              </w:rPr>
              <w:t>新型平板显示制造成套装备等。</w:t>
            </w:r>
          </w:p>
        </w:tc>
      </w:tr>
      <w:tr>
        <w:tblPrEx>
          <w:tblW w:w="9694" w:type="dxa"/>
          <w:tblInd w:w="14" w:type="dxa"/>
          <w:tblLayout w:type="fixed"/>
        </w:tblPrEx>
        <w:trPr>
          <w:trHeight w:val="541"/>
        </w:trPr>
        <w:tc>
          <w:tcPr>
            <w:tcW w:w="1433" w:type="dxa"/>
            <w:tcBorders>
              <w:top w:val="dotted" w:sz="2" w:space="0" w:color="000000"/>
              <w:left w:val="nil"/>
              <w:bottom w:val="single" w:sz="10" w:space="0" w:color="000000"/>
            </w:tcBorders>
            <w:vAlign w:val="top"/>
          </w:tcPr>
          <w:p>
            <w:pPr>
              <w:pStyle w:val="TableText"/>
              <w:spacing w:before="220" w:line="222" w:lineRule="auto"/>
              <w:ind w:left="128"/>
            </w:pPr>
            <w:r>
              <w:rPr>
                <w:spacing w:val="-1"/>
              </w:rPr>
              <w:t>新型智能制造装备</w:t>
            </w:r>
          </w:p>
        </w:tc>
        <w:tc>
          <w:tcPr>
            <w:tcW w:w="8261" w:type="dxa"/>
            <w:tcBorders>
              <w:top w:val="dotted" w:sz="2" w:space="0" w:color="000000"/>
              <w:bottom w:val="single" w:sz="10" w:space="0" w:color="000000"/>
              <w:right w:val="nil"/>
            </w:tcBorders>
            <w:vAlign w:val="top"/>
          </w:tcPr>
          <w:p>
            <w:pPr>
              <w:pStyle w:val="TableText"/>
              <w:spacing w:before="124" w:line="250" w:lineRule="auto"/>
              <w:ind w:left="118" w:right="157" w:hanging="5"/>
            </w:pPr>
            <w:r>
              <w:rPr>
                <w:spacing w:val="-2"/>
              </w:rPr>
              <w:t>研发融合数字孪生、大数据、人工智能、边缘计算、虚拟现实</w:t>
            </w:r>
            <w:r>
              <w:rPr>
                <w:rFonts w:ascii="Times New Roman" w:eastAsia="Times New Roman" w:hAnsi="Times New Roman" w:cs="Times New Roman"/>
                <w:spacing w:val="-2"/>
              </w:rPr>
              <w:t>/</w:t>
            </w:r>
            <w:r>
              <w:rPr>
                <w:spacing w:val="-2"/>
              </w:rPr>
              <w:t>增强现实（</w:t>
            </w:r>
            <w:r>
              <w:rPr>
                <w:rFonts w:ascii="Times New Roman" w:eastAsia="Times New Roman" w:hAnsi="Times New Roman" w:cs="Times New Roman"/>
                <w:spacing w:val="-2"/>
              </w:rPr>
              <w:t>VR/AR</w:t>
            </w:r>
            <w:r>
              <w:rPr>
                <w:spacing w:val="-2"/>
              </w:rPr>
              <w:t>）、</w:t>
            </w:r>
            <w:r>
              <w:rPr>
                <w:spacing w:val="-9"/>
              </w:rPr>
              <w:t xml:space="preserve"> </w:t>
            </w:r>
            <w:r>
              <w:rPr>
                <w:rFonts w:ascii="Times New Roman" w:eastAsia="Times New Roman" w:hAnsi="Times New Roman" w:cs="Times New Roman"/>
                <w:spacing w:val="-2"/>
              </w:rPr>
              <w:t>5G</w:t>
            </w:r>
            <w:r>
              <w:rPr>
                <w:spacing w:val="-2"/>
              </w:rPr>
              <w:t>、北斗、卫星互联网等新技术的智</w:t>
            </w:r>
            <w:r>
              <w:t xml:space="preserve"> </w:t>
            </w:r>
            <w:r>
              <w:rPr>
                <w:spacing w:val="-1"/>
              </w:rPr>
              <w:t>能工控系统、智能工作母机、协作机器人、自适应机器人等新型装备。</w:t>
            </w:r>
          </w:p>
        </w:tc>
      </w:tr>
    </w:tbl>
    <w:p>
      <w:pPr>
        <w:spacing w:before="81" w:line="221" w:lineRule="auto"/>
        <w:ind w:left="341"/>
        <w:rPr>
          <w:rFonts w:ascii="SimSun" w:eastAsia="SimSun" w:hAnsi="SimSun" w:cs="SimSun"/>
          <w:sz w:val="15"/>
          <w:szCs w:val="15"/>
        </w:rPr>
      </w:pPr>
      <w:r>
        <w:rPr>
          <w:rFonts w:ascii="SimSun" w:eastAsia="SimSun" w:hAnsi="SimSun" w:cs="SimSun"/>
          <w:spacing w:val="-4"/>
          <w:sz w:val="15"/>
          <w:szCs w:val="15"/>
        </w:rPr>
        <w:t>资料来源：</w:t>
      </w:r>
      <w:r>
        <w:rPr>
          <w:rFonts w:ascii="SimSun" w:eastAsia="SimSun" w:hAnsi="SimSun" w:cs="SimSun"/>
          <w:spacing w:val="-5"/>
          <w:sz w:val="15"/>
          <w:szCs w:val="15"/>
        </w:rPr>
        <w:t xml:space="preserve"> </w:t>
      </w:r>
      <w:r>
        <w:rPr>
          <w:rFonts w:ascii="SimSun" w:eastAsia="SimSun" w:hAnsi="SimSun" w:cs="SimSun"/>
          <w:spacing w:val="-4"/>
          <w:sz w:val="15"/>
          <w:szCs w:val="15"/>
        </w:rPr>
        <w:t>工信部《十四五智能制造发展规划》</w:t>
      </w:r>
    </w:p>
    <w:p>
      <w:pPr>
        <w:spacing w:line="221" w:lineRule="auto"/>
        <w:rPr>
          <w:rFonts w:ascii="SimSun" w:eastAsia="SimSun" w:hAnsi="SimSun" w:cs="SimSun"/>
          <w:sz w:val="15"/>
          <w:szCs w:val="15"/>
        </w:rPr>
        <w:sectPr>
          <w:headerReference w:type="default" r:id="rId44"/>
          <w:footerReference w:type="default" r:id="rId45"/>
          <w:type w:val="nextPage"/>
          <w:pgSz w:w="11907" w:h="16839"/>
          <w:pgMar w:top="1336" w:right="1093" w:bottom="1271" w:left="1104" w:header="1148" w:footer="1077" w:gutter="0"/>
          <w:pgNumType w:start="9"/>
          <w:cols w:space="708"/>
          <w:titlePg w:val="0"/>
        </w:sectPr>
      </w:pPr>
    </w:p>
    <w:p>
      <w:pPr>
        <w:spacing w:line="324" w:lineRule="auto"/>
        <w:rPr>
          <w:rFonts w:ascii="Arial"/>
          <w:sz w:val="21"/>
        </w:rPr>
      </w:pPr>
    </w:p>
    <w:p>
      <w:pPr>
        <w:spacing w:before="68" w:line="260" w:lineRule="auto"/>
        <w:ind w:left="35" w:right="68"/>
        <w:rPr>
          <w:rFonts w:ascii="SimHei" w:eastAsia="SimHei" w:hAnsi="SimHei" w:cs="SimHei"/>
          <w:sz w:val="21"/>
          <w:szCs w:val="21"/>
        </w:rPr>
      </w:pPr>
      <w:r>
        <w:rPr>
          <w:rFonts w:ascii="SimHei" w:eastAsia="SimHei" w:hAnsi="SimHei" w:cs="SimHei"/>
          <w:spacing w:val="-1"/>
          <w:sz w:val="21"/>
          <w:szCs w:val="21"/>
        </w:rPr>
        <w:t>机械制造企业发展需要大量技术、设备和资金</w:t>
      </w:r>
      <w:r>
        <w:rPr>
          <w:rFonts w:ascii="SimHei" w:eastAsia="SimHei" w:hAnsi="SimHei" w:cs="SimHei"/>
          <w:spacing w:val="-2"/>
          <w:sz w:val="21"/>
          <w:szCs w:val="21"/>
        </w:rPr>
        <w:t>支撑，</w:t>
      </w:r>
      <w:r>
        <w:rPr>
          <w:rFonts w:ascii="Times New Roman" w:eastAsia="Times New Roman" w:hAnsi="Times New Roman" w:cs="Times New Roman"/>
          <w:spacing w:val="-2"/>
          <w:sz w:val="21"/>
          <w:szCs w:val="21"/>
        </w:rPr>
        <w:t xml:space="preserve">2022 </w:t>
      </w:r>
      <w:r>
        <w:rPr>
          <w:rFonts w:ascii="SimHei" w:eastAsia="SimHei" w:hAnsi="SimHei" w:cs="SimHei"/>
          <w:spacing w:val="-2"/>
          <w:sz w:val="21"/>
          <w:szCs w:val="21"/>
        </w:rPr>
        <w:t>年以来机械企业销售回款整体减慢，负债规模上</w:t>
      </w:r>
      <w:r>
        <w:rPr>
          <w:rFonts w:ascii="SimHei" w:eastAsia="SimHei" w:hAnsi="SimHei" w:cs="SimHei"/>
          <w:sz w:val="21"/>
          <w:szCs w:val="21"/>
        </w:rPr>
        <w:t xml:space="preserve"> </w:t>
      </w:r>
      <w:r>
        <w:rPr>
          <w:rFonts w:ascii="SimHei" w:eastAsia="SimHei" w:hAnsi="SimHei" w:cs="SimHei"/>
          <w:sz w:val="21"/>
          <w:szCs w:val="21"/>
        </w:rPr>
        <w:t>升。国家投资基金正通过战略投资增强机械企</w:t>
      </w:r>
      <w:r>
        <w:rPr>
          <w:rFonts w:ascii="SimHei" w:eastAsia="SimHei" w:hAnsi="SimHei" w:cs="SimHei"/>
          <w:spacing w:val="-1"/>
          <w:sz w:val="21"/>
          <w:szCs w:val="21"/>
        </w:rPr>
        <w:t>业资金实力及推动行业加快转型。</w:t>
      </w:r>
    </w:p>
    <w:p>
      <w:pPr>
        <w:spacing w:before="206" w:line="280" w:lineRule="auto"/>
        <w:ind w:left="36"/>
        <w:jc w:val="both"/>
        <w:rPr>
          <w:rFonts w:ascii="SimSun" w:eastAsia="SimSun" w:hAnsi="SimSun" w:cs="SimSun"/>
          <w:sz w:val="21"/>
          <w:szCs w:val="21"/>
        </w:rPr>
      </w:pPr>
      <w:r>
        <w:rPr>
          <w:rFonts w:ascii="SimSun" w:eastAsia="SimSun" w:hAnsi="SimSun" w:cs="SimSun"/>
          <w:sz w:val="21"/>
          <w:szCs w:val="21"/>
        </w:rPr>
        <w:t>机械行业属于资本密集型产业，具有投资量大、资</w:t>
      </w:r>
      <w:r>
        <w:rPr>
          <w:rFonts w:ascii="SimSun" w:eastAsia="SimSun" w:hAnsi="SimSun" w:cs="SimSun"/>
          <w:spacing w:val="-1"/>
          <w:sz w:val="21"/>
          <w:szCs w:val="21"/>
        </w:rPr>
        <w:t>金周转较慢及投资周期长等特点。机械企业发展需要大</w:t>
      </w:r>
      <w:r>
        <w:rPr>
          <w:rFonts w:ascii="SimSun" w:eastAsia="SimSun" w:hAnsi="SimSun" w:cs="SimSun"/>
          <w:sz w:val="21"/>
          <w:szCs w:val="21"/>
        </w:rPr>
        <w:t xml:space="preserve"> </w:t>
      </w:r>
      <w:r>
        <w:rPr>
          <w:rFonts w:ascii="SimSun" w:eastAsia="SimSun" w:hAnsi="SimSun" w:cs="SimSun"/>
          <w:sz w:val="21"/>
          <w:szCs w:val="21"/>
        </w:rPr>
        <w:t>量技术设备和资金支撑。资金实力雄厚的企业，不</w:t>
      </w:r>
      <w:r>
        <w:rPr>
          <w:rFonts w:ascii="SimSun" w:eastAsia="SimSun" w:hAnsi="SimSun" w:cs="SimSun"/>
          <w:spacing w:val="-1"/>
          <w:sz w:val="21"/>
          <w:szCs w:val="21"/>
        </w:rPr>
        <w:t>但能率先布局及改造先进产能，更可以抵御周期性流动</w:t>
      </w:r>
      <w:r>
        <w:rPr>
          <w:rFonts w:ascii="SimSun" w:eastAsia="SimSun" w:hAnsi="SimSun" w:cs="SimSun"/>
          <w:sz w:val="21"/>
          <w:szCs w:val="21"/>
        </w:rPr>
        <w:t xml:space="preserve"> </w:t>
      </w:r>
      <w:r>
        <w:rPr>
          <w:rFonts w:ascii="SimSun" w:eastAsia="SimSun" w:hAnsi="SimSun" w:cs="SimSun"/>
          <w:spacing w:val="1"/>
          <w:sz w:val="21"/>
          <w:szCs w:val="21"/>
        </w:rPr>
        <w:t>性压力，获取更高的市场份额及实现规模化经营。机械行业重资产的特征导致其对外部融资依赖度</w:t>
      </w:r>
      <w:r>
        <w:rPr>
          <w:rFonts w:ascii="SimSun" w:eastAsia="SimSun" w:hAnsi="SimSun" w:cs="SimSun"/>
          <w:sz w:val="21"/>
          <w:szCs w:val="21"/>
        </w:rPr>
        <w:t xml:space="preserve">较高。 </w:t>
      </w:r>
      <w:r>
        <w:rPr>
          <w:rFonts w:ascii="SimSun" w:eastAsia="SimSun" w:hAnsi="SimSun" w:cs="SimSun"/>
          <w:spacing w:val="-1"/>
          <w:sz w:val="21"/>
          <w:szCs w:val="21"/>
        </w:rPr>
        <w:t>截至</w:t>
      </w:r>
      <w:r>
        <w:rPr>
          <w:rFonts w:ascii="SimSun" w:eastAsia="SimSun" w:hAnsi="SimSun" w:cs="SimSun"/>
          <w:spacing w:val="-48"/>
          <w:sz w:val="21"/>
          <w:szCs w:val="21"/>
        </w:rPr>
        <w:t xml:space="preserve"> </w:t>
      </w:r>
      <w:r>
        <w:rPr>
          <w:rFonts w:ascii="Times New Roman" w:eastAsia="Times New Roman" w:hAnsi="Times New Roman" w:cs="Times New Roman"/>
          <w:spacing w:val="-1"/>
          <w:sz w:val="21"/>
          <w:szCs w:val="21"/>
        </w:rPr>
        <w:t xml:space="preserve">2023 </w:t>
      </w:r>
      <w:r>
        <w:rPr>
          <w:rFonts w:ascii="SimSun" w:eastAsia="SimSun" w:hAnsi="SimSun" w:cs="SimSun"/>
          <w:spacing w:val="-1"/>
          <w:sz w:val="21"/>
          <w:szCs w:val="21"/>
        </w:rPr>
        <w:t>年</w:t>
      </w:r>
      <w:r>
        <w:rPr>
          <w:rFonts w:ascii="SimSun" w:eastAsia="SimSun" w:hAnsi="SimSun" w:cs="SimSun"/>
          <w:spacing w:val="-43"/>
          <w:sz w:val="21"/>
          <w:szCs w:val="21"/>
        </w:rPr>
        <w:t xml:space="preserve"> </w:t>
      </w:r>
      <w:r>
        <w:rPr>
          <w:rFonts w:ascii="Times New Roman" w:eastAsia="Times New Roman" w:hAnsi="Times New Roman" w:cs="Times New Roman"/>
          <w:spacing w:val="-1"/>
          <w:sz w:val="21"/>
          <w:szCs w:val="21"/>
        </w:rPr>
        <w:t xml:space="preserve">6 </w:t>
      </w:r>
      <w:r>
        <w:rPr>
          <w:rFonts w:ascii="SimSun" w:eastAsia="SimSun" w:hAnsi="SimSun" w:cs="SimSun"/>
          <w:spacing w:val="-1"/>
          <w:sz w:val="21"/>
          <w:szCs w:val="21"/>
        </w:rPr>
        <w:t>月末机械工业负债总额同比增长</w:t>
      </w:r>
      <w:r>
        <w:rPr>
          <w:rFonts w:ascii="SimSun" w:eastAsia="SimSun" w:hAnsi="SimSun" w:cs="SimSun"/>
          <w:spacing w:val="-27"/>
          <w:sz w:val="21"/>
          <w:szCs w:val="21"/>
        </w:rPr>
        <w:t xml:space="preserve"> </w:t>
      </w:r>
      <w:r>
        <w:rPr>
          <w:rFonts w:ascii="Times New Roman" w:eastAsia="Times New Roman" w:hAnsi="Times New Roman" w:cs="Times New Roman"/>
          <w:spacing w:val="-1"/>
          <w:sz w:val="21"/>
          <w:szCs w:val="21"/>
        </w:rPr>
        <w:t>13.9%</w:t>
      </w:r>
      <w:r>
        <w:rPr>
          <w:rFonts w:ascii="SimSun" w:eastAsia="SimSun" w:hAnsi="SimSun" w:cs="SimSun"/>
          <w:spacing w:val="-1"/>
          <w:sz w:val="21"/>
          <w:szCs w:val="21"/>
        </w:rPr>
        <w:t>，资产负</w:t>
      </w:r>
      <w:r>
        <w:rPr>
          <w:rFonts w:ascii="SimSun" w:eastAsia="SimSun" w:hAnsi="SimSun" w:cs="SimSun"/>
          <w:spacing w:val="-2"/>
          <w:sz w:val="21"/>
          <w:szCs w:val="21"/>
        </w:rPr>
        <w:t>债率升至</w:t>
      </w:r>
      <w:r>
        <w:rPr>
          <w:rFonts w:ascii="SimSun" w:eastAsia="SimSun" w:hAnsi="SimSun" w:cs="SimSun"/>
          <w:spacing w:val="-42"/>
          <w:sz w:val="21"/>
          <w:szCs w:val="21"/>
        </w:rPr>
        <w:t xml:space="preserve"> </w:t>
      </w:r>
      <w:r>
        <w:rPr>
          <w:rFonts w:ascii="Times New Roman" w:eastAsia="Times New Roman" w:hAnsi="Times New Roman" w:cs="Times New Roman"/>
          <w:spacing w:val="-2"/>
          <w:sz w:val="21"/>
          <w:szCs w:val="21"/>
        </w:rPr>
        <w:t>58.8%</w:t>
      </w:r>
      <w:r>
        <w:rPr>
          <w:rFonts w:ascii="SimSun" w:eastAsia="SimSun" w:hAnsi="SimSun" w:cs="SimSun"/>
          <w:spacing w:val="-2"/>
          <w:sz w:val="21"/>
          <w:szCs w:val="21"/>
        </w:rPr>
        <w:t>。</w:t>
      </w:r>
    </w:p>
    <w:p>
      <w:pPr>
        <w:spacing w:before="213" w:line="283" w:lineRule="auto"/>
        <w:ind w:left="36" w:right="68" w:hanging="3"/>
        <w:jc w:val="both"/>
        <w:rPr>
          <w:rFonts w:ascii="SimSun" w:eastAsia="SimSun" w:hAnsi="SimSun" w:cs="SimSun"/>
          <w:sz w:val="21"/>
          <w:szCs w:val="21"/>
        </w:rPr>
      </w:pPr>
      <w:r>
        <w:rPr>
          <w:rFonts w:ascii="Times New Roman" w:eastAsia="Times New Roman" w:hAnsi="Times New Roman" w:cs="Times New Roman"/>
          <w:spacing w:val="-3"/>
          <w:sz w:val="21"/>
          <w:szCs w:val="21"/>
        </w:rPr>
        <w:t xml:space="preserve">2022 </w:t>
      </w:r>
      <w:r>
        <w:rPr>
          <w:rFonts w:ascii="SimSun" w:eastAsia="SimSun" w:hAnsi="SimSun" w:cs="SimSun"/>
          <w:spacing w:val="-3"/>
          <w:sz w:val="21"/>
          <w:szCs w:val="21"/>
        </w:rPr>
        <w:t>年以来机械企业销售回款整体减慢。根据国家统计局数据，</w:t>
      </w:r>
      <w:r>
        <w:rPr>
          <w:rFonts w:ascii="SimSun" w:eastAsia="SimSun" w:hAnsi="SimSun" w:cs="SimSun"/>
          <w:spacing w:val="-36"/>
          <w:sz w:val="21"/>
          <w:szCs w:val="21"/>
        </w:rPr>
        <w:t xml:space="preserve"> </w:t>
      </w:r>
      <w:r>
        <w:rPr>
          <w:rFonts w:ascii="SimSun" w:eastAsia="SimSun" w:hAnsi="SimSun" w:cs="SimSun"/>
          <w:spacing w:val="-3"/>
          <w:sz w:val="21"/>
          <w:szCs w:val="21"/>
        </w:rPr>
        <w:t>截至</w:t>
      </w:r>
      <w:r>
        <w:rPr>
          <w:rFonts w:ascii="SimSun" w:eastAsia="SimSun" w:hAnsi="SimSun" w:cs="SimSun"/>
          <w:spacing w:val="-48"/>
          <w:sz w:val="21"/>
          <w:szCs w:val="21"/>
        </w:rPr>
        <w:t xml:space="preserve"> </w:t>
      </w:r>
      <w:r>
        <w:rPr>
          <w:rFonts w:ascii="Times New Roman" w:eastAsia="Times New Roman" w:hAnsi="Times New Roman" w:cs="Times New Roman"/>
          <w:spacing w:val="-3"/>
          <w:sz w:val="21"/>
          <w:szCs w:val="21"/>
        </w:rPr>
        <w:t xml:space="preserve">2022 </w:t>
      </w:r>
      <w:r>
        <w:rPr>
          <w:rFonts w:ascii="SimSun" w:eastAsia="SimSun" w:hAnsi="SimSun" w:cs="SimSun"/>
          <w:spacing w:val="-3"/>
          <w:sz w:val="21"/>
          <w:szCs w:val="21"/>
        </w:rPr>
        <w:t>年末机械工业应收账款总额</w:t>
      </w:r>
      <w:r>
        <w:rPr>
          <w:rFonts w:ascii="SimSun" w:eastAsia="SimSun" w:hAnsi="SimSun" w:cs="SimSun"/>
          <w:spacing w:val="-45"/>
          <w:sz w:val="21"/>
          <w:szCs w:val="21"/>
        </w:rPr>
        <w:t xml:space="preserve"> </w:t>
      </w:r>
      <w:r>
        <w:rPr>
          <w:rFonts w:ascii="Times New Roman" w:eastAsia="Times New Roman" w:hAnsi="Times New Roman" w:cs="Times New Roman"/>
          <w:spacing w:val="-3"/>
          <w:sz w:val="21"/>
          <w:szCs w:val="21"/>
        </w:rPr>
        <w:t>6.9</w:t>
      </w:r>
      <w:r>
        <w:rPr>
          <w:rFonts w:ascii="Times New Roman" w:eastAsia="Times New Roman" w:hAnsi="Times New Roman" w:cs="Times New Roman"/>
          <w:sz w:val="21"/>
          <w:szCs w:val="21"/>
        </w:rPr>
        <w:t xml:space="preserve"> </w:t>
      </w:r>
      <w:r>
        <w:rPr>
          <w:rFonts w:ascii="SimSun" w:eastAsia="SimSun" w:hAnsi="SimSun" w:cs="SimSun"/>
          <w:spacing w:val="-3"/>
          <w:sz w:val="21"/>
          <w:szCs w:val="21"/>
        </w:rPr>
        <w:t>万亿元，同比增长</w:t>
      </w:r>
      <w:r>
        <w:rPr>
          <w:rFonts w:ascii="SimSun" w:eastAsia="SimSun" w:hAnsi="SimSun" w:cs="SimSun"/>
          <w:spacing w:val="-27"/>
          <w:sz w:val="21"/>
          <w:szCs w:val="21"/>
        </w:rPr>
        <w:t xml:space="preserve"> </w:t>
      </w:r>
      <w:r>
        <w:rPr>
          <w:rFonts w:ascii="Times New Roman" w:eastAsia="Times New Roman" w:hAnsi="Times New Roman" w:cs="Times New Roman"/>
          <w:spacing w:val="-3"/>
          <w:sz w:val="21"/>
          <w:szCs w:val="21"/>
        </w:rPr>
        <w:t>17.7%</w:t>
      </w:r>
      <w:r>
        <w:rPr>
          <w:rFonts w:ascii="SimSun" w:eastAsia="SimSun" w:hAnsi="SimSun" w:cs="SimSun"/>
          <w:spacing w:val="-3"/>
          <w:sz w:val="21"/>
          <w:szCs w:val="21"/>
        </w:rPr>
        <w:t>，此外专项调查显示，</w:t>
      </w:r>
      <w:r>
        <w:rPr>
          <w:rFonts w:ascii="Times New Roman" w:eastAsia="Times New Roman" w:hAnsi="Times New Roman" w:cs="Times New Roman"/>
          <w:spacing w:val="-3"/>
          <w:sz w:val="21"/>
          <w:szCs w:val="21"/>
        </w:rPr>
        <w:t xml:space="preserve">2022 </w:t>
      </w:r>
      <w:r>
        <w:rPr>
          <w:rFonts w:ascii="SimSun" w:eastAsia="SimSun" w:hAnsi="SimSun" w:cs="SimSun"/>
          <w:spacing w:val="-3"/>
          <w:sz w:val="21"/>
          <w:szCs w:val="21"/>
        </w:rPr>
        <w:t>年</w:t>
      </w:r>
      <w:r>
        <w:rPr>
          <w:rFonts w:ascii="SimSun" w:eastAsia="SimSun" w:hAnsi="SimSun" w:cs="SimSun"/>
          <w:spacing w:val="-42"/>
          <w:sz w:val="21"/>
          <w:szCs w:val="21"/>
        </w:rPr>
        <w:t xml:space="preserve"> </w:t>
      </w:r>
      <w:r>
        <w:rPr>
          <w:rFonts w:ascii="Times New Roman" w:eastAsia="Times New Roman" w:hAnsi="Times New Roman" w:cs="Times New Roman"/>
          <w:spacing w:val="-3"/>
          <w:sz w:val="21"/>
          <w:szCs w:val="21"/>
        </w:rPr>
        <w:t>53%</w:t>
      </w:r>
      <w:r>
        <w:rPr>
          <w:rFonts w:ascii="SimSun" w:eastAsia="SimSun" w:hAnsi="SimSun" w:cs="SimSun"/>
          <w:spacing w:val="-3"/>
          <w:sz w:val="21"/>
          <w:szCs w:val="21"/>
        </w:rPr>
        <w:t>的企业应收票据</w:t>
      </w:r>
      <w:r>
        <w:rPr>
          <w:rFonts w:ascii="SimSun" w:eastAsia="SimSun" w:hAnsi="SimSun" w:cs="SimSun"/>
          <w:spacing w:val="-4"/>
          <w:sz w:val="21"/>
          <w:szCs w:val="21"/>
        </w:rPr>
        <w:t>总额上涨，</w:t>
      </w:r>
      <w:r>
        <w:rPr>
          <w:rFonts w:ascii="SimSun" w:eastAsia="SimSun" w:hAnsi="SimSun" w:cs="SimSun"/>
          <w:spacing w:val="-34"/>
          <w:sz w:val="21"/>
          <w:szCs w:val="21"/>
        </w:rPr>
        <w:t xml:space="preserve"> </w:t>
      </w:r>
      <w:r>
        <w:rPr>
          <w:rFonts w:ascii="SimSun" w:eastAsia="SimSun" w:hAnsi="SimSun" w:cs="SimSun"/>
          <w:spacing w:val="-4"/>
          <w:sz w:val="21"/>
          <w:szCs w:val="21"/>
        </w:rPr>
        <w:t>企业资金周转压力</w:t>
      </w:r>
      <w:r>
        <w:rPr>
          <w:rFonts w:ascii="SimSun" w:eastAsia="SimSun" w:hAnsi="SimSun" w:cs="SimSun"/>
          <w:sz w:val="21"/>
          <w:szCs w:val="21"/>
        </w:rPr>
        <w:t xml:space="preserve"> </w:t>
      </w:r>
      <w:r>
        <w:rPr>
          <w:rFonts w:ascii="SimSun" w:eastAsia="SimSun" w:hAnsi="SimSun" w:cs="SimSun"/>
          <w:spacing w:val="-4"/>
          <w:sz w:val="21"/>
          <w:szCs w:val="21"/>
        </w:rPr>
        <w:t xml:space="preserve">较大。 </w:t>
      </w:r>
      <w:r>
        <w:rPr>
          <w:rFonts w:ascii="Times New Roman" w:eastAsia="Times New Roman" w:hAnsi="Times New Roman" w:cs="Times New Roman"/>
          <w:spacing w:val="-4"/>
          <w:sz w:val="21"/>
          <w:szCs w:val="21"/>
        </w:rPr>
        <w:t>2022</w:t>
      </w:r>
      <w:r>
        <w:rPr>
          <w:rFonts w:ascii="Times New Roman" w:eastAsia="Times New Roman" w:hAnsi="Times New Roman" w:cs="Times New Roman"/>
          <w:spacing w:val="15"/>
          <w:sz w:val="21"/>
          <w:szCs w:val="21"/>
        </w:rPr>
        <w:t xml:space="preserve"> </w:t>
      </w:r>
      <w:r>
        <w:rPr>
          <w:rFonts w:ascii="SimSun" w:eastAsia="SimSun" w:hAnsi="SimSun" w:cs="SimSun"/>
          <w:spacing w:val="-4"/>
          <w:sz w:val="21"/>
          <w:szCs w:val="21"/>
        </w:rPr>
        <w:t>年末机械工业流动资产周转率仅为</w:t>
      </w:r>
      <w:r>
        <w:rPr>
          <w:rFonts w:ascii="SimSun" w:eastAsia="SimSun" w:hAnsi="SimSun" w:cs="SimSun"/>
          <w:spacing w:val="-23"/>
          <w:sz w:val="21"/>
          <w:szCs w:val="21"/>
        </w:rPr>
        <w:t xml:space="preserve"> </w:t>
      </w:r>
      <w:r>
        <w:rPr>
          <w:rFonts w:ascii="Times New Roman" w:eastAsia="Times New Roman" w:hAnsi="Times New Roman" w:cs="Times New Roman"/>
          <w:spacing w:val="-4"/>
          <w:sz w:val="21"/>
          <w:szCs w:val="21"/>
        </w:rPr>
        <w:t>1.36</w:t>
      </w:r>
      <w:r>
        <w:rPr>
          <w:rFonts w:ascii="Times New Roman" w:eastAsia="Times New Roman" w:hAnsi="Times New Roman" w:cs="Times New Roman"/>
          <w:spacing w:val="19"/>
          <w:w w:val="101"/>
          <w:sz w:val="21"/>
          <w:szCs w:val="21"/>
        </w:rPr>
        <w:t xml:space="preserve"> </w:t>
      </w:r>
      <w:r>
        <w:rPr>
          <w:rFonts w:ascii="SimSun" w:eastAsia="SimSun" w:hAnsi="SimSun" w:cs="SimSun"/>
          <w:spacing w:val="-4"/>
          <w:sz w:val="21"/>
          <w:szCs w:val="21"/>
        </w:rPr>
        <w:t>次，企</w:t>
      </w:r>
      <w:r>
        <w:rPr>
          <w:rFonts w:ascii="SimSun" w:eastAsia="SimSun" w:hAnsi="SimSun" w:cs="SimSun"/>
          <w:spacing w:val="-5"/>
          <w:sz w:val="21"/>
          <w:szCs w:val="21"/>
        </w:rPr>
        <w:t>业回款难度上升。</w:t>
      </w:r>
      <w:r>
        <w:rPr>
          <w:rFonts w:ascii="SimSun" w:eastAsia="SimSun" w:hAnsi="SimSun" w:cs="SimSun"/>
          <w:spacing w:val="-35"/>
          <w:sz w:val="21"/>
          <w:szCs w:val="21"/>
        </w:rPr>
        <w:t xml:space="preserve"> </w:t>
      </w:r>
      <w:r>
        <w:rPr>
          <w:rFonts w:ascii="Times New Roman" w:eastAsia="Times New Roman" w:hAnsi="Times New Roman" w:cs="Times New Roman"/>
          <w:spacing w:val="-5"/>
          <w:sz w:val="21"/>
          <w:szCs w:val="21"/>
        </w:rPr>
        <w:t>2023</w:t>
      </w:r>
      <w:r>
        <w:rPr>
          <w:rFonts w:ascii="Times New Roman" w:eastAsia="Times New Roman" w:hAnsi="Times New Roman" w:cs="Times New Roman"/>
          <w:spacing w:val="16"/>
          <w:w w:val="101"/>
          <w:sz w:val="21"/>
          <w:szCs w:val="21"/>
        </w:rPr>
        <w:t xml:space="preserve"> </w:t>
      </w:r>
      <w:r>
        <w:rPr>
          <w:rFonts w:ascii="SimSun" w:eastAsia="SimSun" w:hAnsi="SimSun" w:cs="SimSun"/>
          <w:spacing w:val="-5"/>
          <w:sz w:val="21"/>
          <w:szCs w:val="21"/>
        </w:rPr>
        <w:t>年以来账款回收难问题</w:t>
      </w:r>
      <w:r>
        <w:rPr>
          <w:rFonts w:ascii="SimSun" w:eastAsia="SimSun" w:hAnsi="SimSun" w:cs="SimSun"/>
          <w:sz w:val="21"/>
          <w:szCs w:val="21"/>
        </w:rPr>
        <w:t xml:space="preserve"> </w:t>
      </w:r>
      <w:r>
        <w:rPr>
          <w:rFonts w:ascii="SimSun" w:eastAsia="SimSun" w:hAnsi="SimSun" w:cs="SimSun"/>
          <w:spacing w:val="-7"/>
          <w:sz w:val="21"/>
          <w:szCs w:val="21"/>
        </w:rPr>
        <w:t>依然存在，</w:t>
      </w:r>
      <w:r>
        <w:rPr>
          <w:rFonts w:ascii="SimSun" w:eastAsia="SimSun" w:hAnsi="SimSun" w:cs="SimSun"/>
          <w:spacing w:val="-23"/>
          <w:sz w:val="21"/>
          <w:szCs w:val="21"/>
        </w:rPr>
        <w:t xml:space="preserve"> </w:t>
      </w:r>
      <w:r>
        <w:rPr>
          <w:rFonts w:ascii="SimSun" w:eastAsia="SimSun" w:hAnsi="SimSun" w:cs="SimSun"/>
          <w:spacing w:val="-7"/>
          <w:sz w:val="21"/>
          <w:szCs w:val="21"/>
        </w:rPr>
        <w:t>截至</w:t>
      </w:r>
      <w:r>
        <w:rPr>
          <w:rFonts w:ascii="SimSun" w:eastAsia="SimSun" w:hAnsi="SimSun" w:cs="SimSun"/>
          <w:spacing w:val="-31"/>
          <w:sz w:val="21"/>
          <w:szCs w:val="21"/>
        </w:rPr>
        <w:t xml:space="preserve"> </w:t>
      </w:r>
      <w:r>
        <w:rPr>
          <w:rFonts w:ascii="Times New Roman" w:eastAsia="Times New Roman" w:hAnsi="Times New Roman" w:cs="Times New Roman"/>
          <w:spacing w:val="-7"/>
          <w:sz w:val="21"/>
          <w:szCs w:val="21"/>
        </w:rPr>
        <w:t>6</w:t>
      </w:r>
      <w:r>
        <w:rPr>
          <w:rFonts w:ascii="Times New Roman" w:eastAsia="Times New Roman" w:hAnsi="Times New Roman" w:cs="Times New Roman"/>
          <w:spacing w:val="23"/>
          <w:sz w:val="21"/>
          <w:szCs w:val="21"/>
        </w:rPr>
        <w:t xml:space="preserve"> </w:t>
      </w:r>
      <w:r>
        <w:rPr>
          <w:rFonts w:ascii="SimSun" w:eastAsia="SimSun" w:hAnsi="SimSun" w:cs="SimSun"/>
          <w:spacing w:val="-7"/>
          <w:sz w:val="21"/>
          <w:szCs w:val="21"/>
        </w:rPr>
        <w:t>月末， 机械工业应收账款总额为</w:t>
      </w:r>
      <w:r>
        <w:rPr>
          <w:rFonts w:ascii="SimSun" w:eastAsia="SimSun" w:hAnsi="SimSun" w:cs="SimSun"/>
          <w:spacing w:val="-35"/>
          <w:sz w:val="21"/>
          <w:szCs w:val="21"/>
        </w:rPr>
        <w:t xml:space="preserve"> </w:t>
      </w:r>
      <w:r>
        <w:rPr>
          <w:rFonts w:ascii="Times New Roman" w:eastAsia="Times New Roman" w:hAnsi="Times New Roman" w:cs="Times New Roman"/>
          <w:spacing w:val="-7"/>
          <w:sz w:val="21"/>
          <w:szCs w:val="21"/>
        </w:rPr>
        <w:t>7.7</w:t>
      </w:r>
      <w:r>
        <w:rPr>
          <w:rFonts w:ascii="Times New Roman" w:eastAsia="Times New Roman" w:hAnsi="Times New Roman" w:cs="Times New Roman"/>
          <w:spacing w:val="26"/>
          <w:sz w:val="21"/>
          <w:szCs w:val="21"/>
        </w:rPr>
        <w:t xml:space="preserve"> </w:t>
      </w:r>
      <w:r>
        <w:rPr>
          <w:rFonts w:ascii="SimSun" w:eastAsia="SimSun" w:hAnsi="SimSun" w:cs="SimSun"/>
          <w:spacing w:val="-7"/>
          <w:sz w:val="21"/>
          <w:szCs w:val="21"/>
        </w:rPr>
        <w:t xml:space="preserve">万亿元， 同比增长 </w:t>
      </w:r>
      <w:r>
        <w:rPr>
          <w:rFonts w:ascii="Times New Roman" w:eastAsia="Times New Roman" w:hAnsi="Times New Roman" w:cs="Times New Roman"/>
          <w:spacing w:val="-7"/>
          <w:sz w:val="21"/>
          <w:szCs w:val="21"/>
        </w:rPr>
        <w:t>19.7%</w:t>
      </w:r>
      <w:r>
        <w:rPr>
          <w:rFonts w:ascii="SimSun" w:eastAsia="SimSun" w:hAnsi="SimSun" w:cs="SimSun"/>
          <w:spacing w:val="-7"/>
          <w:sz w:val="21"/>
          <w:szCs w:val="21"/>
        </w:rPr>
        <w:t>，机械</w:t>
      </w:r>
      <w:r>
        <w:rPr>
          <w:rFonts w:ascii="SimSun" w:eastAsia="SimSun" w:hAnsi="SimSun" w:cs="SimSun"/>
          <w:spacing w:val="-8"/>
          <w:sz w:val="21"/>
          <w:szCs w:val="21"/>
        </w:rPr>
        <w:t>工业应收账款平均</w:t>
      </w:r>
      <w:r>
        <w:rPr>
          <w:rFonts w:ascii="SimSun" w:eastAsia="SimSun" w:hAnsi="SimSun" w:cs="SimSun"/>
          <w:sz w:val="21"/>
          <w:szCs w:val="21"/>
        </w:rPr>
        <w:t xml:space="preserve"> </w:t>
      </w:r>
      <w:r>
        <w:rPr>
          <w:rFonts w:ascii="SimSun" w:eastAsia="SimSun" w:hAnsi="SimSun" w:cs="SimSun"/>
          <w:spacing w:val="-4"/>
          <w:sz w:val="21"/>
          <w:szCs w:val="21"/>
        </w:rPr>
        <w:t>回收期为</w:t>
      </w:r>
      <w:r>
        <w:rPr>
          <w:rFonts w:ascii="SimSun" w:eastAsia="SimSun" w:hAnsi="SimSun" w:cs="SimSun"/>
          <w:spacing w:val="-27"/>
          <w:sz w:val="21"/>
          <w:szCs w:val="21"/>
        </w:rPr>
        <w:t xml:space="preserve"> </w:t>
      </w:r>
      <w:r>
        <w:rPr>
          <w:rFonts w:ascii="Times New Roman" w:eastAsia="Times New Roman" w:hAnsi="Times New Roman" w:cs="Times New Roman"/>
          <w:spacing w:val="-4"/>
          <w:sz w:val="21"/>
          <w:szCs w:val="21"/>
        </w:rPr>
        <w:t>96</w:t>
      </w:r>
      <w:r>
        <w:rPr>
          <w:rFonts w:ascii="Times New Roman" w:eastAsia="Times New Roman" w:hAnsi="Times New Roman" w:cs="Times New Roman"/>
          <w:spacing w:val="13"/>
          <w:sz w:val="21"/>
          <w:szCs w:val="21"/>
        </w:rPr>
        <w:t xml:space="preserve"> </w:t>
      </w:r>
      <w:r>
        <w:rPr>
          <w:rFonts w:ascii="SimSun" w:eastAsia="SimSun" w:hAnsi="SimSun" w:cs="SimSun"/>
          <w:spacing w:val="-4"/>
          <w:sz w:val="21"/>
          <w:szCs w:val="21"/>
        </w:rPr>
        <w:t>天，较上年同期多</w:t>
      </w:r>
      <w:r>
        <w:rPr>
          <w:rFonts w:ascii="SimSun" w:eastAsia="SimSun" w:hAnsi="SimSun" w:cs="SimSun"/>
          <w:spacing w:val="-44"/>
          <w:sz w:val="21"/>
          <w:szCs w:val="21"/>
        </w:rPr>
        <w:t xml:space="preserve"> </w:t>
      </w:r>
      <w:r>
        <w:rPr>
          <w:rFonts w:ascii="Times New Roman" w:eastAsia="Times New Roman" w:hAnsi="Times New Roman" w:cs="Times New Roman"/>
          <w:spacing w:val="-4"/>
          <w:sz w:val="21"/>
          <w:szCs w:val="21"/>
        </w:rPr>
        <w:t>7.3</w:t>
      </w:r>
      <w:r>
        <w:rPr>
          <w:rFonts w:ascii="Times New Roman" w:eastAsia="Times New Roman" w:hAnsi="Times New Roman" w:cs="Times New Roman"/>
          <w:spacing w:val="12"/>
          <w:sz w:val="21"/>
          <w:szCs w:val="21"/>
        </w:rPr>
        <w:t xml:space="preserve"> </w:t>
      </w:r>
      <w:r>
        <w:rPr>
          <w:rFonts w:ascii="SimSun" w:eastAsia="SimSun" w:hAnsi="SimSun" w:cs="SimSun"/>
          <w:spacing w:val="-4"/>
          <w:sz w:val="21"/>
          <w:szCs w:val="21"/>
        </w:rPr>
        <w:t>天。</w:t>
      </w:r>
    </w:p>
    <w:p>
      <w:pPr>
        <w:spacing w:before="211" w:line="283" w:lineRule="auto"/>
        <w:ind w:left="36" w:right="66"/>
        <w:jc w:val="both"/>
        <w:rPr>
          <w:rFonts w:ascii="SimSun" w:eastAsia="SimSun" w:hAnsi="SimSun" w:cs="SimSun"/>
          <w:sz w:val="21"/>
          <w:szCs w:val="21"/>
        </w:rPr>
      </w:pPr>
      <w:r>
        <w:rPr>
          <w:rFonts w:ascii="SimSun" w:eastAsia="SimSun" w:hAnsi="SimSun" w:cs="SimSun"/>
          <w:spacing w:val="-2"/>
          <w:sz w:val="21"/>
          <w:szCs w:val="21"/>
        </w:rPr>
        <w:t>近年来机械行业保持较高的融资需求，根据</w:t>
      </w:r>
      <w:r>
        <w:rPr>
          <w:rFonts w:ascii="SimSun" w:eastAsia="SimSun" w:hAnsi="SimSun" w:cs="SimSun"/>
          <w:spacing w:val="-49"/>
          <w:sz w:val="21"/>
          <w:szCs w:val="21"/>
        </w:rPr>
        <w:t xml:space="preserve"> </w:t>
      </w:r>
      <w:r>
        <w:rPr>
          <w:rFonts w:ascii="Times New Roman" w:eastAsia="Times New Roman" w:hAnsi="Times New Roman" w:cs="Times New Roman"/>
          <w:spacing w:val="-2"/>
          <w:sz w:val="21"/>
          <w:szCs w:val="21"/>
        </w:rPr>
        <w:t>Wind</w:t>
      </w:r>
      <w:r>
        <w:rPr>
          <w:rFonts w:ascii="Times New Roman" w:eastAsia="Times New Roman" w:hAnsi="Times New Roman" w:cs="Times New Roman"/>
          <w:spacing w:val="13"/>
          <w:sz w:val="21"/>
          <w:szCs w:val="21"/>
        </w:rPr>
        <w:t xml:space="preserve"> </w:t>
      </w:r>
      <w:r>
        <w:rPr>
          <w:rFonts w:ascii="SimSun" w:eastAsia="SimSun" w:hAnsi="SimSun" w:cs="SimSun"/>
          <w:spacing w:val="-2"/>
          <w:sz w:val="21"/>
          <w:szCs w:val="21"/>
        </w:rPr>
        <w:t>统计，</w:t>
      </w:r>
      <w:r>
        <w:rPr>
          <w:rFonts w:ascii="SimSun" w:eastAsia="SimSun" w:hAnsi="SimSun" w:cs="SimSun"/>
          <w:spacing w:val="-34"/>
          <w:sz w:val="21"/>
          <w:szCs w:val="21"/>
        </w:rPr>
        <w:t xml:space="preserve"> </w:t>
      </w:r>
      <w:r>
        <w:rPr>
          <w:rFonts w:ascii="Times New Roman" w:eastAsia="Times New Roman" w:hAnsi="Times New Roman" w:cs="Times New Roman"/>
          <w:spacing w:val="-2"/>
          <w:sz w:val="21"/>
          <w:szCs w:val="21"/>
        </w:rPr>
        <w:t xml:space="preserve">2020 </w:t>
      </w:r>
      <w:r>
        <w:rPr>
          <w:rFonts w:ascii="SimSun" w:eastAsia="SimSun" w:hAnsi="SimSun" w:cs="SimSun"/>
          <w:spacing w:val="-2"/>
          <w:sz w:val="21"/>
          <w:szCs w:val="21"/>
        </w:rPr>
        <w:t>年</w:t>
      </w:r>
      <w:r>
        <w:rPr>
          <w:rFonts w:ascii="Times New Roman" w:eastAsia="Times New Roman" w:hAnsi="Times New Roman" w:cs="Times New Roman"/>
          <w:spacing w:val="-2"/>
          <w:sz w:val="21"/>
          <w:szCs w:val="21"/>
        </w:rPr>
        <w:t xml:space="preserve">-2022 </w:t>
      </w:r>
      <w:r>
        <w:rPr>
          <w:rFonts w:ascii="SimSun" w:eastAsia="SimSun" w:hAnsi="SimSun" w:cs="SimSun"/>
          <w:spacing w:val="-3"/>
          <w:sz w:val="21"/>
          <w:szCs w:val="21"/>
        </w:rPr>
        <w:t>年及</w:t>
      </w:r>
      <w:r>
        <w:rPr>
          <w:rFonts w:ascii="SimSun" w:eastAsia="SimSun" w:hAnsi="SimSun" w:cs="SimSun"/>
          <w:spacing w:val="-48"/>
          <w:sz w:val="21"/>
          <w:szCs w:val="21"/>
        </w:rPr>
        <w:t xml:space="preserve"> </w:t>
      </w:r>
      <w:r>
        <w:rPr>
          <w:rFonts w:ascii="Times New Roman" w:eastAsia="Times New Roman" w:hAnsi="Times New Roman" w:cs="Times New Roman"/>
          <w:spacing w:val="-3"/>
          <w:sz w:val="21"/>
          <w:szCs w:val="21"/>
        </w:rPr>
        <w:t xml:space="preserve">2023 </w:t>
      </w:r>
      <w:r>
        <w:rPr>
          <w:rFonts w:ascii="SimSun" w:eastAsia="SimSun" w:hAnsi="SimSun" w:cs="SimSun"/>
          <w:spacing w:val="-3"/>
          <w:sz w:val="21"/>
          <w:szCs w:val="21"/>
        </w:rPr>
        <w:t>年前三季度，机械行业募</w:t>
      </w:r>
      <w:r>
        <w:rPr>
          <w:rFonts w:ascii="SimSun" w:eastAsia="SimSun" w:hAnsi="SimSun" w:cs="SimSun"/>
          <w:sz w:val="21"/>
          <w:szCs w:val="21"/>
        </w:rPr>
        <w:t xml:space="preserve"> </w:t>
      </w:r>
      <w:r>
        <w:rPr>
          <w:rFonts w:ascii="SimSun" w:eastAsia="SimSun" w:hAnsi="SimSun" w:cs="SimSun"/>
          <w:spacing w:val="-4"/>
          <w:sz w:val="21"/>
          <w:szCs w:val="21"/>
        </w:rPr>
        <w:t>集资金分别为</w:t>
      </w:r>
      <w:r>
        <w:rPr>
          <w:rFonts w:ascii="SimSun" w:eastAsia="SimSun" w:hAnsi="SimSun" w:cs="SimSun"/>
          <w:spacing w:val="-27"/>
          <w:sz w:val="21"/>
          <w:szCs w:val="21"/>
        </w:rPr>
        <w:t xml:space="preserve"> </w:t>
      </w:r>
      <w:r>
        <w:rPr>
          <w:rFonts w:ascii="Times New Roman" w:eastAsia="Times New Roman" w:hAnsi="Times New Roman" w:cs="Times New Roman"/>
          <w:spacing w:val="-4"/>
          <w:sz w:val="21"/>
          <w:szCs w:val="21"/>
        </w:rPr>
        <w:t xml:space="preserve">907.07 </w:t>
      </w:r>
      <w:r>
        <w:rPr>
          <w:rFonts w:ascii="SimSun" w:eastAsia="SimSun" w:hAnsi="SimSun" w:cs="SimSun"/>
          <w:spacing w:val="-4"/>
          <w:sz w:val="21"/>
          <w:szCs w:val="21"/>
        </w:rPr>
        <w:t xml:space="preserve">亿元、 </w:t>
      </w:r>
      <w:r>
        <w:rPr>
          <w:rFonts w:ascii="Times New Roman" w:eastAsia="Times New Roman" w:hAnsi="Times New Roman" w:cs="Times New Roman"/>
          <w:spacing w:val="-4"/>
          <w:sz w:val="21"/>
          <w:szCs w:val="21"/>
        </w:rPr>
        <w:t xml:space="preserve">689.36 </w:t>
      </w:r>
      <w:r>
        <w:rPr>
          <w:rFonts w:ascii="SimSun" w:eastAsia="SimSun" w:hAnsi="SimSun" w:cs="SimSun"/>
          <w:spacing w:val="-4"/>
          <w:sz w:val="21"/>
          <w:szCs w:val="21"/>
        </w:rPr>
        <w:t>亿元、</w:t>
      </w:r>
      <w:r>
        <w:rPr>
          <w:rFonts w:ascii="Times New Roman" w:eastAsia="Times New Roman" w:hAnsi="Times New Roman" w:cs="Times New Roman"/>
          <w:spacing w:val="-4"/>
          <w:sz w:val="21"/>
          <w:szCs w:val="21"/>
        </w:rPr>
        <w:t xml:space="preserve">797.77 </w:t>
      </w:r>
      <w:r>
        <w:rPr>
          <w:rFonts w:ascii="SimSun" w:eastAsia="SimSun" w:hAnsi="SimSun" w:cs="SimSun"/>
          <w:spacing w:val="-4"/>
          <w:sz w:val="21"/>
          <w:szCs w:val="21"/>
        </w:rPr>
        <w:t>亿元和</w:t>
      </w:r>
      <w:r>
        <w:rPr>
          <w:rFonts w:ascii="SimSun" w:eastAsia="SimSun" w:hAnsi="SimSun" w:cs="SimSun"/>
          <w:spacing w:val="-44"/>
          <w:sz w:val="21"/>
          <w:szCs w:val="21"/>
        </w:rPr>
        <w:t xml:space="preserve"> </w:t>
      </w:r>
      <w:r>
        <w:rPr>
          <w:rFonts w:ascii="Times New Roman" w:eastAsia="Times New Roman" w:hAnsi="Times New Roman" w:cs="Times New Roman"/>
          <w:spacing w:val="-4"/>
          <w:sz w:val="21"/>
          <w:szCs w:val="21"/>
        </w:rPr>
        <w:t xml:space="preserve">641.89 </w:t>
      </w:r>
      <w:r>
        <w:rPr>
          <w:rFonts w:ascii="SimSun" w:eastAsia="SimSun" w:hAnsi="SimSun" w:cs="SimSun"/>
          <w:spacing w:val="-4"/>
          <w:sz w:val="21"/>
          <w:szCs w:val="21"/>
        </w:rPr>
        <w:t>亿元，</w:t>
      </w:r>
      <w:r>
        <w:rPr>
          <w:rFonts w:ascii="SimSun" w:eastAsia="SimSun" w:hAnsi="SimSun" w:cs="SimSun"/>
          <w:spacing w:val="-26"/>
          <w:sz w:val="21"/>
          <w:szCs w:val="21"/>
        </w:rPr>
        <w:t xml:space="preserve"> </w:t>
      </w:r>
      <w:r>
        <w:rPr>
          <w:rFonts w:ascii="SimSun" w:eastAsia="SimSun" w:hAnsi="SimSun" w:cs="SimSun"/>
          <w:spacing w:val="-4"/>
          <w:sz w:val="21"/>
          <w:szCs w:val="21"/>
        </w:rPr>
        <w:t>其中</w:t>
      </w:r>
      <w:r>
        <w:rPr>
          <w:rFonts w:ascii="SimSun" w:eastAsia="SimSun" w:hAnsi="SimSun" w:cs="SimSun"/>
          <w:spacing w:val="-51"/>
          <w:sz w:val="21"/>
          <w:szCs w:val="21"/>
        </w:rPr>
        <w:t xml:space="preserve"> </w:t>
      </w:r>
      <w:r>
        <w:rPr>
          <w:rFonts w:ascii="Times New Roman" w:eastAsia="Times New Roman" w:hAnsi="Times New Roman" w:cs="Times New Roman"/>
          <w:spacing w:val="-4"/>
          <w:sz w:val="21"/>
          <w:szCs w:val="21"/>
        </w:rPr>
        <w:t xml:space="preserve">2023 </w:t>
      </w:r>
      <w:r>
        <w:rPr>
          <w:rFonts w:ascii="SimSun" w:eastAsia="SimSun" w:hAnsi="SimSun" w:cs="SimSun"/>
          <w:spacing w:val="-4"/>
          <w:sz w:val="21"/>
          <w:szCs w:val="21"/>
        </w:rPr>
        <w:t>年前三季度股票定增、首</w:t>
      </w:r>
      <w:r>
        <w:rPr>
          <w:rFonts w:ascii="SimSun" w:eastAsia="SimSun" w:hAnsi="SimSun" w:cs="SimSun"/>
          <w:sz w:val="21"/>
          <w:szCs w:val="21"/>
        </w:rPr>
        <w:t xml:space="preserve"> </w:t>
      </w:r>
      <w:r>
        <w:rPr>
          <w:rFonts w:ascii="SimSun" w:eastAsia="SimSun" w:hAnsi="SimSun" w:cs="SimSun"/>
          <w:spacing w:val="-3"/>
          <w:sz w:val="21"/>
          <w:szCs w:val="21"/>
        </w:rPr>
        <w:t>发和发行可转债募集资金分别占比</w:t>
      </w:r>
      <w:r>
        <w:rPr>
          <w:rFonts w:ascii="SimSun" w:eastAsia="SimSun" w:hAnsi="SimSun" w:cs="SimSun"/>
          <w:spacing w:val="-34"/>
          <w:sz w:val="21"/>
          <w:szCs w:val="21"/>
        </w:rPr>
        <w:t xml:space="preserve"> </w:t>
      </w:r>
      <w:r>
        <w:rPr>
          <w:rFonts w:ascii="Times New Roman" w:eastAsia="Times New Roman" w:hAnsi="Times New Roman" w:cs="Times New Roman"/>
          <w:spacing w:val="-3"/>
          <w:sz w:val="21"/>
          <w:szCs w:val="21"/>
        </w:rPr>
        <w:t>43.78%</w:t>
      </w:r>
      <w:r>
        <w:rPr>
          <w:rFonts w:ascii="Times New Roman" w:eastAsia="Times New Roman" w:hAnsi="Times New Roman" w:cs="Times New Roman"/>
          <w:spacing w:val="-31"/>
          <w:sz w:val="21"/>
          <w:szCs w:val="21"/>
        </w:rPr>
        <w:t xml:space="preserve"> </w:t>
      </w:r>
      <w:r>
        <w:rPr>
          <w:rFonts w:ascii="SimSun" w:eastAsia="SimSun" w:hAnsi="SimSun" w:cs="SimSun"/>
          <w:spacing w:val="-3"/>
          <w:sz w:val="21"/>
          <w:szCs w:val="21"/>
        </w:rPr>
        <w:t>、</w:t>
      </w:r>
      <w:r>
        <w:rPr>
          <w:rFonts w:ascii="Times New Roman" w:eastAsia="Times New Roman" w:hAnsi="Times New Roman" w:cs="Times New Roman"/>
          <w:spacing w:val="-3"/>
          <w:sz w:val="21"/>
          <w:szCs w:val="21"/>
        </w:rPr>
        <w:t>38.78%</w:t>
      </w:r>
      <w:r>
        <w:rPr>
          <w:rFonts w:ascii="SimSun" w:eastAsia="SimSun" w:hAnsi="SimSun" w:cs="SimSun"/>
          <w:spacing w:val="-3"/>
          <w:sz w:val="21"/>
          <w:szCs w:val="21"/>
        </w:rPr>
        <w:t xml:space="preserve">和 </w:t>
      </w:r>
      <w:r>
        <w:rPr>
          <w:rFonts w:ascii="Times New Roman" w:eastAsia="Times New Roman" w:hAnsi="Times New Roman" w:cs="Times New Roman"/>
          <w:spacing w:val="-3"/>
          <w:sz w:val="21"/>
          <w:szCs w:val="21"/>
        </w:rPr>
        <w:t>17.44%</w:t>
      </w:r>
      <w:r>
        <w:rPr>
          <w:rFonts w:ascii="SimSun" w:eastAsia="SimSun" w:hAnsi="SimSun" w:cs="SimSun"/>
          <w:spacing w:val="-3"/>
          <w:sz w:val="21"/>
          <w:szCs w:val="21"/>
        </w:rPr>
        <w:t>。此外， 为持续加快布局战略性产</w:t>
      </w:r>
      <w:r>
        <w:rPr>
          <w:rFonts w:ascii="SimSun" w:eastAsia="SimSun" w:hAnsi="SimSun" w:cs="SimSun"/>
          <w:spacing w:val="-4"/>
          <w:sz w:val="21"/>
          <w:szCs w:val="21"/>
        </w:rPr>
        <w:t>业及推进</w:t>
      </w:r>
      <w:r>
        <w:rPr>
          <w:rFonts w:ascii="SimSun" w:eastAsia="SimSun" w:hAnsi="SimSun" w:cs="SimSun"/>
          <w:sz w:val="21"/>
          <w:szCs w:val="21"/>
        </w:rPr>
        <w:t xml:space="preserve"> </w:t>
      </w:r>
      <w:r>
        <w:rPr>
          <w:rFonts w:ascii="SimSun" w:eastAsia="SimSun" w:hAnsi="SimSun" w:cs="SimSun"/>
          <w:sz w:val="21"/>
          <w:szCs w:val="21"/>
        </w:rPr>
        <w:t>产业转型，国家制造业转型升级基金、工业母机</w:t>
      </w:r>
      <w:r>
        <w:rPr>
          <w:rFonts w:ascii="SimSun" w:eastAsia="SimSun" w:hAnsi="SimSun" w:cs="SimSun"/>
          <w:spacing w:val="-1"/>
          <w:sz w:val="21"/>
          <w:szCs w:val="21"/>
        </w:rPr>
        <w:t>基金、中小企业发展基金等政府投资基金作为战略投资者</w:t>
      </w:r>
      <w:r>
        <w:rPr>
          <w:rFonts w:ascii="SimSun" w:eastAsia="SimSun" w:hAnsi="SimSun" w:cs="SimSun"/>
          <w:sz w:val="21"/>
          <w:szCs w:val="21"/>
        </w:rPr>
        <w:t xml:space="preserve"> </w:t>
      </w:r>
      <w:r>
        <w:rPr>
          <w:rFonts w:ascii="SimSun" w:eastAsia="SimSun" w:hAnsi="SimSun" w:cs="SimSun"/>
          <w:sz w:val="21"/>
          <w:szCs w:val="21"/>
        </w:rPr>
        <w:t>已入股多家机械企业，主要投向高端数控机床、基础制造装备、工业机器人等领域。</w:t>
      </w:r>
    </w:p>
    <w:p>
      <w:pPr>
        <w:spacing w:line="276" w:lineRule="auto"/>
        <w:rPr>
          <w:rFonts w:ascii="Arial"/>
          <w:sz w:val="21"/>
        </w:rPr>
      </w:pPr>
    </w:p>
    <w:p>
      <w:pPr>
        <w:spacing w:before="78" w:line="222" w:lineRule="auto"/>
        <w:ind w:left="56"/>
        <w:rPr>
          <w:rFonts w:ascii="SimHei" w:eastAsia="SimHei" w:hAnsi="SimHei" w:cs="SimHei"/>
          <w:sz w:val="24"/>
          <w:szCs w:val="24"/>
        </w:rPr>
      </w:pPr>
      <w:r>
        <w:rPr>
          <w:rFonts w:ascii="Times New Roman" w:eastAsia="Times New Roman" w:hAnsi="Times New Roman" w:cs="Times New Roman"/>
          <w:spacing w:val="-5"/>
          <w:sz w:val="24"/>
          <w:szCs w:val="24"/>
        </w:rPr>
        <w:t>1.1.</w:t>
      </w:r>
      <w:r>
        <w:rPr>
          <w:rFonts w:ascii="Times New Roman" w:eastAsia="Times New Roman" w:hAnsi="Times New Roman" w:cs="Times New Roman"/>
          <w:spacing w:val="13"/>
          <w:sz w:val="24"/>
          <w:szCs w:val="24"/>
        </w:rPr>
        <w:t xml:space="preserve">   </w:t>
      </w:r>
      <w:r>
        <w:rPr>
          <w:rFonts w:ascii="SimHei" w:eastAsia="SimHei" w:hAnsi="SimHei" w:cs="SimHei"/>
          <w:spacing w:val="-5"/>
          <w:sz w:val="24"/>
          <w:szCs w:val="24"/>
        </w:rPr>
        <w:t>工业机械</w:t>
      </w:r>
    </w:p>
    <w:p>
      <w:pPr>
        <w:spacing w:line="436" w:lineRule="auto"/>
        <w:rPr>
          <w:rFonts w:ascii="Arial"/>
          <w:sz w:val="21"/>
        </w:rPr>
      </w:pPr>
    </w:p>
    <w:p>
      <w:pPr>
        <w:spacing w:before="68" w:line="277" w:lineRule="auto"/>
        <w:ind w:left="35" w:right="15" w:firstLine="2"/>
        <w:jc w:val="both"/>
        <w:rPr>
          <w:rFonts w:ascii="SimHei" w:eastAsia="SimHei" w:hAnsi="SimHei" w:cs="SimHei"/>
          <w:sz w:val="21"/>
          <w:szCs w:val="21"/>
        </w:rPr>
      </w:pPr>
      <w:r>
        <w:rPr>
          <w:rFonts w:ascii="SimHei" w:eastAsia="SimHei" w:hAnsi="SimHei" w:cs="SimHei"/>
          <w:spacing w:val="-1"/>
          <w:sz w:val="21"/>
          <w:szCs w:val="21"/>
        </w:rPr>
        <w:t>工业机械行业涉及细分领域较多，</w:t>
      </w:r>
      <w:r>
        <w:rPr>
          <w:rFonts w:ascii="Times New Roman" w:eastAsia="Times New Roman" w:hAnsi="Times New Roman" w:cs="Times New Roman"/>
          <w:spacing w:val="-1"/>
          <w:sz w:val="21"/>
          <w:szCs w:val="21"/>
        </w:rPr>
        <w:t xml:space="preserve">2022 </w:t>
      </w:r>
      <w:r>
        <w:rPr>
          <w:rFonts w:ascii="SimHei" w:eastAsia="SimHei" w:hAnsi="SimHei" w:cs="SimHei"/>
          <w:spacing w:val="-2"/>
          <w:sz w:val="21"/>
          <w:szCs w:val="21"/>
        </w:rPr>
        <w:t>年行业内部分化依然较大。其中锂电设备、光伏设备、工业机器人</w:t>
      </w:r>
      <w:r>
        <w:rPr>
          <w:rFonts w:ascii="SimHei" w:eastAsia="SimHei" w:hAnsi="SimHei" w:cs="SimHei"/>
          <w:sz w:val="21"/>
          <w:szCs w:val="21"/>
        </w:rPr>
        <w:t xml:space="preserve"> </w:t>
      </w:r>
      <w:r>
        <w:rPr>
          <w:rFonts w:ascii="SimHei" w:eastAsia="SimHei" w:hAnsi="SimHei" w:cs="SimHei"/>
          <w:spacing w:val="-2"/>
          <w:sz w:val="21"/>
          <w:szCs w:val="21"/>
        </w:rPr>
        <w:t>等因下游投资景气度高且增长较快；</w:t>
      </w:r>
      <w:r>
        <w:rPr>
          <w:rFonts w:ascii="SimHei" w:eastAsia="SimHei" w:hAnsi="SimHei" w:cs="SimHei"/>
          <w:spacing w:val="-2"/>
          <w:sz w:val="21"/>
          <w:szCs w:val="21"/>
        </w:rPr>
        <w:t xml:space="preserve"> </w:t>
      </w:r>
      <w:r>
        <w:rPr>
          <w:rFonts w:ascii="SimHei" w:eastAsia="SimHei" w:hAnsi="SimHei" w:cs="SimHei"/>
          <w:spacing w:val="-2"/>
          <w:sz w:val="21"/>
          <w:szCs w:val="21"/>
        </w:rPr>
        <w:t>机床行业在国家科技重大专项推动下，整体运行较平稳且盈利提升，</w:t>
      </w:r>
      <w:r>
        <w:rPr>
          <w:rFonts w:ascii="SimHei" w:eastAsia="SimHei" w:hAnsi="SimHei" w:cs="SimHei"/>
          <w:spacing w:val="17"/>
          <w:sz w:val="21"/>
          <w:szCs w:val="21"/>
        </w:rPr>
        <w:t xml:space="preserve"> </w:t>
      </w:r>
      <w:r>
        <w:rPr>
          <w:rFonts w:ascii="SimHei" w:eastAsia="SimHei" w:hAnsi="SimHei" w:cs="SimHei"/>
          <w:sz w:val="21"/>
          <w:szCs w:val="21"/>
        </w:rPr>
        <w:t>环保设备受外部环境短期冲击较大，业绩有所波动，</w:t>
      </w:r>
      <w:r>
        <w:rPr>
          <w:rFonts w:ascii="SimHei" w:eastAsia="SimHei" w:hAnsi="SimHei" w:cs="SimHei"/>
          <w:spacing w:val="-1"/>
          <w:sz w:val="21"/>
          <w:szCs w:val="21"/>
        </w:rPr>
        <w:t>而重型机械、通用机械等传统机械领域竞争激烈且需</w:t>
      </w:r>
      <w:r>
        <w:rPr>
          <w:rFonts w:ascii="SimHei" w:eastAsia="SimHei" w:hAnsi="SimHei" w:cs="SimHei"/>
          <w:sz w:val="21"/>
          <w:szCs w:val="21"/>
        </w:rPr>
        <w:t xml:space="preserve"> </w:t>
      </w:r>
      <w:r>
        <w:rPr>
          <w:rFonts w:ascii="SimHei" w:eastAsia="SimHei" w:hAnsi="SimHei" w:cs="SimHei"/>
          <w:spacing w:val="-8"/>
          <w:sz w:val="21"/>
          <w:szCs w:val="21"/>
        </w:rPr>
        <w:t>求仍总体低迷，</w:t>
      </w:r>
      <w:r>
        <w:rPr>
          <w:rFonts w:ascii="SimHei" w:eastAsia="SimHei" w:hAnsi="SimHei" w:cs="SimHei"/>
          <w:spacing w:val="-8"/>
          <w:sz w:val="21"/>
          <w:szCs w:val="21"/>
        </w:rPr>
        <w:t xml:space="preserve"> </w:t>
      </w:r>
      <w:r>
        <w:rPr>
          <w:rFonts w:ascii="SimHei" w:eastAsia="SimHei" w:hAnsi="SimHei" w:cs="SimHei"/>
          <w:spacing w:val="-8"/>
          <w:sz w:val="21"/>
          <w:szCs w:val="21"/>
        </w:rPr>
        <w:t>经营压力持续较大。</w:t>
      </w:r>
    </w:p>
    <w:p>
      <w:pPr>
        <w:spacing w:before="220" w:line="260" w:lineRule="auto"/>
        <w:ind w:left="36" w:right="66" w:firstLine="3"/>
        <w:rPr>
          <w:rFonts w:ascii="SimSun" w:eastAsia="SimSun" w:hAnsi="SimSun" w:cs="SimSun"/>
          <w:sz w:val="21"/>
          <w:szCs w:val="21"/>
        </w:rPr>
      </w:pPr>
      <w:r>
        <w:rPr>
          <w:rFonts w:ascii="SimSun" w:eastAsia="SimSun" w:hAnsi="SimSun" w:cs="SimSun"/>
          <w:sz w:val="21"/>
          <w:szCs w:val="21"/>
        </w:rPr>
        <w:t>工业机械涉及工业生产的各类机械设备或部</w:t>
      </w:r>
      <w:r>
        <w:rPr>
          <w:rFonts w:ascii="SimSun" w:eastAsia="SimSun" w:hAnsi="SimSun" w:cs="SimSun"/>
          <w:spacing w:val="-1"/>
          <w:sz w:val="21"/>
          <w:szCs w:val="21"/>
        </w:rPr>
        <w:t>件，工业机械行业细分领域众多，主要包括通用机械及重型机</w:t>
      </w:r>
      <w:r>
        <w:rPr>
          <w:rFonts w:ascii="SimSun" w:eastAsia="SimSun" w:hAnsi="SimSun" w:cs="SimSun"/>
          <w:sz w:val="21"/>
          <w:szCs w:val="21"/>
        </w:rPr>
        <w:t xml:space="preserve"> </w:t>
      </w:r>
      <w:r>
        <w:rPr>
          <w:rFonts w:ascii="SimSun" w:eastAsia="SimSun" w:hAnsi="SimSun" w:cs="SimSun"/>
          <w:sz w:val="21"/>
          <w:szCs w:val="21"/>
        </w:rPr>
        <w:t>械、机床、工业机器人、锂电设备、环保设备、风电设备、</w:t>
      </w:r>
      <w:r>
        <w:rPr>
          <w:rFonts w:ascii="SimSun" w:eastAsia="SimSun" w:hAnsi="SimSun" w:cs="SimSun"/>
          <w:spacing w:val="-1"/>
          <w:sz w:val="21"/>
          <w:szCs w:val="21"/>
        </w:rPr>
        <w:t>光伏设备等专用设备细分产品领域。</w:t>
      </w:r>
    </w:p>
    <w:p>
      <w:pPr>
        <w:spacing w:before="212" w:line="288" w:lineRule="auto"/>
        <w:ind w:left="32" w:right="67" w:firstLine="4"/>
        <w:rPr>
          <w:rFonts w:ascii="SimSun" w:eastAsia="SimSun" w:hAnsi="SimSun" w:cs="SimSun"/>
          <w:sz w:val="21"/>
          <w:szCs w:val="21"/>
        </w:rPr>
      </w:pPr>
      <w:r>
        <w:rPr>
          <w:rFonts w:ascii="SimSun" w:eastAsia="SimSun" w:hAnsi="SimSun" w:cs="SimSun"/>
          <w:spacing w:val="-3"/>
          <w:sz w:val="21"/>
          <w:szCs w:val="21"/>
        </w:rPr>
        <w:t>通用机械主要包括锅炉及原动机、金属加工机械、泵</w:t>
      </w:r>
      <w:r>
        <w:rPr>
          <w:rFonts w:ascii="Times New Roman" w:eastAsia="Times New Roman" w:hAnsi="Times New Roman" w:cs="Times New Roman"/>
          <w:spacing w:val="-3"/>
          <w:sz w:val="21"/>
          <w:szCs w:val="21"/>
        </w:rPr>
        <w:t>/</w:t>
      </w:r>
      <w:r>
        <w:rPr>
          <w:rFonts w:ascii="SimSun" w:eastAsia="SimSun" w:hAnsi="SimSun" w:cs="SimSun"/>
          <w:spacing w:val="-3"/>
          <w:sz w:val="21"/>
          <w:szCs w:val="21"/>
        </w:rPr>
        <w:t>阀门</w:t>
      </w:r>
      <w:r>
        <w:rPr>
          <w:rFonts w:ascii="Times New Roman" w:eastAsia="Times New Roman" w:hAnsi="Times New Roman" w:cs="Times New Roman"/>
          <w:spacing w:val="-3"/>
          <w:sz w:val="21"/>
          <w:szCs w:val="21"/>
        </w:rPr>
        <w:t>/</w:t>
      </w:r>
      <w:r>
        <w:rPr>
          <w:rFonts w:ascii="SimSun" w:eastAsia="SimSun" w:hAnsi="SimSun" w:cs="SimSun"/>
          <w:spacing w:val="-3"/>
          <w:sz w:val="21"/>
          <w:szCs w:val="21"/>
        </w:rPr>
        <w:t>压缩机、轴承等传动部件、熔炉、风机、金属铸</w:t>
      </w:r>
      <w:r>
        <w:rPr>
          <w:rFonts w:ascii="SimSun" w:eastAsia="SimSun" w:hAnsi="SimSun" w:cs="SimSun"/>
          <w:sz w:val="21"/>
          <w:szCs w:val="21"/>
        </w:rPr>
        <w:t xml:space="preserve"> </w:t>
      </w:r>
      <w:r>
        <w:rPr>
          <w:rFonts w:ascii="SimSun" w:eastAsia="SimSun" w:hAnsi="SimSun" w:cs="SimSun"/>
          <w:spacing w:val="-3"/>
          <w:sz w:val="21"/>
          <w:szCs w:val="21"/>
        </w:rPr>
        <w:t>锻件、模具及机械基础件等，是适用于多种不同生产场合和加工工艺的机械设备， 下游行业分布较广泛。</w:t>
      </w:r>
      <w:r>
        <w:rPr>
          <w:rFonts w:ascii="SimSun" w:eastAsia="SimSun" w:hAnsi="SimSun" w:cs="SimSun"/>
          <w:spacing w:val="15"/>
          <w:sz w:val="21"/>
          <w:szCs w:val="21"/>
        </w:rPr>
        <w:t xml:space="preserve"> </w:t>
      </w:r>
      <w:r>
        <w:rPr>
          <w:rFonts w:ascii="SimSun" w:eastAsia="SimSun" w:hAnsi="SimSun" w:cs="SimSun"/>
          <w:spacing w:val="-3"/>
          <w:sz w:val="21"/>
          <w:szCs w:val="21"/>
        </w:rPr>
        <w:t>通用机械一般成批规模化生产，毛利空间相对不大。</w:t>
      </w:r>
      <w:r>
        <w:rPr>
          <w:rFonts w:ascii="Times New Roman" w:eastAsia="Times New Roman" w:hAnsi="Times New Roman" w:cs="Times New Roman"/>
          <w:spacing w:val="-3"/>
          <w:sz w:val="21"/>
          <w:szCs w:val="21"/>
        </w:rPr>
        <w:t>2022</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年及</w:t>
      </w:r>
      <w:r>
        <w:rPr>
          <w:rFonts w:ascii="SimSun" w:eastAsia="SimSun" w:hAnsi="SimSun" w:cs="SimSun"/>
          <w:spacing w:val="-50"/>
          <w:sz w:val="21"/>
          <w:szCs w:val="21"/>
        </w:rPr>
        <w:t xml:space="preserve"> </w:t>
      </w:r>
      <w:r>
        <w:rPr>
          <w:rFonts w:ascii="Times New Roman" w:eastAsia="Times New Roman" w:hAnsi="Times New Roman" w:cs="Times New Roman"/>
          <w:spacing w:val="-4"/>
          <w:sz w:val="21"/>
          <w:szCs w:val="21"/>
        </w:rPr>
        <w:t xml:space="preserve">2023 </w:t>
      </w:r>
      <w:r>
        <w:rPr>
          <w:rFonts w:ascii="SimSun" w:eastAsia="SimSun" w:hAnsi="SimSun" w:cs="SimSun"/>
          <w:spacing w:val="-4"/>
          <w:sz w:val="21"/>
          <w:szCs w:val="21"/>
        </w:rPr>
        <w:t>年前三季度通用机械分别实现营业收入</w:t>
      </w:r>
      <w:r>
        <w:rPr>
          <w:rFonts w:ascii="SimSun" w:eastAsia="SimSun" w:hAnsi="SimSun" w:cs="SimSun"/>
          <w:sz w:val="21"/>
          <w:szCs w:val="21"/>
        </w:rPr>
        <w:t xml:space="preserve"> </w:t>
      </w:r>
      <w:r>
        <w:rPr>
          <w:rFonts w:ascii="Times New Roman" w:eastAsia="Times New Roman" w:hAnsi="Times New Roman" w:cs="Times New Roman"/>
          <w:spacing w:val="-6"/>
          <w:sz w:val="21"/>
          <w:szCs w:val="21"/>
        </w:rPr>
        <w:t xml:space="preserve">47,895.80 </w:t>
      </w:r>
      <w:r>
        <w:rPr>
          <w:rFonts w:ascii="SimSun" w:eastAsia="SimSun" w:hAnsi="SimSun" w:cs="SimSun"/>
          <w:spacing w:val="-6"/>
          <w:sz w:val="21"/>
          <w:szCs w:val="21"/>
        </w:rPr>
        <w:t>亿元和</w:t>
      </w:r>
      <w:r>
        <w:rPr>
          <w:rFonts w:ascii="SimSun" w:eastAsia="SimSun" w:hAnsi="SimSun" w:cs="SimSun"/>
          <w:spacing w:val="-53"/>
          <w:sz w:val="21"/>
          <w:szCs w:val="21"/>
        </w:rPr>
        <w:t xml:space="preserve"> </w:t>
      </w:r>
      <w:r>
        <w:rPr>
          <w:rFonts w:ascii="Times New Roman" w:eastAsia="Times New Roman" w:hAnsi="Times New Roman" w:cs="Times New Roman"/>
          <w:spacing w:val="-6"/>
          <w:sz w:val="21"/>
          <w:szCs w:val="21"/>
        </w:rPr>
        <w:t xml:space="preserve">33,780.90 </w:t>
      </w:r>
      <w:r>
        <w:rPr>
          <w:rFonts w:ascii="SimSun" w:eastAsia="SimSun" w:hAnsi="SimSun" w:cs="SimSun"/>
          <w:spacing w:val="-6"/>
          <w:sz w:val="21"/>
          <w:szCs w:val="21"/>
        </w:rPr>
        <w:t>亿元，分别同</w:t>
      </w:r>
      <w:r>
        <w:rPr>
          <w:rFonts w:ascii="SimSun" w:eastAsia="SimSun" w:hAnsi="SimSun" w:cs="SimSun"/>
          <w:spacing w:val="-7"/>
          <w:sz w:val="21"/>
          <w:szCs w:val="21"/>
        </w:rPr>
        <w:t>比增长</w:t>
      </w:r>
      <w:r>
        <w:rPr>
          <w:rFonts w:ascii="Times New Roman" w:eastAsia="Times New Roman" w:hAnsi="Times New Roman" w:cs="Times New Roman"/>
          <w:spacing w:val="-7"/>
          <w:sz w:val="21"/>
          <w:szCs w:val="21"/>
        </w:rPr>
        <w:t>-2.20%</w:t>
      </w:r>
      <w:r>
        <w:rPr>
          <w:rFonts w:ascii="SimSun" w:eastAsia="SimSun" w:hAnsi="SimSun" w:cs="SimSun"/>
          <w:spacing w:val="-7"/>
          <w:sz w:val="21"/>
          <w:szCs w:val="21"/>
        </w:rPr>
        <w:t>和</w:t>
      </w:r>
      <w:r>
        <w:rPr>
          <w:rFonts w:ascii="SimSun" w:eastAsia="SimSun" w:hAnsi="SimSun" w:cs="SimSun"/>
          <w:spacing w:val="-57"/>
          <w:sz w:val="21"/>
          <w:szCs w:val="21"/>
        </w:rPr>
        <w:t xml:space="preserve"> </w:t>
      </w:r>
      <w:r>
        <w:rPr>
          <w:rFonts w:ascii="Times New Roman" w:eastAsia="Times New Roman" w:hAnsi="Times New Roman" w:cs="Times New Roman"/>
          <w:spacing w:val="-7"/>
          <w:sz w:val="21"/>
          <w:szCs w:val="21"/>
        </w:rPr>
        <w:t>2%</w:t>
      </w:r>
      <w:r>
        <w:rPr>
          <w:rFonts w:ascii="SimSun" w:eastAsia="SimSun" w:hAnsi="SimSun" w:cs="SimSun"/>
          <w:spacing w:val="-7"/>
          <w:sz w:val="21"/>
          <w:szCs w:val="21"/>
        </w:rPr>
        <w:t>；同期行业平均毛利率分别为</w:t>
      </w:r>
      <w:r>
        <w:rPr>
          <w:rFonts w:ascii="SimSun" w:eastAsia="SimSun" w:hAnsi="SimSun" w:cs="SimSun"/>
          <w:spacing w:val="-37"/>
          <w:sz w:val="21"/>
          <w:szCs w:val="21"/>
        </w:rPr>
        <w:t xml:space="preserve"> </w:t>
      </w:r>
      <w:r>
        <w:rPr>
          <w:rFonts w:ascii="Times New Roman" w:eastAsia="Times New Roman" w:hAnsi="Times New Roman" w:cs="Times New Roman"/>
          <w:spacing w:val="-7"/>
          <w:sz w:val="21"/>
          <w:szCs w:val="21"/>
        </w:rPr>
        <w:t>17.57%</w:t>
      </w:r>
      <w:r>
        <w:rPr>
          <w:rFonts w:ascii="SimSun" w:eastAsia="SimSun" w:hAnsi="SimSun" w:cs="SimSun"/>
          <w:spacing w:val="-7"/>
          <w:sz w:val="21"/>
          <w:szCs w:val="21"/>
        </w:rPr>
        <w:t>和</w:t>
      </w:r>
      <w:r>
        <w:rPr>
          <w:rFonts w:ascii="SimSun" w:eastAsia="SimSun" w:hAnsi="SimSun" w:cs="SimSun"/>
          <w:spacing w:val="-39"/>
          <w:sz w:val="21"/>
          <w:szCs w:val="21"/>
        </w:rPr>
        <w:t xml:space="preserve"> </w:t>
      </w:r>
      <w:r>
        <w:rPr>
          <w:rFonts w:ascii="Times New Roman" w:eastAsia="Times New Roman" w:hAnsi="Times New Roman" w:cs="Times New Roman"/>
          <w:spacing w:val="-7"/>
          <w:sz w:val="21"/>
          <w:szCs w:val="21"/>
        </w:rPr>
        <w:t>18.71%</w:t>
      </w:r>
      <w:r>
        <w:rPr>
          <w:rFonts w:ascii="SimSun" w:eastAsia="SimSun" w:hAnsi="SimSun" w:cs="SimSun"/>
          <w:spacing w:val="-7"/>
          <w:sz w:val="21"/>
          <w:szCs w:val="21"/>
        </w:rPr>
        <w:t>；</w:t>
      </w:r>
      <w:r>
        <w:rPr>
          <w:rFonts w:ascii="SimSun" w:eastAsia="SimSun" w:hAnsi="SimSun" w:cs="SimSun"/>
          <w:sz w:val="21"/>
          <w:szCs w:val="21"/>
        </w:rPr>
        <w:t xml:space="preserve"> </w:t>
      </w:r>
      <w:r>
        <w:rPr>
          <w:rFonts w:ascii="SimSun" w:eastAsia="SimSun" w:hAnsi="SimSun" w:cs="SimSun"/>
          <w:spacing w:val="-3"/>
          <w:sz w:val="21"/>
          <w:szCs w:val="21"/>
        </w:rPr>
        <w:t>利润总额分别为</w:t>
      </w:r>
      <w:r>
        <w:rPr>
          <w:rFonts w:ascii="SimSun" w:eastAsia="SimSun" w:hAnsi="SimSun" w:cs="SimSun"/>
          <w:spacing w:val="-46"/>
          <w:sz w:val="21"/>
          <w:szCs w:val="21"/>
        </w:rPr>
        <w:t xml:space="preserve"> </w:t>
      </w:r>
      <w:r>
        <w:rPr>
          <w:rFonts w:ascii="Times New Roman" w:eastAsia="Times New Roman" w:hAnsi="Times New Roman" w:cs="Times New Roman"/>
          <w:spacing w:val="-3"/>
          <w:sz w:val="21"/>
          <w:szCs w:val="21"/>
        </w:rPr>
        <w:t xml:space="preserve">3,250.30 </w:t>
      </w:r>
      <w:r>
        <w:rPr>
          <w:rFonts w:ascii="SimSun" w:eastAsia="SimSun" w:hAnsi="SimSun" w:cs="SimSun"/>
          <w:spacing w:val="-3"/>
          <w:sz w:val="21"/>
          <w:szCs w:val="21"/>
        </w:rPr>
        <w:t>亿元和</w:t>
      </w:r>
      <w:r>
        <w:rPr>
          <w:rFonts w:ascii="SimSun" w:eastAsia="SimSun" w:hAnsi="SimSun" w:cs="SimSun"/>
          <w:spacing w:val="-49"/>
          <w:sz w:val="21"/>
          <w:szCs w:val="21"/>
        </w:rPr>
        <w:t xml:space="preserve"> </w:t>
      </w:r>
      <w:r>
        <w:rPr>
          <w:rFonts w:ascii="Times New Roman" w:eastAsia="Times New Roman" w:hAnsi="Times New Roman" w:cs="Times New Roman"/>
          <w:spacing w:val="-3"/>
          <w:sz w:val="21"/>
          <w:szCs w:val="21"/>
        </w:rPr>
        <w:t xml:space="preserve">2,327.30 </w:t>
      </w:r>
      <w:r>
        <w:rPr>
          <w:rFonts w:ascii="SimSun" w:eastAsia="SimSun" w:hAnsi="SimSun" w:cs="SimSun"/>
          <w:spacing w:val="-3"/>
          <w:sz w:val="21"/>
          <w:szCs w:val="21"/>
        </w:rPr>
        <w:t>亿元，分别同比增长</w:t>
      </w:r>
      <w:r>
        <w:rPr>
          <w:rFonts w:ascii="SimSun" w:eastAsia="SimSun" w:hAnsi="SimSun" w:cs="SimSun"/>
          <w:spacing w:val="-45"/>
          <w:sz w:val="21"/>
          <w:szCs w:val="21"/>
        </w:rPr>
        <w:t xml:space="preserve"> </w:t>
      </w:r>
      <w:r>
        <w:rPr>
          <w:rFonts w:ascii="Times New Roman" w:eastAsia="Times New Roman" w:hAnsi="Times New Roman" w:cs="Times New Roman"/>
          <w:spacing w:val="-3"/>
          <w:sz w:val="21"/>
          <w:szCs w:val="21"/>
        </w:rPr>
        <w:t>3.08%</w:t>
      </w:r>
      <w:r>
        <w:rPr>
          <w:rFonts w:ascii="SimSun" w:eastAsia="SimSun" w:hAnsi="SimSun" w:cs="SimSun"/>
          <w:spacing w:val="-3"/>
          <w:sz w:val="21"/>
          <w:szCs w:val="21"/>
        </w:rPr>
        <w:t>和</w:t>
      </w:r>
      <w:r>
        <w:rPr>
          <w:rFonts w:ascii="SimSun" w:eastAsia="SimSun" w:hAnsi="SimSun" w:cs="SimSun"/>
          <w:spacing w:val="-45"/>
          <w:sz w:val="21"/>
          <w:szCs w:val="21"/>
        </w:rPr>
        <w:t xml:space="preserve"> </w:t>
      </w:r>
      <w:r>
        <w:rPr>
          <w:rFonts w:ascii="Times New Roman" w:eastAsia="Times New Roman" w:hAnsi="Times New Roman" w:cs="Times New Roman"/>
          <w:spacing w:val="-3"/>
          <w:sz w:val="21"/>
          <w:szCs w:val="21"/>
        </w:rPr>
        <w:t>5.94%</w:t>
      </w:r>
      <w:r>
        <w:rPr>
          <w:rFonts w:ascii="SimSun" w:eastAsia="SimSun" w:hAnsi="SimSun" w:cs="SimSun"/>
          <w:spacing w:val="-3"/>
          <w:sz w:val="21"/>
          <w:szCs w:val="21"/>
        </w:rPr>
        <w:t>。我国通用机械市场结</w:t>
      </w:r>
      <w:r>
        <w:rPr>
          <w:rFonts w:ascii="SimSun" w:eastAsia="SimSun" w:hAnsi="SimSun" w:cs="SimSun"/>
          <w:spacing w:val="-4"/>
          <w:sz w:val="21"/>
          <w:szCs w:val="21"/>
        </w:rPr>
        <w:t>构较为</w:t>
      </w:r>
      <w:r>
        <w:rPr>
          <w:rFonts w:ascii="SimSun" w:eastAsia="SimSun" w:hAnsi="SimSun" w:cs="SimSun"/>
          <w:sz w:val="21"/>
          <w:szCs w:val="21"/>
        </w:rPr>
        <w:t xml:space="preserve"> </w:t>
      </w:r>
      <w:r>
        <w:rPr>
          <w:rFonts w:ascii="SimSun" w:eastAsia="SimSun" w:hAnsi="SimSun" w:cs="SimSun"/>
          <w:spacing w:val="-5"/>
          <w:sz w:val="21"/>
          <w:szCs w:val="21"/>
        </w:rPr>
        <w:t>分散，头部企业规模较小，且高端领域技术基础较为薄弱，例如在阀门、轴承等领域仍呈现外资企业垄断的</w:t>
      </w:r>
      <w:r>
        <w:rPr>
          <w:rFonts w:ascii="SimSun" w:eastAsia="SimSun" w:hAnsi="SimSun" w:cs="SimSun"/>
          <w:spacing w:val="1"/>
          <w:sz w:val="21"/>
          <w:szCs w:val="21"/>
        </w:rPr>
        <w:t xml:space="preserve"> </w:t>
      </w:r>
      <w:r>
        <w:rPr>
          <w:rFonts w:ascii="SimSun" w:eastAsia="SimSun" w:hAnsi="SimSun" w:cs="SimSun"/>
          <w:spacing w:val="-10"/>
          <w:sz w:val="21"/>
          <w:szCs w:val="21"/>
        </w:rPr>
        <w:t>状况。</w:t>
      </w:r>
    </w:p>
    <w:p>
      <w:pPr>
        <w:spacing w:before="210" w:line="286" w:lineRule="auto"/>
        <w:ind w:left="37" w:right="14"/>
        <w:jc w:val="both"/>
        <w:rPr>
          <w:rFonts w:ascii="SimSun" w:eastAsia="SimSun" w:hAnsi="SimSun" w:cs="SimSun"/>
          <w:sz w:val="21"/>
          <w:szCs w:val="21"/>
        </w:rPr>
        <w:sectPr>
          <w:headerReference w:type="default" r:id="rId46"/>
          <w:footerReference w:type="default" r:id="rId47"/>
          <w:pgSz w:w="11907" w:h="16839"/>
          <w:pgMar w:top="1336" w:right="1062" w:bottom="1269" w:left="1104" w:header="1148" w:footer="1077" w:gutter="0"/>
          <w:pgNumType w:start="10"/>
          <w:cols w:space="708"/>
        </w:sectPr>
      </w:pPr>
      <w:r>
        <w:rPr>
          <w:rFonts w:ascii="SimSun" w:eastAsia="SimSun" w:hAnsi="SimSun" w:cs="SimSun"/>
          <w:sz w:val="21"/>
          <w:szCs w:val="21"/>
        </w:rPr>
        <w:t>重型机械行业是机械工业中冶金机械制造业、重</w:t>
      </w:r>
      <w:r>
        <w:rPr>
          <w:rFonts w:ascii="SimSun" w:eastAsia="SimSun" w:hAnsi="SimSun" w:cs="SimSun"/>
          <w:spacing w:val="-1"/>
          <w:sz w:val="21"/>
          <w:szCs w:val="21"/>
        </w:rPr>
        <w:t>型锻压机械、矿山机械制造业和物料搬运机械制造业以及</w:t>
      </w:r>
      <w:r>
        <w:rPr>
          <w:rFonts w:ascii="SimSun" w:eastAsia="SimSun" w:hAnsi="SimSun" w:cs="SimSun"/>
          <w:sz w:val="21"/>
          <w:szCs w:val="21"/>
        </w:rPr>
        <w:t xml:space="preserve"> </w:t>
      </w:r>
      <w:r>
        <w:rPr>
          <w:rFonts w:ascii="SimSun" w:eastAsia="SimSun" w:hAnsi="SimSun" w:cs="SimSun"/>
          <w:sz w:val="21"/>
          <w:szCs w:val="21"/>
        </w:rPr>
        <w:t>大型铸锻件制造业的合称，是为金属冶炼、金属</w:t>
      </w:r>
      <w:r>
        <w:rPr>
          <w:rFonts w:ascii="SimSun" w:eastAsia="SimSun" w:hAnsi="SimSun" w:cs="SimSun"/>
          <w:spacing w:val="-1"/>
          <w:sz w:val="21"/>
          <w:szCs w:val="21"/>
        </w:rPr>
        <w:t>铸造及矿山开采、选矿和起重运输等提供机械设备制造的</w:t>
      </w:r>
      <w:r>
        <w:rPr>
          <w:rFonts w:ascii="SimSun" w:eastAsia="SimSun" w:hAnsi="SimSun" w:cs="SimSun"/>
          <w:sz w:val="21"/>
          <w:szCs w:val="21"/>
        </w:rPr>
        <w:t xml:space="preserve"> </w:t>
      </w:r>
      <w:r>
        <w:rPr>
          <w:rFonts w:ascii="SimSun" w:eastAsia="SimSun" w:hAnsi="SimSun" w:cs="SimSun"/>
          <w:spacing w:val="-1"/>
          <w:sz w:val="21"/>
          <w:szCs w:val="21"/>
        </w:rPr>
        <w:t>基础工业。重型机械产品体积、重量大，</w:t>
      </w:r>
      <w:r>
        <w:rPr>
          <w:rFonts w:ascii="SimSun" w:eastAsia="SimSun" w:hAnsi="SimSun" w:cs="SimSun"/>
          <w:spacing w:val="-18"/>
          <w:sz w:val="21"/>
          <w:szCs w:val="21"/>
        </w:rPr>
        <w:t xml:space="preserve"> </w:t>
      </w:r>
      <w:r>
        <w:rPr>
          <w:rFonts w:ascii="SimSun" w:eastAsia="SimSun" w:hAnsi="SimSun" w:cs="SimSun"/>
          <w:spacing w:val="-1"/>
          <w:sz w:val="21"/>
          <w:szCs w:val="21"/>
        </w:rPr>
        <w:t>对企业的成套设计研发能力、生产</w:t>
      </w:r>
      <w:r>
        <w:rPr>
          <w:rFonts w:ascii="SimSun" w:eastAsia="SimSun" w:hAnsi="SimSun" w:cs="SimSun"/>
          <w:spacing w:val="-2"/>
          <w:sz w:val="21"/>
          <w:szCs w:val="21"/>
        </w:rPr>
        <w:t>技术及资金投入的要求较高，</w:t>
      </w:r>
      <w:r>
        <w:rPr>
          <w:rFonts w:ascii="SimSun" w:eastAsia="SimSun" w:hAnsi="SimSun" w:cs="SimSun"/>
          <w:sz w:val="21"/>
          <w:szCs w:val="21"/>
        </w:rPr>
        <w:t xml:space="preserve"> </w:t>
      </w:r>
      <w:r>
        <w:rPr>
          <w:rFonts w:ascii="SimSun" w:eastAsia="SimSun" w:hAnsi="SimSun" w:cs="SimSun"/>
          <w:sz w:val="21"/>
          <w:szCs w:val="21"/>
        </w:rPr>
        <w:t>准入门槛较高。目前国内主要重型机械制造商主</w:t>
      </w:r>
      <w:r>
        <w:rPr>
          <w:rFonts w:ascii="SimSun" w:eastAsia="SimSun" w:hAnsi="SimSun" w:cs="SimSun"/>
          <w:spacing w:val="-1"/>
          <w:sz w:val="21"/>
          <w:szCs w:val="21"/>
        </w:rPr>
        <w:t>要为大连重工、中国一重、北方重工、中信重工、中国二</w:t>
      </w:r>
      <w:r>
        <w:rPr>
          <w:rFonts w:ascii="SimSun" w:eastAsia="SimSun" w:hAnsi="SimSun" w:cs="SimSun"/>
          <w:sz w:val="21"/>
          <w:szCs w:val="21"/>
        </w:rPr>
        <w:t xml:space="preserve"> </w:t>
      </w:r>
    </w:p>
    <w:p>
      <w:pPr>
        <w:spacing w:before="210" w:line="286" w:lineRule="auto"/>
        <w:ind w:left="37" w:right="14"/>
        <w:jc w:val="both"/>
        <w:rPr>
          <w:rFonts w:ascii="SimSun" w:eastAsia="SimSun" w:hAnsi="SimSun" w:cs="SimSun"/>
          <w:sz w:val="21"/>
          <w:szCs w:val="21"/>
        </w:rPr>
      </w:pPr>
      <w:r>
        <w:rPr>
          <w:rFonts w:ascii="SimSun" w:eastAsia="SimSun" w:hAnsi="SimSun" w:cs="SimSun"/>
          <w:sz w:val="21"/>
          <w:szCs w:val="21"/>
        </w:rPr>
        <w:t>重、上海重机、太原重工七家国有企业被称为我</w:t>
      </w:r>
      <w:r>
        <w:rPr>
          <w:rFonts w:ascii="SimSun" w:eastAsia="SimSun" w:hAnsi="SimSun" w:cs="SimSun"/>
          <w:spacing w:val="-1"/>
          <w:sz w:val="21"/>
          <w:szCs w:val="21"/>
        </w:rPr>
        <w:t>国的“七大重工”。近年来重型机械下游建材、煤炭、冶</w:t>
      </w:r>
      <w:r>
        <w:rPr>
          <w:rFonts w:ascii="SimSun" w:eastAsia="SimSun" w:hAnsi="SimSun" w:cs="SimSun"/>
          <w:sz w:val="21"/>
          <w:szCs w:val="21"/>
        </w:rPr>
        <w:t xml:space="preserve"> </w:t>
      </w:r>
      <w:r>
        <w:rPr>
          <w:rFonts w:ascii="SimSun" w:eastAsia="SimSun" w:hAnsi="SimSun" w:cs="SimSun"/>
          <w:spacing w:val="-2"/>
          <w:sz w:val="21"/>
          <w:szCs w:val="21"/>
        </w:rPr>
        <w:t>金、有色金属等行业处于去产能及结构调整中，根据国家统计局数据，</w:t>
      </w:r>
      <w:r>
        <w:rPr>
          <w:rFonts w:ascii="Times New Roman" w:eastAsia="Times New Roman" w:hAnsi="Times New Roman" w:cs="Times New Roman"/>
          <w:spacing w:val="-2"/>
          <w:sz w:val="21"/>
          <w:szCs w:val="21"/>
        </w:rPr>
        <w:t xml:space="preserve">2022 </w:t>
      </w:r>
      <w:r>
        <w:rPr>
          <w:rFonts w:ascii="SimSun" w:eastAsia="SimSun" w:hAnsi="SimSun" w:cs="SimSun"/>
          <w:spacing w:val="-2"/>
          <w:sz w:val="21"/>
          <w:szCs w:val="21"/>
        </w:rPr>
        <w:t>年除煤炭开采和洗选业产能利</w:t>
      </w:r>
    </w:p>
    <w:p>
      <w:pPr>
        <w:spacing w:line="286" w:lineRule="auto"/>
        <w:rPr>
          <w:rFonts w:ascii="SimSun" w:eastAsia="SimSun" w:hAnsi="SimSun" w:cs="SimSun"/>
          <w:sz w:val="21"/>
          <w:szCs w:val="21"/>
        </w:rPr>
        <w:sectPr>
          <w:headerReference w:type="default" r:id="rId48"/>
          <w:footerReference w:type="default" r:id="rId49"/>
          <w:type w:val="nextPage"/>
          <w:pgSz w:w="11907" w:h="16839"/>
          <w:pgMar w:top="1336" w:right="1062" w:bottom="1269" w:left="1104" w:header="1148" w:footer="1077" w:gutter="0"/>
          <w:pgNumType w:start="11"/>
          <w:cols w:space="708"/>
          <w:titlePg w:val="0"/>
        </w:sectPr>
      </w:pPr>
    </w:p>
    <w:p>
      <w:pPr>
        <w:spacing w:line="326" w:lineRule="auto"/>
        <w:rPr>
          <w:rFonts w:ascii="Arial"/>
          <w:sz w:val="21"/>
        </w:rPr>
      </w:pPr>
      <w:r>
        <w:pict>
          <v:shape id="_x0000_s1055" style="width:144.1pt;height:0.75pt;margin-top:739.56pt;margin-left:56.64pt;mso-position-horizontal-relative:page;mso-position-vertical-relative:page;position:absolute;z-index:251693056" coordorigin="0,0" coordsize="2882,15" o:allowincell="f" path="m,14l2881,14l2881,l,l,14xe" filled="t" fillcolor="black" stroked="f"/>
        </w:pict>
      </w:r>
    </w:p>
    <w:p>
      <w:pPr>
        <w:spacing w:before="68" w:line="283" w:lineRule="auto"/>
        <w:ind w:left="36" w:right="76" w:firstLine="2"/>
        <w:jc w:val="both"/>
        <w:rPr>
          <w:rFonts w:ascii="SimSun" w:eastAsia="SimSun" w:hAnsi="SimSun" w:cs="SimSun"/>
          <w:sz w:val="21"/>
          <w:szCs w:val="21"/>
        </w:rPr>
      </w:pPr>
      <w:r>
        <w:rPr>
          <w:rFonts w:ascii="SimSun" w:eastAsia="SimSun" w:hAnsi="SimSun" w:cs="SimSun"/>
          <w:spacing w:val="-1"/>
          <w:sz w:val="21"/>
          <w:szCs w:val="21"/>
        </w:rPr>
        <w:t>用率为</w:t>
      </w:r>
      <w:r>
        <w:rPr>
          <w:rFonts w:ascii="SimSun" w:eastAsia="SimSun" w:hAnsi="SimSun" w:cs="SimSun"/>
          <w:spacing w:val="-9"/>
          <w:sz w:val="21"/>
          <w:szCs w:val="21"/>
        </w:rPr>
        <w:t xml:space="preserve"> </w:t>
      </w:r>
      <w:r>
        <w:rPr>
          <w:rFonts w:ascii="Times New Roman" w:eastAsia="Times New Roman" w:hAnsi="Times New Roman" w:cs="Times New Roman"/>
          <w:spacing w:val="-1"/>
          <w:sz w:val="21"/>
          <w:szCs w:val="21"/>
        </w:rPr>
        <w:t>74.9%</w:t>
      </w:r>
      <w:r>
        <w:rPr>
          <w:rFonts w:ascii="SimSun" w:eastAsia="SimSun" w:hAnsi="SimSun" w:cs="SimSun"/>
          <w:spacing w:val="-1"/>
          <w:sz w:val="21"/>
          <w:szCs w:val="21"/>
        </w:rPr>
        <w:t>，较上年增长</w:t>
      </w:r>
      <w:r>
        <w:rPr>
          <w:rFonts w:ascii="SimSun" w:eastAsia="SimSun" w:hAnsi="SimSun" w:cs="SimSun"/>
          <w:spacing w:val="-23"/>
          <w:sz w:val="21"/>
          <w:szCs w:val="21"/>
        </w:rPr>
        <w:t xml:space="preserve"> </w:t>
      </w:r>
      <w:r>
        <w:rPr>
          <w:rFonts w:ascii="Times New Roman" w:eastAsia="Times New Roman" w:hAnsi="Times New Roman" w:cs="Times New Roman"/>
          <w:spacing w:val="-1"/>
          <w:sz w:val="21"/>
          <w:szCs w:val="21"/>
        </w:rPr>
        <w:t>0.4</w:t>
      </w:r>
      <w:r>
        <w:rPr>
          <w:rFonts w:ascii="Times New Roman" w:eastAsia="Times New Roman" w:hAnsi="Times New Roman" w:cs="Times New Roman"/>
          <w:spacing w:val="28"/>
          <w:w w:val="101"/>
          <w:sz w:val="21"/>
          <w:szCs w:val="21"/>
        </w:rPr>
        <w:t xml:space="preserve"> </w:t>
      </w:r>
      <w:r>
        <w:rPr>
          <w:rFonts w:ascii="SimSun" w:eastAsia="SimSun" w:hAnsi="SimSun" w:cs="SimSun"/>
          <w:spacing w:val="-1"/>
          <w:sz w:val="21"/>
          <w:szCs w:val="21"/>
        </w:rPr>
        <w:t>个百分点，黑色金属冶炼和压延加工业、有色金属冶炼和压延加工业、非</w:t>
      </w:r>
      <w:r>
        <w:rPr>
          <w:rFonts w:ascii="SimSun" w:eastAsia="SimSun" w:hAnsi="SimSun" w:cs="SimSun"/>
          <w:sz w:val="21"/>
          <w:szCs w:val="21"/>
        </w:rPr>
        <w:t xml:space="preserve"> </w:t>
      </w:r>
      <w:r>
        <w:rPr>
          <w:rFonts w:ascii="SimSun" w:eastAsia="SimSun" w:hAnsi="SimSun" w:cs="SimSun"/>
          <w:spacing w:val="-1"/>
          <w:sz w:val="21"/>
          <w:szCs w:val="21"/>
        </w:rPr>
        <w:t>金属矿物制品业产能利用率分别为</w:t>
      </w:r>
      <w:r>
        <w:rPr>
          <w:rFonts w:ascii="SimSun" w:eastAsia="SimSun" w:hAnsi="SimSun" w:cs="SimSun"/>
          <w:spacing w:val="-44"/>
          <w:sz w:val="21"/>
          <w:szCs w:val="21"/>
        </w:rPr>
        <w:t xml:space="preserve"> </w:t>
      </w:r>
      <w:r>
        <w:rPr>
          <w:rFonts w:ascii="Times New Roman" w:eastAsia="Times New Roman" w:hAnsi="Times New Roman" w:cs="Times New Roman"/>
          <w:spacing w:val="-1"/>
          <w:sz w:val="21"/>
          <w:szCs w:val="21"/>
        </w:rPr>
        <w:t>76.3%</w:t>
      </w:r>
      <w:r>
        <w:rPr>
          <w:rFonts w:ascii="Times New Roman" w:eastAsia="Times New Roman" w:hAnsi="Times New Roman" w:cs="Times New Roman"/>
          <w:spacing w:val="-30"/>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pacing w:val="-1"/>
          <w:sz w:val="21"/>
          <w:szCs w:val="21"/>
        </w:rPr>
        <w:t>79.3%</w:t>
      </w:r>
      <w:r>
        <w:rPr>
          <w:rFonts w:ascii="SimSun" w:eastAsia="SimSun" w:hAnsi="SimSun" w:cs="SimSun"/>
          <w:spacing w:val="-1"/>
          <w:sz w:val="21"/>
          <w:szCs w:val="21"/>
        </w:rPr>
        <w:t>、</w:t>
      </w:r>
      <w:r>
        <w:rPr>
          <w:rFonts w:ascii="Times New Roman" w:eastAsia="Times New Roman" w:hAnsi="Times New Roman" w:cs="Times New Roman"/>
          <w:spacing w:val="-1"/>
          <w:sz w:val="21"/>
          <w:szCs w:val="21"/>
        </w:rPr>
        <w:t>67%</w:t>
      </w:r>
      <w:r>
        <w:rPr>
          <w:rFonts w:ascii="SimSun" w:eastAsia="SimSun" w:hAnsi="SimSun" w:cs="SimSun"/>
          <w:spacing w:val="-1"/>
          <w:sz w:val="21"/>
          <w:szCs w:val="21"/>
        </w:rPr>
        <w:t>，较上年分别下降</w:t>
      </w:r>
      <w:r>
        <w:rPr>
          <w:rFonts w:ascii="SimSun" w:eastAsia="SimSun" w:hAnsi="SimSun" w:cs="SimSun"/>
          <w:spacing w:val="-50"/>
          <w:sz w:val="21"/>
          <w:szCs w:val="21"/>
        </w:rPr>
        <w:t xml:space="preserve"> </w:t>
      </w:r>
      <w:r>
        <w:rPr>
          <w:rFonts w:ascii="Times New Roman" w:eastAsia="Times New Roman" w:hAnsi="Times New Roman" w:cs="Times New Roman"/>
          <w:spacing w:val="-1"/>
          <w:sz w:val="21"/>
          <w:szCs w:val="21"/>
        </w:rPr>
        <w:t>2.9</w:t>
      </w:r>
      <w:r>
        <w:rPr>
          <w:rFonts w:ascii="SimSun" w:eastAsia="SimSun" w:hAnsi="SimSun" w:cs="SimSun"/>
          <w:spacing w:val="-1"/>
          <w:sz w:val="21"/>
          <w:szCs w:val="21"/>
        </w:rPr>
        <w:t>、</w:t>
      </w:r>
      <w:r>
        <w:rPr>
          <w:rFonts w:ascii="Times New Roman" w:eastAsia="Times New Roman" w:hAnsi="Times New Roman" w:cs="Times New Roman"/>
          <w:spacing w:val="-1"/>
          <w:sz w:val="21"/>
          <w:szCs w:val="21"/>
        </w:rPr>
        <w:t xml:space="preserve">0.2 </w:t>
      </w:r>
      <w:r>
        <w:rPr>
          <w:rFonts w:ascii="SimSun" w:eastAsia="SimSun" w:hAnsi="SimSun" w:cs="SimSun"/>
          <w:spacing w:val="-1"/>
          <w:sz w:val="21"/>
          <w:szCs w:val="21"/>
        </w:rPr>
        <w:t>和</w:t>
      </w:r>
      <w:r>
        <w:rPr>
          <w:rFonts w:ascii="SimSun" w:eastAsia="SimSun" w:hAnsi="SimSun" w:cs="SimSun"/>
          <w:spacing w:val="-48"/>
          <w:sz w:val="21"/>
          <w:szCs w:val="21"/>
        </w:rPr>
        <w:t xml:space="preserve"> </w:t>
      </w:r>
      <w:r>
        <w:rPr>
          <w:rFonts w:ascii="Times New Roman" w:eastAsia="Times New Roman" w:hAnsi="Times New Roman" w:cs="Times New Roman"/>
          <w:spacing w:val="-1"/>
          <w:sz w:val="21"/>
          <w:szCs w:val="21"/>
        </w:rPr>
        <w:t xml:space="preserve">2.9 </w:t>
      </w:r>
      <w:r>
        <w:rPr>
          <w:rFonts w:ascii="SimSun" w:eastAsia="SimSun" w:hAnsi="SimSun" w:cs="SimSun"/>
          <w:spacing w:val="-1"/>
          <w:sz w:val="21"/>
          <w:szCs w:val="21"/>
        </w:rPr>
        <w:t>个</w:t>
      </w:r>
      <w:r>
        <w:rPr>
          <w:rFonts w:ascii="SimSun" w:eastAsia="SimSun" w:hAnsi="SimSun" w:cs="SimSun"/>
          <w:spacing w:val="-2"/>
          <w:sz w:val="21"/>
          <w:szCs w:val="21"/>
        </w:rPr>
        <w:t>百分点。受此</w:t>
      </w:r>
      <w:r>
        <w:rPr>
          <w:rFonts w:ascii="SimSun" w:eastAsia="SimSun" w:hAnsi="SimSun" w:cs="SimSun"/>
          <w:sz w:val="21"/>
          <w:szCs w:val="21"/>
        </w:rPr>
        <w:t xml:space="preserve"> </w:t>
      </w:r>
      <w:r>
        <w:rPr>
          <w:rFonts w:ascii="SimSun" w:eastAsia="SimSun" w:hAnsi="SimSun" w:cs="SimSun"/>
          <w:sz w:val="21"/>
          <w:szCs w:val="21"/>
        </w:rPr>
        <w:t>影响重型机械行业面临市场需求疲弱、竞争</w:t>
      </w:r>
      <w:r>
        <w:rPr>
          <w:rFonts w:ascii="SimSun" w:eastAsia="SimSun" w:hAnsi="SimSun" w:cs="SimSun"/>
          <w:spacing w:val="-1"/>
          <w:sz w:val="21"/>
          <w:szCs w:val="21"/>
        </w:rPr>
        <w:t>激烈、价格下滑的情况，企业经营压力较大。根据中国重型机</w:t>
      </w:r>
      <w:r>
        <w:rPr>
          <w:rFonts w:ascii="SimSun" w:eastAsia="SimSun" w:hAnsi="SimSun" w:cs="SimSun"/>
          <w:sz w:val="21"/>
          <w:szCs w:val="21"/>
        </w:rPr>
        <w:t xml:space="preserve"> </w:t>
      </w:r>
      <w:r>
        <w:rPr>
          <w:rFonts w:ascii="SimSun" w:eastAsia="SimSun" w:hAnsi="SimSun" w:cs="SimSun"/>
          <w:sz w:val="21"/>
          <w:szCs w:val="21"/>
        </w:rPr>
        <w:t>械工业协会数据，</w:t>
      </w:r>
      <w:r>
        <w:rPr>
          <w:rFonts w:ascii="Times New Roman" w:eastAsia="Times New Roman" w:hAnsi="Times New Roman" w:cs="Times New Roman"/>
          <w:sz w:val="21"/>
          <w:szCs w:val="21"/>
        </w:rPr>
        <w:t xml:space="preserve">2022 </w:t>
      </w:r>
      <w:r>
        <w:rPr>
          <w:rFonts w:ascii="SimSun" w:eastAsia="SimSun" w:hAnsi="SimSun" w:cs="SimSun"/>
          <w:sz w:val="21"/>
          <w:szCs w:val="21"/>
        </w:rPr>
        <w:t>年重型机械行业实现营业</w:t>
      </w:r>
      <w:r>
        <w:rPr>
          <w:rFonts w:ascii="SimSun" w:eastAsia="SimSun" w:hAnsi="SimSun" w:cs="SimSun"/>
          <w:spacing w:val="-1"/>
          <w:sz w:val="21"/>
          <w:szCs w:val="21"/>
        </w:rPr>
        <w:t>收入</w:t>
      </w:r>
      <w:r>
        <w:rPr>
          <w:rFonts w:ascii="SimSun" w:eastAsia="SimSun" w:hAnsi="SimSun" w:cs="SimSun"/>
          <w:spacing w:val="-25"/>
          <w:sz w:val="21"/>
          <w:szCs w:val="21"/>
        </w:rPr>
        <w:t xml:space="preserve"> </w:t>
      </w:r>
      <w:r>
        <w:rPr>
          <w:rFonts w:ascii="Times New Roman" w:eastAsia="Times New Roman" w:hAnsi="Times New Roman" w:cs="Times New Roman"/>
          <w:spacing w:val="-1"/>
          <w:sz w:val="21"/>
          <w:szCs w:val="21"/>
        </w:rPr>
        <w:t xml:space="preserve">12,020 </w:t>
      </w:r>
      <w:r>
        <w:rPr>
          <w:rFonts w:ascii="SimSun" w:eastAsia="SimSun" w:hAnsi="SimSun" w:cs="SimSun"/>
          <w:spacing w:val="-1"/>
          <w:sz w:val="21"/>
          <w:szCs w:val="21"/>
        </w:rPr>
        <w:t>亿元，同比下降</w:t>
      </w:r>
      <w:r>
        <w:rPr>
          <w:rFonts w:ascii="SimSun" w:eastAsia="SimSun" w:hAnsi="SimSun" w:cs="SimSun"/>
          <w:spacing w:val="-49"/>
          <w:sz w:val="21"/>
          <w:szCs w:val="21"/>
        </w:rPr>
        <w:t xml:space="preserve"> </w:t>
      </w:r>
      <w:r>
        <w:rPr>
          <w:rFonts w:ascii="Times New Roman" w:eastAsia="Times New Roman" w:hAnsi="Times New Roman" w:cs="Times New Roman"/>
          <w:spacing w:val="-1"/>
          <w:sz w:val="21"/>
          <w:szCs w:val="21"/>
        </w:rPr>
        <w:t>4.4%</w:t>
      </w:r>
      <w:r>
        <w:rPr>
          <w:rFonts w:ascii="SimSun" w:eastAsia="SimSun" w:hAnsi="SimSun" w:cs="SimSun"/>
          <w:spacing w:val="-1"/>
          <w:sz w:val="21"/>
          <w:szCs w:val="21"/>
        </w:rPr>
        <w:t>；实现利润总额</w:t>
      </w:r>
      <w:r>
        <w:rPr>
          <w:rFonts w:ascii="SimSun" w:eastAsia="SimSun" w:hAnsi="SimSun" w:cs="SimSun"/>
          <w:spacing w:val="-43"/>
          <w:sz w:val="21"/>
          <w:szCs w:val="21"/>
        </w:rPr>
        <w:t xml:space="preserve"> </w:t>
      </w:r>
      <w:r>
        <w:rPr>
          <w:rFonts w:ascii="Times New Roman" w:eastAsia="Times New Roman" w:hAnsi="Times New Roman" w:cs="Times New Roman"/>
          <w:spacing w:val="-1"/>
          <w:sz w:val="21"/>
          <w:szCs w:val="21"/>
        </w:rPr>
        <w:t xml:space="preserve">696 </w:t>
      </w:r>
      <w:r>
        <w:rPr>
          <w:rFonts w:ascii="SimSun" w:eastAsia="SimSun" w:hAnsi="SimSun" w:cs="SimSun"/>
          <w:spacing w:val="-1"/>
          <w:sz w:val="21"/>
          <w:szCs w:val="21"/>
        </w:rPr>
        <w:t>亿</w:t>
      </w:r>
      <w:r>
        <w:rPr>
          <w:rFonts w:ascii="SimSun" w:eastAsia="SimSun" w:hAnsi="SimSun" w:cs="SimSun"/>
          <w:sz w:val="21"/>
          <w:szCs w:val="21"/>
        </w:rPr>
        <w:t xml:space="preserve"> </w:t>
      </w:r>
      <w:r>
        <w:rPr>
          <w:rFonts w:ascii="SimSun" w:eastAsia="SimSun" w:hAnsi="SimSun" w:cs="SimSun"/>
          <w:spacing w:val="-1"/>
          <w:sz w:val="21"/>
          <w:szCs w:val="21"/>
        </w:rPr>
        <w:t>元，同比下降</w:t>
      </w:r>
      <w:r>
        <w:rPr>
          <w:rFonts w:ascii="SimSun" w:eastAsia="SimSun" w:hAnsi="SimSun" w:cs="SimSun"/>
          <w:spacing w:val="-45"/>
          <w:sz w:val="21"/>
          <w:szCs w:val="21"/>
        </w:rPr>
        <w:t xml:space="preserve"> </w:t>
      </w:r>
      <w:r>
        <w:rPr>
          <w:rFonts w:ascii="Times New Roman" w:eastAsia="Times New Roman" w:hAnsi="Times New Roman" w:cs="Times New Roman"/>
          <w:spacing w:val="-1"/>
          <w:sz w:val="21"/>
          <w:szCs w:val="21"/>
        </w:rPr>
        <w:t>2.9%</w:t>
      </w:r>
      <w:r>
        <w:rPr>
          <w:rFonts w:ascii="SimSun" w:eastAsia="SimSun" w:hAnsi="SimSun" w:cs="SimSun"/>
          <w:spacing w:val="-1"/>
          <w:sz w:val="21"/>
          <w:szCs w:val="21"/>
        </w:rPr>
        <w:t>。重型机械行业亏损面</w:t>
      </w:r>
      <w:r>
        <w:rPr>
          <w:rFonts w:ascii="SimSun" w:eastAsia="SimSun" w:hAnsi="SimSun" w:cs="SimSun"/>
          <w:spacing w:val="-27"/>
          <w:sz w:val="21"/>
          <w:szCs w:val="21"/>
        </w:rPr>
        <w:t xml:space="preserve"> </w:t>
      </w:r>
      <w:r>
        <w:rPr>
          <w:rFonts w:ascii="Times New Roman" w:eastAsia="Times New Roman" w:hAnsi="Times New Roman" w:cs="Times New Roman"/>
          <w:spacing w:val="-1"/>
          <w:sz w:val="21"/>
          <w:szCs w:val="21"/>
        </w:rPr>
        <w:t>19.3%</w:t>
      </w:r>
      <w:r>
        <w:rPr>
          <w:rFonts w:ascii="SimSun" w:eastAsia="SimSun" w:hAnsi="SimSun" w:cs="SimSun"/>
          <w:spacing w:val="-1"/>
          <w:sz w:val="21"/>
          <w:szCs w:val="21"/>
        </w:rPr>
        <w:t>，较上年扩大</w:t>
      </w:r>
      <w:r>
        <w:rPr>
          <w:rFonts w:ascii="SimSun" w:eastAsia="SimSun" w:hAnsi="SimSun" w:cs="SimSun"/>
          <w:spacing w:val="-48"/>
          <w:sz w:val="21"/>
          <w:szCs w:val="21"/>
        </w:rPr>
        <w:t xml:space="preserve"> </w:t>
      </w:r>
      <w:r>
        <w:rPr>
          <w:rFonts w:ascii="Times New Roman" w:eastAsia="Times New Roman" w:hAnsi="Times New Roman" w:cs="Times New Roman"/>
          <w:spacing w:val="-1"/>
          <w:sz w:val="21"/>
          <w:szCs w:val="21"/>
        </w:rPr>
        <w:t xml:space="preserve">4.2 </w:t>
      </w:r>
      <w:r>
        <w:rPr>
          <w:rFonts w:ascii="SimSun" w:eastAsia="SimSun" w:hAnsi="SimSun" w:cs="SimSun"/>
          <w:spacing w:val="-1"/>
          <w:sz w:val="21"/>
          <w:szCs w:val="21"/>
        </w:rPr>
        <w:t>个百分点。</w:t>
      </w:r>
    </w:p>
    <w:p>
      <w:pPr>
        <w:spacing w:before="210" w:line="292" w:lineRule="auto"/>
        <w:ind w:left="36"/>
        <w:rPr>
          <w:rFonts w:ascii="SimSun" w:eastAsia="SimSun" w:hAnsi="SimSun" w:cs="SimSun"/>
          <w:sz w:val="21"/>
          <w:szCs w:val="21"/>
        </w:rPr>
      </w:pPr>
      <w:r>
        <w:rPr>
          <w:rFonts w:ascii="SimSun" w:eastAsia="SimSun" w:hAnsi="SimSun" w:cs="SimSun"/>
          <w:spacing w:val="-3"/>
          <w:sz w:val="21"/>
          <w:szCs w:val="21"/>
        </w:rPr>
        <w:t>机床作为工业母机是将金属毛坯加工成机器零件的机器，按加工方</w:t>
      </w:r>
      <w:r>
        <w:rPr>
          <w:rFonts w:ascii="SimSun" w:eastAsia="SimSun" w:hAnsi="SimSun" w:cs="SimSun"/>
          <w:spacing w:val="-4"/>
          <w:sz w:val="21"/>
          <w:szCs w:val="21"/>
        </w:rPr>
        <w:t>式可分为金属切削机床、金属成形机床。</w:t>
      </w:r>
      <w:r>
        <w:rPr>
          <w:rFonts w:ascii="SimSun" w:eastAsia="SimSun" w:hAnsi="SimSun" w:cs="SimSun"/>
          <w:sz w:val="21"/>
          <w:szCs w:val="21"/>
        </w:rPr>
        <w:t xml:space="preserve"> </w:t>
      </w:r>
      <w:r>
        <w:rPr>
          <w:rFonts w:ascii="SimSun" w:eastAsia="SimSun" w:hAnsi="SimSun" w:cs="SimSun"/>
          <w:spacing w:val="-6"/>
          <w:sz w:val="21"/>
          <w:szCs w:val="21"/>
        </w:rPr>
        <w:t>虽然我国为机床出口大国，但是目前在数控系统、高精度传感器、主轴等核心零部件领域竞争力依然薄弱，</w:t>
      </w:r>
      <w:r>
        <w:rPr>
          <w:rFonts w:ascii="SimSun" w:eastAsia="SimSun" w:hAnsi="SimSun" w:cs="SimSun"/>
          <w:sz w:val="21"/>
          <w:szCs w:val="21"/>
        </w:rPr>
        <w:t xml:space="preserve">  </w:t>
      </w:r>
      <w:r>
        <w:rPr>
          <w:rFonts w:ascii="SimSun" w:eastAsia="SimSun" w:hAnsi="SimSun" w:cs="SimSun"/>
          <w:spacing w:val="-2"/>
          <w:sz w:val="21"/>
          <w:szCs w:val="21"/>
        </w:rPr>
        <w:t>高端领域仍主要被欧洲、日本等外资制造商垄断。根据中国机床工具工业协会数据，</w:t>
      </w:r>
      <w:r>
        <w:rPr>
          <w:rFonts w:ascii="Times New Roman" w:eastAsia="Times New Roman" w:hAnsi="Times New Roman" w:cs="Times New Roman"/>
          <w:spacing w:val="-2"/>
          <w:sz w:val="21"/>
          <w:szCs w:val="21"/>
        </w:rPr>
        <w:t xml:space="preserve">2022 </w:t>
      </w:r>
      <w:r>
        <w:rPr>
          <w:rFonts w:ascii="SimSun" w:eastAsia="SimSun" w:hAnsi="SimSun" w:cs="SimSun"/>
          <w:spacing w:val="-2"/>
          <w:sz w:val="21"/>
          <w:szCs w:val="21"/>
        </w:rPr>
        <w:t xml:space="preserve">年中国金属切削 </w:t>
      </w:r>
      <w:r>
        <w:rPr>
          <w:rFonts w:ascii="SimSun" w:eastAsia="SimSun" w:hAnsi="SimSun" w:cs="SimSun"/>
          <w:spacing w:val="-2"/>
          <w:sz w:val="21"/>
          <w:szCs w:val="21"/>
        </w:rPr>
        <w:t>机床产量</w:t>
      </w:r>
      <w:r>
        <w:rPr>
          <w:rFonts w:ascii="SimSun" w:eastAsia="SimSun" w:hAnsi="SimSun" w:cs="SimSun"/>
          <w:spacing w:val="-41"/>
          <w:sz w:val="21"/>
          <w:szCs w:val="21"/>
        </w:rPr>
        <w:t xml:space="preserve"> </w:t>
      </w:r>
      <w:r>
        <w:rPr>
          <w:rFonts w:ascii="Times New Roman" w:eastAsia="Times New Roman" w:hAnsi="Times New Roman" w:cs="Times New Roman"/>
          <w:spacing w:val="-2"/>
          <w:sz w:val="21"/>
          <w:szCs w:val="21"/>
        </w:rPr>
        <w:t xml:space="preserve">57.2 </w:t>
      </w:r>
      <w:r>
        <w:rPr>
          <w:rFonts w:ascii="SimSun" w:eastAsia="SimSun" w:hAnsi="SimSun" w:cs="SimSun"/>
          <w:spacing w:val="-2"/>
          <w:sz w:val="21"/>
          <w:szCs w:val="21"/>
        </w:rPr>
        <w:t>万台，数控化率为</w:t>
      </w:r>
      <w:r>
        <w:rPr>
          <w:rFonts w:ascii="SimSun" w:eastAsia="SimSun" w:hAnsi="SimSun" w:cs="SimSun"/>
          <w:spacing w:val="-49"/>
          <w:sz w:val="21"/>
          <w:szCs w:val="21"/>
        </w:rPr>
        <w:t xml:space="preserve"> </w:t>
      </w:r>
      <w:r>
        <w:rPr>
          <w:rFonts w:ascii="Times New Roman" w:eastAsia="Times New Roman" w:hAnsi="Times New Roman" w:cs="Times New Roman"/>
          <w:spacing w:val="-2"/>
          <w:sz w:val="21"/>
          <w:szCs w:val="21"/>
        </w:rPr>
        <w:t>46.3%</w:t>
      </w:r>
      <w:r>
        <w:rPr>
          <w:rFonts w:ascii="SimSun" w:eastAsia="SimSun" w:hAnsi="SimSun" w:cs="SimSun"/>
          <w:spacing w:val="-2"/>
          <w:sz w:val="21"/>
          <w:szCs w:val="21"/>
        </w:rPr>
        <w:t>；金属成型机床产量</w:t>
      </w:r>
      <w:r>
        <w:rPr>
          <w:rFonts w:ascii="SimSun" w:eastAsia="SimSun" w:hAnsi="SimSun" w:cs="SimSun"/>
          <w:spacing w:val="-27"/>
          <w:sz w:val="21"/>
          <w:szCs w:val="21"/>
        </w:rPr>
        <w:t xml:space="preserve"> </w:t>
      </w:r>
      <w:r>
        <w:rPr>
          <w:rFonts w:ascii="Times New Roman" w:eastAsia="Times New Roman" w:hAnsi="Times New Roman" w:cs="Times New Roman"/>
          <w:spacing w:val="-2"/>
          <w:sz w:val="21"/>
          <w:szCs w:val="21"/>
        </w:rPr>
        <w:t xml:space="preserve">18.3 </w:t>
      </w:r>
      <w:r>
        <w:rPr>
          <w:rFonts w:ascii="SimSun" w:eastAsia="SimSun" w:hAnsi="SimSun" w:cs="SimSun"/>
          <w:spacing w:val="-2"/>
          <w:sz w:val="21"/>
          <w:szCs w:val="21"/>
        </w:rPr>
        <w:t>万台，</w:t>
      </w:r>
      <w:r>
        <w:rPr>
          <w:rFonts w:ascii="SimSun" w:eastAsia="SimSun" w:hAnsi="SimSun" w:cs="SimSun"/>
          <w:spacing w:val="-3"/>
          <w:sz w:val="21"/>
          <w:szCs w:val="21"/>
        </w:rPr>
        <w:t>数控化率仅为</w:t>
      </w:r>
      <w:r>
        <w:rPr>
          <w:rFonts w:ascii="SimSun" w:eastAsia="SimSun" w:hAnsi="SimSun" w:cs="SimSun"/>
          <w:spacing w:val="-30"/>
          <w:sz w:val="21"/>
          <w:szCs w:val="21"/>
        </w:rPr>
        <w:t xml:space="preserve"> </w:t>
      </w:r>
      <w:r>
        <w:rPr>
          <w:rFonts w:ascii="Times New Roman" w:eastAsia="Times New Roman" w:hAnsi="Times New Roman" w:cs="Times New Roman"/>
          <w:spacing w:val="-3"/>
          <w:sz w:val="21"/>
          <w:szCs w:val="21"/>
        </w:rPr>
        <w:t>11.3%</w:t>
      </w:r>
      <w:r>
        <w:rPr>
          <w:rFonts w:ascii="SimSun" w:eastAsia="SimSun" w:hAnsi="SimSun" w:cs="SimSun"/>
          <w:spacing w:val="-3"/>
          <w:sz w:val="21"/>
          <w:szCs w:val="21"/>
        </w:rPr>
        <w:t xml:space="preserve">。国内机床企 </w:t>
      </w:r>
      <w:r>
        <w:rPr>
          <w:rFonts w:ascii="SimSun" w:eastAsia="SimSun" w:hAnsi="SimSun" w:cs="SimSun"/>
          <w:spacing w:val="-4"/>
          <w:sz w:val="21"/>
          <w:szCs w:val="21"/>
        </w:rPr>
        <w:t>业产业集中度较低，</w:t>
      </w:r>
      <w:r>
        <w:rPr>
          <w:rFonts w:ascii="SimSun" w:eastAsia="SimSun" w:hAnsi="SimSun" w:cs="SimSun"/>
          <w:spacing w:val="-27"/>
          <w:sz w:val="21"/>
          <w:szCs w:val="21"/>
        </w:rPr>
        <w:t xml:space="preserve"> </w:t>
      </w:r>
      <w:r>
        <w:rPr>
          <w:rFonts w:ascii="Times New Roman" w:eastAsia="Times New Roman" w:hAnsi="Times New Roman" w:cs="Times New Roman"/>
          <w:spacing w:val="-4"/>
          <w:sz w:val="21"/>
          <w:szCs w:val="21"/>
        </w:rPr>
        <w:t>2022</w:t>
      </w:r>
      <w:r>
        <w:rPr>
          <w:rFonts w:ascii="Times New Roman" w:eastAsia="Times New Roman" w:hAnsi="Times New Roman" w:cs="Times New Roman"/>
          <w:spacing w:val="41"/>
          <w:sz w:val="21"/>
          <w:szCs w:val="21"/>
        </w:rPr>
        <w:t xml:space="preserve"> </w:t>
      </w:r>
      <w:r>
        <w:rPr>
          <w:rFonts w:ascii="SimSun" w:eastAsia="SimSun" w:hAnsi="SimSun" w:cs="SimSun"/>
          <w:spacing w:val="-4"/>
          <w:sz w:val="21"/>
          <w:szCs w:val="21"/>
        </w:rPr>
        <w:t xml:space="preserve">年前十大上市公司市场占有率仅 </w:t>
      </w:r>
      <w:r>
        <w:rPr>
          <w:rFonts w:ascii="Times New Roman" w:eastAsia="Times New Roman" w:hAnsi="Times New Roman" w:cs="Times New Roman"/>
          <w:spacing w:val="-4"/>
          <w:sz w:val="21"/>
          <w:szCs w:val="21"/>
        </w:rPr>
        <w:t>8.8%</w:t>
      </w:r>
      <w:r>
        <w:rPr>
          <w:rFonts w:ascii="SimSun" w:eastAsia="SimSun" w:hAnsi="SimSun" w:cs="SimSun"/>
          <w:spacing w:val="-4"/>
          <w:sz w:val="21"/>
          <w:szCs w:val="21"/>
        </w:rPr>
        <w:t>，单个企业</w:t>
      </w:r>
      <w:r>
        <w:rPr>
          <w:rFonts w:ascii="SimSun" w:eastAsia="SimSun" w:hAnsi="SimSun" w:cs="SimSun"/>
          <w:spacing w:val="-5"/>
          <w:sz w:val="21"/>
          <w:szCs w:val="21"/>
        </w:rPr>
        <w:t xml:space="preserve">规模及研发投入有限， 品牌竞 </w:t>
      </w:r>
      <w:r>
        <w:rPr>
          <w:rFonts w:ascii="SimSun" w:eastAsia="SimSun" w:hAnsi="SimSun" w:cs="SimSun"/>
          <w:spacing w:val="-2"/>
          <w:sz w:val="21"/>
          <w:szCs w:val="21"/>
        </w:rPr>
        <w:t>争力不足。根据中国机床工具工业协会数据，</w:t>
      </w:r>
      <w:r>
        <w:rPr>
          <w:rFonts w:ascii="Times New Roman" w:eastAsia="Times New Roman" w:hAnsi="Times New Roman" w:cs="Times New Roman"/>
          <w:spacing w:val="-2"/>
          <w:sz w:val="21"/>
          <w:szCs w:val="21"/>
        </w:rPr>
        <w:t xml:space="preserve">2022 </w:t>
      </w:r>
      <w:r>
        <w:rPr>
          <w:rFonts w:ascii="SimSun" w:eastAsia="SimSun" w:hAnsi="SimSun" w:cs="SimSun"/>
          <w:spacing w:val="-2"/>
          <w:sz w:val="21"/>
          <w:szCs w:val="21"/>
        </w:rPr>
        <w:t xml:space="preserve">年在遭受外部环境冲击情况下，中国机床工具协会重点 </w:t>
      </w:r>
      <w:r>
        <w:rPr>
          <w:rFonts w:ascii="SimSun" w:eastAsia="SimSun" w:hAnsi="SimSun" w:cs="SimSun"/>
          <w:spacing w:val="-1"/>
          <w:sz w:val="21"/>
          <w:szCs w:val="21"/>
        </w:rPr>
        <w:t>联系企业累计完成营业收入同比下降</w:t>
      </w:r>
      <w:r>
        <w:rPr>
          <w:rFonts w:ascii="SimSun" w:eastAsia="SimSun" w:hAnsi="SimSun" w:cs="SimSun"/>
          <w:spacing w:val="-44"/>
          <w:sz w:val="21"/>
          <w:szCs w:val="21"/>
        </w:rPr>
        <w:t xml:space="preserve"> </w:t>
      </w:r>
      <w:r>
        <w:rPr>
          <w:rFonts w:ascii="Times New Roman" w:eastAsia="Times New Roman" w:hAnsi="Times New Roman" w:cs="Times New Roman"/>
          <w:spacing w:val="-1"/>
          <w:sz w:val="21"/>
          <w:szCs w:val="21"/>
        </w:rPr>
        <w:t>0.3%</w:t>
      </w:r>
      <w:r>
        <w:rPr>
          <w:rFonts w:ascii="SimSun" w:eastAsia="SimSun" w:hAnsi="SimSun" w:cs="SimSun"/>
          <w:spacing w:val="-1"/>
          <w:sz w:val="21"/>
          <w:szCs w:val="21"/>
        </w:rPr>
        <w:t>；</w:t>
      </w:r>
      <w:r>
        <w:rPr>
          <w:rFonts w:ascii="SimSun" w:eastAsia="SimSun" w:hAnsi="SimSun" w:cs="SimSun"/>
          <w:spacing w:val="-2"/>
          <w:sz w:val="21"/>
          <w:szCs w:val="21"/>
        </w:rPr>
        <w:t>实现利润总额同比增长</w:t>
      </w:r>
      <w:r>
        <w:rPr>
          <w:rFonts w:ascii="SimSun" w:eastAsia="SimSun" w:hAnsi="SimSun" w:cs="SimSun"/>
          <w:spacing w:val="-49"/>
          <w:sz w:val="21"/>
          <w:szCs w:val="21"/>
        </w:rPr>
        <w:t xml:space="preserve"> </w:t>
      </w:r>
      <w:r>
        <w:rPr>
          <w:rFonts w:ascii="Times New Roman" w:eastAsia="Times New Roman" w:hAnsi="Times New Roman" w:cs="Times New Roman"/>
          <w:spacing w:val="-2"/>
          <w:sz w:val="21"/>
          <w:szCs w:val="21"/>
        </w:rPr>
        <w:t>43.7%</w:t>
      </w:r>
      <w:r>
        <w:rPr>
          <w:rFonts w:ascii="SimSun" w:eastAsia="SimSun" w:hAnsi="SimSun" w:cs="SimSun"/>
          <w:spacing w:val="-2"/>
          <w:sz w:val="21"/>
          <w:szCs w:val="21"/>
        </w:rPr>
        <w:t xml:space="preserve">，主要由于前期利润总额基础较 </w:t>
      </w:r>
      <w:r>
        <w:rPr>
          <w:rFonts w:ascii="SimSun" w:eastAsia="SimSun" w:hAnsi="SimSun" w:cs="SimSun"/>
          <w:spacing w:val="-3"/>
          <w:sz w:val="21"/>
          <w:szCs w:val="21"/>
        </w:rPr>
        <w:t xml:space="preserve">低， 同时叠加产品结构升级影响。高端数控机床是机械行业未来技术攻坚的重要领域，在国家科技重大专 </w:t>
      </w:r>
      <w:r>
        <w:rPr>
          <w:rFonts w:ascii="SimSun" w:eastAsia="SimSun" w:hAnsi="SimSun" w:cs="SimSun"/>
          <w:spacing w:val="-7"/>
          <w:sz w:val="21"/>
          <w:szCs w:val="21"/>
        </w:rPr>
        <w:t>项</w:t>
      </w:r>
      <w:r>
        <w:rPr>
          <w:rFonts w:ascii="Times New Roman" w:eastAsia="Times New Roman" w:hAnsi="Times New Roman" w:cs="Times New Roman"/>
          <w:spacing w:val="-7"/>
          <w:position w:val="6"/>
          <w:sz w:val="13"/>
          <w:szCs w:val="13"/>
        </w:rPr>
        <w:t>3</w:t>
      </w:r>
      <w:r>
        <w:rPr>
          <w:rFonts w:ascii="SimSun" w:eastAsia="SimSun" w:hAnsi="SimSun" w:cs="SimSun"/>
          <w:spacing w:val="-7"/>
          <w:sz w:val="21"/>
          <w:szCs w:val="21"/>
        </w:rPr>
        <w:t>推动下，国产高端机床、数控系统、核心零部件开始在军工、航空航天等高端制造</w:t>
      </w:r>
      <w:r>
        <w:rPr>
          <w:rFonts w:ascii="SimSun" w:eastAsia="SimSun" w:hAnsi="SimSun" w:cs="SimSun"/>
          <w:spacing w:val="-8"/>
          <w:sz w:val="21"/>
          <w:szCs w:val="21"/>
        </w:rPr>
        <w:t>业领域实现进口替代，</w:t>
      </w:r>
      <w:r>
        <w:rPr>
          <w:rFonts w:ascii="SimSun" w:eastAsia="SimSun" w:hAnsi="SimSun" w:cs="SimSun"/>
          <w:sz w:val="21"/>
          <w:szCs w:val="21"/>
        </w:rPr>
        <w:t xml:space="preserve">  </w:t>
      </w:r>
      <w:r>
        <w:rPr>
          <w:rFonts w:ascii="SimSun" w:eastAsia="SimSun" w:hAnsi="SimSun" w:cs="SimSun"/>
          <w:spacing w:val="-2"/>
          <w:sz w:val="21"/>
          <w:szCs w:val="21"/>
        </w:rPr>
        <w:t>《中国制造</w:t>
      </w:r>
      <w:r>
        <w:rPr>
          <w:rFonts w:ascii="SimSun" w:eastAsia="SimSun" w:hAnsi="SimSun" w:cs="SimSun"/>
          <w:spacing w:val="-41"/>
          <w:sz w:val="21"/>
          <w:szCs w:val="21"/>
        </w:rPr>
        <w:t xml:space="preserve"> </w:t>
      </w:r>
      <w:r>
        <w:rPr>
          <w:rFonts w:ascii="Times New Roman" w:eastAsia="Times New Roman" w:hAnsi="Times New Roman" w:cs="Times New Roman"/>
          <w:spacing w:val="-2"/>
          <w:sz w:val="21"/>
          <w:szCs w:val="21"/>
        </w:rPr>
        <w:t>2025</w:t>
      </w:r>
      <w:r>
        <w:rPr>
          <w:rFonts w:ascii="SimSun" w:eastAsia="SimSun" w:hAnsi="SimSun" w:cs="SimSun"/>
          <w:spacing w:val="-2"/>
          <w:sz w:val="21"/>
          <w:szCs w:val="21"/>
        </w:rPr>
        <w:t xml:space="preserve">》和《十四五智能制造发展规划》均将高档数控机床列为未来十年制造业重点发展领域之 </w:t>
      </w:r>
      <w:r>
        <w:rPr>
          <w:rFonts w:ascii="SimSun" w:eastAsia="SimSun" w:hAnsi="SimSun" w:cs="SimSun"/>
          <w:spacing w:val="-4"/>
          <w:sz w:val="21"/>
          <w:szCs w:val="21"/>
        </w:rPr>
        <w:t>一，提出到</w:t>
      </w:r>
      <w:r>
        <w:rPr>
          <w:rFonts w:ascii="SimSun" w:eastAsia="SimSun" w:hAnsi="SimSun" w:cs="SimSun"/>
          <w:spacing w:val="-38"/>
          <w:sz w:val="21"/>
          <w:szCs w:val="21"/>
        </w:rPr>
        <w:t xml:space="preserve"> </w:t>
      </w:r>
      <w:r>
        <w:rPr>
          <w:rFonts w:ascii="Times New Roman" w:eastAsia="Times New Roman" w:hAnsi="Times New Roman" w:cs="Times New Roman"/>
          <w:spacing w:val="-4"/>
          <w:sz w:val="21"/>
          <w:szCs w:val="21"/>
        </w:rPr>
        <w:t xml:space="preserve">2025 </w:t>
      </w:r>
      <w:r>
        <w:rPr>
          <w:rFonts w:ascii="SimSun" w:eastAsia="SimSun" w:hAnsi="SimSun" w:cs="SimSun"/>
          <w:spacing w:val="-4"/>
          <w:sz w:val="21"/>
          <w:szCs w:val="21"/>
        </w:rPr>
        <w:t>年关键工序数控化率达到</w:t>
      </w:r>
      <w:r>
        <w:rPr>
          <w:rFonts w:ascii="SimSun" w:eastAsia="SimSun" w:hAnsi="SimSun" w:cs="SimSun"/>
          <w:spacing w:val="-43"/>
          <w:sz w:val="21"/>
          <w:szCs w:val="21"/>
        </w:rPr>
        <w:t xml:space="preserve"> </w:t>
      </w:r>
      <w:r>
        <w:rPr>
          <w:rFonts w:ascii="Times New Roman" w:eastAsia="Times New Roman" w:hAnsi="Times New Roman" w:cs="Times New Roman"/>
          <w:spacing w:val="-4"/>
          <w:sz w:val="21"/>
          <w:szCs w:val="21"/>
        </w:rPr>
        <w:t>64%</w:t>
      </w:r>
      <w:r>
        <w:rPr>
          <w:rFonts w:ascii="SimSun" w:eastAsia="SimSun" w:hAnsi="SimSun" w:cs="SimSun"/>
          <w:spacing w:val="-4"/>
          <w:sz w:val="21"/>
          <w:szCs w:val="21"/>
        </w:rPr>
        <w:t>，高档数控机床与基础制造装备国内市场占有率超过</w:t>
      </w:r>
      <w:r>
        <w:rPr>
          <w:rFonts w:ascii="SimSun" w:eastAsia="SimSun" w:hAnsi="SimSun" w:cs="SimSun"/>
          <w:spacing w:val="-39"/>
          <w:sz w:val="21"/>
          <w:szCs w:val="21"/>
        </w:rPr>
        <w:t xml:space="preserve"> </w:t>
      </w:r>
      <w:r>
        <w:rPr>
          <w:rFonts w:ascii="Times New Roman" w:eastAsia="Times New Roman" w:hAnsi="Times New Roman" w:cs="Times New Roman"/>
          <w:spacing w:val="-4"/>
          <w:sz w:val="21"/>
          <w:szCs w:val="21"/>
        </w:rPr>
        <w:t>80%</w:t>
      </w:r>
      <w:r>
        <w:rPr>
          <w:rFonts w:ascii="SimSun" w:eastAsia="SimSun" w:hAnsi="SimSun" w:cs="SimSun"/>
          <w:spacing w:val="-4"/>
          <w:sz w:val="21"/>
          <w:szCs w:val="21"/>
        </w:rPr>
        <w:t>。</w:t>
      </w:r>
    </w:p>
    <w:p>
      <w:pPr>
        <w:spacing w:before="206" w:line="290" w:lineRule="auto"/>
        <w:ind w:left="36" w:firstLine="3"/>
        <w:jc w:val="both"/>
        <w:rPr>
          <w:rFonts w:ascii="SimSun" w:eastAsia="SimSun" w:hAnsi="SimSun" w:cs="SimSun"/>
          <w:sz w:val="21"/>
          <w:szCs w:val="21"/>
        </w:rPr>
      </w:pPr>
      <w:r>
        <w:rPr>
          <w:rFonts w:ascii="SimSun" w:eastAsia="SimSun" w:hAnsi="SimSun" w:cs="SimSun"/>
          <w:spacing w:val="-1"/>
          <w:sz w:val="21"/>
          <w:szCs w:val="21"/>
        </w:rPr>
        <w:t xml:space="preserve">工业机器人是用于工业领域的多关节机械手或多自由度的机器装置，其产业链分为上游核心零部件、中游 </w:t>
      </w:r>
      <w:r>
        <w:rPr>
          <w:rFonts w:ascii="SimSun" w:eastAsia="SimSun" w:hAnsi="SimSun" w:cs="SimSun"/>
          <w:spacing w:val="-5"/>
          <w:sz w:val="21"/>
          <w:szCs w:val="21"/>
        </w:rPr>
        <w:t>机器人本体及下游系统集成三个环节。整个产业链中核心零部件环节技术壁垒和附加值最高，长期被</w:t>
      </w:r>
      <w:r>
        <w:rPr>
          <w:rFonts w:ascii="SimSun" w:eastAsia="SimSun" w:hAnsi="SimSun" w:cs="SimSun"/>
          <w:spacing w:val="-36"/>
          <w:sz w:val="21"/>
          <w:szCs w:val="21"/>
        </w:rPr>
        <w:t xml:space="preserve"> </w:t>
      </w:r>
      <w:r>
        <w:rPr>
          <w:rFonts w:ascii="Times New Roman" w:eastAsia="Times New Roman" w:hAnsi="Times New Roman" w:cs="Times New Roman"/>
          <w:spacing w:val="-5"/>
          <w:sz w:val="21"/>
          <w:szCs w:val="21"/>
        </w:rPr>
        <w:t>ABB</w:t>
      </w:r>
      <w:r>
        <w:rPr>
          <w:rFonts w:ascii="SimSun" w:eastAsia="SimSun" w:hAnsi="SimSun" w:cs="SimSun"/>
          <w:spacing w:val="-5"/>
          <w:sz w:val="21"/>
          <w:szCs w:val="21"/>
        </w:rPr>
        <w:t>、</w:t>
      </w:r>
      <w:r>
        <w:rPr>
          <w:rFonts w:ascii="SimSun" w:eastAsia="SimSun" w:hAnsi="SimSun" w:cs="SimSun"/>
          <w:sz w:val="21"/>
          <w:szCs w:val="21"/>
        </w:rPr>
        <w:t xml:space="preserve"> </w:t>
      </w:r>
      <w:r>
        <w:rPr>
          <w:rFonts w:ascii="SimSun" w:eastAsia="SimSun" w:hAnsi="SimSun" w:cs="SimSun"/>
          <w:spacing w:val="-2"/>
          <w:sz w:val="21"/>
          <w:szCs w:val="21"/>
        </w:rPr>
        <w:t>发那科、安川电机、库卡等日本、欧洲企业垄断，</w:t>
      </w:r>
      <w:r>
        <w:rPr>
          <w:rFonts w:ascii="SimSun" w:eastAsia="SimSun" w:hAnsi="SimSun" w:cs="SimSun"/>
          <w:spacing w:val="-26"/>
          <w:sz w:val="21"/>
          <w:szCs w:val="21"/>
        </w:rPr>
        <w:t xml:space="preserve"> </w:t>
      </w:r>
      <w:r>
        <w:rPr>
          <w:rFonts w:ascii="SimSun" w:eastAsia="SimSun" w:hAnsi="SimSun" w:cs="SimSun"/>
          <w:spacing w:val="-2"/>
          <w:sz w:val="21"/>
          <w:szCs w:val="21"/>
        </w:rPr>
        <w:t>成为制约国产</w:t>
      </w:r>
      <w:r>
        <w:rPr>
          <w:rFonts w:ascii="SimSun" w:eastAsia="SimSun" w:hAnsi="SimSun" w:cs="SimSun"/>
          <w:spacing w:val="-3"/>
          <w:sz w:val="21"/>
          <w:szCs w:val="21"/>
        </w:rPr>
        <w:t xml:space="preserve">机器人企业向中高端领域发展的瓶颈，国 </w:t>
      </w:r>
      <w:r>
        <w:rPr>
          <w:rFonts w:ascii="SimSun" w:eastAsia="SimSun" w:hAnsi="SimSun" w:cs="SimSun"/>
          <w:spacing w:val="-1"/>
          <w:sz w:val="21"/>
          <w:szCs w:val="21"/>
        </w:rPr>
        <w:t xml:space="preserve">内企业在规模和盈利能力上相对较弱，国内代表性企业市场份额较分散。但是我国企业增速较快，在国家 </w:t>
      </w:r>
      <w:r>
        <w:rPr>
          <w:rFonts w:ascii="SimSun" w:eastAsia="SimSun" w:hAnsi="SimSun" w:cs="SimSun"/>
          <w:spacing w:val="-1"/>
          <w:sz w:val="21"/>
          <w:szCs w:val="21"/>
        </w:rPr>
        <w:t xml:space="preserve">政策的支持下，有望形成进口替代趋势。近年来随着技术的进步及工业化的成熟，工业机器人产量持续稳 </w:t>
      </w:r>
      <w:r>
        <w:rPr>
          <w:rFonts w:ascii="SimSun" w:eastAsia="SimSun" w:hAnsi="SimSun" w:cs="SimSun"/>
          <w:spacing w:val="-2"/>
          <w:sz w:val="21"/>
          <w:szCs w:val="21"/>
        </w:rPr>
        <w:t>定增长，</w:t>
      </w:r>
      <w:r>
        <w:rPr>
          <w:rFonts w:ascii="Times New Roman" w:eastAsia="Times New Roman" w:hAnsi="Times New Roman" w:cs="Times New Roman"/>
          <w:spacing w:val="-2"/>
          <w:sz w:val="21"/>
          <w:szCs w:val="21"/>
        </w:rPr>
        <w:t xml:space="preserve">2022 </w:t>
      </w:r>
      <w:r>
        <w:rPr>
          <w:rFonts w:ascii="SimSun" w:eastAsia="SimSun" w:hAnsi="SimSun" w:cs="SimSun"/>
          <w:spacing w:val="-2"/>
          <w:sz w:val="21"/>
          <w:szCs w:val="21"/>
        </w:rPr>
        <w:t xml:space="preserve">年搬运、焊接、喷涂等领域工业机器人广泛渗透到新能源汽车、光伏制造、锂电池制造等新 </w:t>
      </w:r>
      <w:r>
        <w:rPr>
          <w:rFonts w:ascii="SimSun" w:eastAsia="SimSun" w:hAnsi="SimSun" w:cs="SimSun"/>
          <w:spacing w:val="-5"/>
          <w:sz w:val="21"/>
          <w:szCs w:val="21"/>
        </w:rPr>
        <w:t>兴行业，我国工业机器人产量为</w:t>
      </w:r>
      <w:r>
        <w:rPr>
          <w:rFonts w:ascii="SimSun" w:eastAsia="SimSun" w:hAnsi="SimSun" w:cs="SimSun"/>
          <w:spacing w:val="-28"/>
          <w:sz w:val="21"/>
          <w:szCs w:val="21"/>
        </w:rPr>
        <w:t xml:space="preserve"> </w:t>
      </w:r>
      <w:r>
        <w:rPr>
          <w:rFonts w:ascii="Times New Roman" w:eastAsia="Times New Roman" w:hAnsi="Times New Roman" w:cs="Times New Roman"/>
          <w:spacing w:val="-5"/>
          <w:sz w:val="21"/>
          <w:szCs w:val="21"/>
        </w:rPr>
        <w:t>44.3</w:t>
      </w:r>
      <w:r>
        <w:rPr>
          <w:rFonts w:ascii="Times New Roman" w:eastAsia="Times New Roman" w:hAnsi="Times New Roman" w:cs="Times New Roman"/>
          <w:spacing w:val="16"/>
          <w:sz w:val="21"/>
          <w:szCs w:val="21"/>
        </w:rPr>
        <w:t xml:space="preserve"> </w:t>
      </w:r>
      <w:r>
        <w:rPr>
          <w:rFonts w:ascii="SimSun" w:eastAsia="SimSun" w:hAnsi="SimSun" w:cs="SimSun"/>
          <w:spacing w:val="-5"/>
          <w:sz w:val="21"/>
          <w:szCs w:val="21"/>
        </w:rPr>
        <w:t>万套， 同比增长</w:t>
      </w:r>
      <w:r>
        <w:rPr>
          <w:rFonts w:ascii="SimSun" w:eastAsia="SimSun" w:hAnsi="SimSun" w:cs="SimSun"/>
          <w:spacing w:val="-46"/>
          <w:sz w:val="21"/>
          <w:szCs w:val="21"/>
        </w:rPr>
        <w:t xml:space="preserve"> </w:t>
      </w:r>
      <w:r>
        <w:rPr>
          <w:rFonts w:ascii="Times New Roman" w:eastAsia="Times New Roman" w:hAnsi="Times New Roman" w:cs="Times New Roman"/>
          <w:spacing w:val="-5"/>
          <w:sz w:val="21"/>
          <w:szCs w:val="21"/>
        </w:rPr>
        <w:t>21.04%</w:t>
      </w:r>
      <w:r>
        <w:rPr>
          <w:rFonts w:ascii="Times New Roman" w:eastAsia="Times New Roman" w:hAnsi="Times New Roman" w:cs="Times New Roman"/>
          <w:spacing w:val="-29"/>
          <w:sz w:val="21"/>
          <w:szCs w:val="21"/>
        </w:rPr>
        <w:t xml:space="preserve"> </w:t>
      </w:r>
      <w:r>
        <w:rPr>
          <w:rFonts w:ascii="SimSun" w:eastAsia="SimSun" w:hAnsi="SimSun" w:cs="SimSun"/>
          <w:spacing w:val="-5"/>
          <w:sz w:val="21"/>
          <w:szCs w:val="21"/>
        </w:rPr>
        <w:t>，</w:t>
      </w:r>
      <w:r>
        <w:rPr>
          <w:rFonts w:ascii="Times New Roman" w:eastAsia="Times New Roman" w:hAnsi="Times New Roman" w:cs="Times New Roman"/>
          <w:spacing w:val="-5"/>
          <w:sz w:val="21"/>
          <w:szCs w:val="21"/>
        </w:rPr>
        <w:t>2023</w:t>
      </w:r>
      <w:r>
        <w:rPr>
          <w:rFonts w:ascii="Times New Roman" w:eastAsia="Times New Roman" w:hAnsi="Times New Roman" w:cs="Times New Roman"/>
          <w:spacing w:val="11"/>
          <w:sz w:val="21"/>
          <w:szCs w:val="21"/>
        </w:rPr>
        <w:t xml:space="preserve"> </w:t>
      </w:r>
      <w:r>
        <w:rPr>
          <w:rFonts w:ascii="SimSun" w:eastAsia="SimSun" w:hAnsi="SimSun" w:cs="SimSun"/>
          <w:spacing w:val="-5"/>
          <w:sz w:val="21"/>
          <w:szCs w:val="21"/>
        </w:rPr>
        <w:t>年我国工业机器人保持增长态势，</w:t>
      </w:r>
      <w:r>
        <w:rPr>
          <w:rFonts w:ascii="SimSun" w:eastAsia="SimSun" w:hAnsi="SimSun" w:cs="SimSun"/>
          <w:spacing w:val="-21"/>
          <w:sz w:val="21"/>
          <w:szCs w:val="21"/>
        </w:rPr>
        <w:t xml:space="preserve"> </w:t>
      </w:r>
      <w:r>
        <w:rPr>
          <w:rFonts w:ascii="SimSun" w:eastAsia="SimSun" w:hAnsi="SimSun" w:cs="SimSun"/>
          <w:spacing w:val="-5"/>
          <w:sz w:val="21"/>
          <w:szCs w:val="21"/>
        </w:rPr>
        <w:t xml:space="preserve">上 </w:t>
      </w:r>
      <w:r>
        <w:rPr>
          <w:rFonts w:ascii="SimSun" w:eastAsia="SimSun" w:hAnsi="SimSun" w:cs="SimSun"/>
          <w:spacing w:val="-5"/>
          <w:sz w:val="21"/>
          <w:szCs w:val="21"/>
        </w:rPr>
        <w:t>半年产量为</w:t>
      </w:r>
      <w:r>
        <w:rPr>
          <w:rFonts w:ascii="SimSun" w:eastAsia="SimSun" w:hAnsi="SimSun" w:cs="SimSun"/>
          <w:spacing w:val="-38"/>
          <w:sz w:val="21"/>
          <w:szCs w:val="21"/>
        </w:rPr>
        <w:t xml:space="preserve"> </w:t>
      </w:r>
      <w:r>
        <w:rPr>
          <w:rFonts w:ascii="Times New Roman" w:eastAsia="Times New Roman" w:hAnsi="Times New Roman" w:cs="Times New Roman"/>
          <w:spacing w:val="-5"/>
          <w:sz w:val="21"/>
          <w:szCs w:val="21"/>
        </w:rPr>
        <w:t>22.2</w:t>
      </w:r>
      <w:r>
        <w:rPr>
          <w:rFonts w:ascii="Times New Roman" w:eastAsia="Times New Roman" w:hAnsi="Times New Roman" w:cs="Times New Roman"/>
          <w:spacing w:val="14"/>
          <w:sz w:val="21"/>
          <w:szCs w:val="21"/>
        </w:rPr>
        <w:t xml:space="preserve"> </w:t>
      </w:r>
      <w:r>
        <w:rPr>
          <w:rFonts w:ascii="SimSun" w:eastAsia="SimSun" w:hAnsi="SimSun" w:cs="SimSun"/>
          <w:spacing w:val="-5"/>
          <w:sz w:val="21"/>
          <w:szCs w:val="21"/>
        </w:rPr>
        <w:t>万套，</w:t>
      </w:r>
      <w:r>
        <w:rPr>
          <w:rFonts w:ascii="SimSun" w:eastAsia="SimSun" w:hAnsi="SimSun" w:cs="SimSun"/>
          <w:spacing w:val="-23"/>
          <w:sz w:val="21"/>
          <w:szCs w:val="21"/>
        </w:rPr>
        <w:t xml:space="preserve"> </w:t>
      </w:r>
      <w:r>
        <w:rPr>
          <w:rFonts w:ascii="SimSun" w:eastAsia="SimSun" w:hAnsi="SimSun" w:cs="SimSun"/>
          <w:spacing w:val="-5"/>
          <w:sz w:val="21"/>
          <w:szCs w:val="21"/>
        </w:rPr>
        <w:t>较上年同期增长</w:t>
      </w:r>
      <w:r>
        <w:rPr>
          <w:rFonts w:ascii="SimSun" w:eastAsia="SimSun" w:hAnsi="SimSun" w:cs="SimSun"/>
          <w:spacing w:val="-43"/>
          <w:sz w:val="21"/>
          <w:szCs w:val="21"/>
        </w:rPr>
        <w:t xml:space="preserve"> </w:t>
      </w:r>
      <w:r>
        <w:rPr>
          <w:rFonts w:ascii="Times New Roman" w:eastAsia="Times New Roman" w:hAnsi="Times New Roman" w:cs="Times New Roman"/>
          <w:spacing w:val="-5"/>
          <w:sz w:val="21"/>
          <w:szCs w:val="21"/>
        </w:rPr>
        <w:t>9.71%</w:t>
      </w:r>
      <w:r>
        <w:rPr>
          <w:rFonts w:ascii="SimSun" w:eastAsia="SimSun" w:hAnsi="SimSun" w:cs="SimSun"/>
          <w:spacing w:val="-5"/>
          <w:sz w:val="21"/>
          <w:szCs w:val="21"/>
        </w:rPr>
        <w:t>。</w:t>
      </w:r>
    </w:p>
    <w:p>
      <w:pPr>
        <w:spacing w:before="204" w:line="292" w:lineRule="auto"/>
        <w:ind w:left="36" w:right="74"/>
        <w:rPr>
          <w:rFonts w:ascii="SimSun" w:eastAsia="SimSun" w:hAnsi="SimSun" w:cs="SimSun"/>
          <w:sz w:val="21"/>
          <w:szCs w:val="21"/>
        </w:rPr>
      </w:pPr>
      <w:r>
        <w:rPr>
          <w:rFonts w:ascii="SimSun" w:eastAsia="SimSun" w:hAnsi="SimSun" w:cs="SimSun"/>
          <w:spacing w:val="-3"/>
          <w:sz w:val="21"/>
          <w:szCs w:val="21"/>
        </w:rPr>
        <w:t>锂电设备是锂电池制造和锂电池材料制造专用设备，其下游领域集中度高，</w:t>
      </w:r>
      <w:r>
        <w:rPr>
          <w:rFonts w:ascii="SimSun" w:eastAsia="SimSun" w:hAnsi="SimSun" w:cs="SimSun"/>
          <w:spacing w:val="-37"/>
          <w:sz w:val="21"/>
          <w:szCs w:val="21"/>
        </w:rPr>
        <w:t xml:space="preserve"> </w:t>
      </w:r>
      <w:r>
        <w:rPr>
          <w:rFonts w:ascii="Times New Roman" w:eastAsia="Times New Roman" w:hAnsi="Times New Roman" w:cs="Times New Roman"/>
          <w:spacing w:val="-3"/>
          <w:sz w:val="21"/>
          <w:szCs w:val="21"/>
        </w:rPr>
        <w:t xml:space="preserve">2022 </w:t>
      </w:r>
      <w:r>
        <w:rPr>
          <w:rFonts w:ascii="SimSun" w:eastAsia="SimSun" w:hAnsi="SimSun" w:cs="SimSun"/>
          <w:spacing w:val="-3"/>
          <w:sz w:val="21"/>
          <w:szCs w:val="21"/>
        </w:rPr>
        <w:t>年前十大锂电池企业市场</w:t>
      </w:r>
      <w:r>
        <w:rPr>
          <w:rFonts w:ascii="SimSun" w:eastAsia="SimSun" w:hAnsi="SimSun" w:cs="SimSun"/>
          <w:sz w:val="21"/>
          <w:szCs w:val="21"/>
        </w:rPr>
        <w:t xml:space="preserve"> </w:t>
      </w:r>
      <w:r>
        <w:rPr>
          <w:rFonts w:ascii="SimSun" w:eastAsia="SimSun" w:hAnsi="SimSun" w:cs="SimSun"/>
          <w:spacing w:val="-1"/>
          <w:sz w:val="21"/>
          <w:szCs w:val="21"/>
        </w:rPr>
        <w:t>份额合计占比超过</w:t>
      </w:r>
      <w:r>
        <w:rPr>
          <w:rFonts w:ascii="SimSun" w:eastAsia="SimSun" w:hAnsi="SimSun" w:cs="SimSun"/>
          <w:spacing w:val="-44"/>
          <w:sz w:val="21"/>
          <w:szCs w:val="21"/>
        </w:rPr>
        <w:t xml:space="preserve"> </w:t>
      </w:r>
      <w:r>
        <w:rPr>
          <w:rFonts w:ascii="Times New Roman" w:eastAsia="Times New Roman" w:hAnsi="Times New Roman" w:cs="Times New Roman"/>
          <w:spacing w:val="-1"/>
          <w:sz w:val="21"/>
          <w:szCs w:val="21"/>
        </w:rPr>
        <w:t>90%</w:t>
      </w:r>
      <w:r>
        <w:rPr>
          <w:rFonts w:ascii="SimSun" w:eastAsia="SimSun" w:hAnsi="SimSun" w:cs="SimSun"/>
          <w:spacing w:val="-1"/>
          <w:sz w:val="21"/>
          <w:szCs w:val="21"/>
        </w:rPr>
        <w:t>，主要锂电设备制造商为头部的锂电池制造企业提供配套设备，因此我国锂</w:t>
      </w:r>
      <w:r>
        <w:rPr>
          <w:rFonts w:ascii="SimSun" w:eastAsia="SimSun" w:hAnsi="SimSun" w:cs="SimSun"/>
          <w:spacing w:val="-2"/>
          <w:sz w:val="21"/>
          <w:szCs w:val="21"/>
        </w:rPr>
        <w:t>电设备</w:t>
      </w:r>
      <w:r>
        <w:rPr>
          <w:rFonts w:ascii="SimSun" w:eastAsia="SimSun" w:hAnsi="SimSun" w:cs="SimSun"/>
          <w:sz w:val="21"/>
          <w:szCs w:val="21"/>
        </w:rPr>
        <w:t xml:space="preserve"> </w:t>
      </w:r>
      <w:r>
        <w:rPr>
          <w:rFonts w:ascii="SimSun" w:eastAsia="SimSun" w:hAnsi="SimSun" w:cs="SimSun"/>
          <w:spacing w:val="-3"/>
          <w:sz w:val="21"/>
          <w:szCs w:val="21"/>
        </w:rPr>
        <w:t>制造商的集中度也较高，</w:t>
      </w:r>
      <w:r>
        <w:rPr>
          <w:rFonts w:ascii="SimSun" w:eastAsia="SimSun" w:hAnsi="SimSun" w:cs="SimSun"/>
          <w:spacing w:val="-56"/>
          <w:sz w:val="21"/>
          <w:szCs w:val="21"/>
        </w:rPr>
        <w:t xml:space="preserve"> </w:t>
      </w:r>
      <w:r>
        <w:rPr>
          <w:rFonts w:ascii="Times New Roman" w:eastAsia="Times New Roman" w:hAnsi="Times New Roman" w:cs="Times New Roman"/>
          <w:spacing w:val="-3"/>
          <w:sz w:val="21"/>
          <w:szCs w:val="21"/>
        </w:rPr>
        <w:t xml:space="preserve">2022 </w:t>
      </w:r>
      <w:r>
        <w:rPr>
          <w:rFonts w:ascii="SimSun" w:eastAsia="SimSun" w:hAnsi="SimSun" w:cs="SimSun"/>
          <w:spacing w:val="-3"/>
          <w:sz w:val="21"/>
          <w:szCs w:val="21"/>
        </w:rPr>
        <w:t>年前十大企业市场份额合计约为</w:t>
      </w:r>
      <w:r>
        <w:rPr>
          <w:rFonts w:ascii="SimSun" w:eastAsia="SimSun" w:hAnsi="SimSun" w:cs="SimSun"/>
          <w:spacing w:val="-41"/>
          <w:sz w:val="21"/>
          <w:szCs w:val="21"/>
        </w:rPr>
        <w:t xml:space="preserve"> </w:t>
      </w:r>
      <w:r>
        <w:rPr>
          <w:rFonts w:ascii="Times New Roman" w:eastAsia="Times New Roman" w:hAnsi="Times New Roman" w:cs="Times New Roman"/>
          <w:spacing w:val="-3"/>
          <w:sz w:val="21"/>
          <w:szCs w:val="21"/>
        </w:rPr>
        <w:t>58%</w:t>
      </w:r>
      <w:r>
        <w:rPr>
          <w:rFonts w:ascii="SimSun" w:eastAsia="SimSun" w:hAnsi="SimSun" w:cs="SimSun"/>
          <w:spacing w:val="-3"/>
          <w:sz w:val="21"/>
          <w:szCs w:val="21"/>
        </w:rPr>
        <w:t>。锂电池主要应用于新能源汽</w:t>
      </w:r>
      <w:r>
        <w:rPr>
          <w:rFonts w:ascii="SimSun" w:eastAsia="SimSun" w:hAnsi="SimSun" w:cs="SimSun"/>
          <w:spacing w:val="-4"/>
          <w:sz w:val="21"/>
          <w:szCs w:val="21"/>
        </w:rPr>
        <w:t>车、消费</w:t>
      </w:r>
      <w:r>
        <w:rPr>
          <w:rFonts w:ascii="SimSun" w:eastAsia="SimSun" w:hAnsi="SimSun" w:cs="SimSun"/>
          <w:sz w:val="21"/>
          <w:szCs w:val="21"/>
        </w:rPr>
        <w:t xml:space="preserve"> </w:t>
      </w:r>
      <w:r>
        <w:rPr>
          <w:rFonts w:ascii="SimSun" w:eastAsia="SimSun" w:hAnsi="SimSun" w:cs="SimSun"/>
          <w:spacing w:val="-2"/>
          <w:sz w:val="21"/>
          <w:szCs w:val="21"/>
        </w:rPr>
        <w:t>电子及储能等领域。近年来我国新能源汽车市场高景气度带动动力电池销量保持快速</w:t>
      </w:r>
      <w:r>
        <w:rPr>
          <w:rFonts w:ascii="SimSun" w:eastAsia="SimSun" w:hAnsi="SimSun" w:cs="SimSun"/>
          <w:spacing w:val="-3"/>
          <w:sz w:val="21"/>
          <w:szCs w:val="21"/>
        </w:rPr>
        <w:t>增长，</w:t>
      </w:r>
      <w:r>
        <w:rPr>
          <w:rFonts w:ascii="SimSun" w:eastAsia="SimSun" w:hAnsi="SimSun" w:cs="SimSun"/>
          <w:spacing w:val="-23"/>
          <w:sz w:val="21"/>
          <w:szCs w:val="21"/>
        </w:rPr>
        <w:t xml:space="preserve"> </w:t>
      </w:r>
      <w:r>
        <w:rPr>
          <w:rFonts w:ascii="SimSun" w:eastAsia="SimSun" w:hAnsi="SimSun" w:cs="SimSun"/>
          <w:spacing w:val="-3"/>
          <w:sz w:val="21"/>
          <w:szCs w:val="21"/>
        </w:rPr>
        <w:t>根据</w:t>
      </w:r>
      <w:r>
        <w:rPr>
          <w:rFonts w:ascii="SimSun" w:eastAsia="SimSun" w:hAnsi="SimSun" w:cs="SimSun"/>
          <w:spacing w:val="-27"/>
          <w:sz w:val="21"/>
          <w:szCs w:val="21"/>
        </w:rPr>
        <w:t xml:space="preserve"> </w:t>
      </w:r>
      <w:r>
        <w:rPr>
          <w:rFonts w:ascii="Times New Roman" w:eastAsia="Times New Roman" w:hAnsi="Times New Roman" w:cs="Times New Roman"/>
          <w:spacing w:val="-3"/>
          <w:sz w:val="21"/>
          <w:szCs w:val="21"/>
        </w:rPr>
        <w:t>Wind</w:t>
      </w:r>
      <w:r>
        <w:rPr>
          <w:rFonts w:ascii="Times New Roman" w:eastAsia="Times New Roman" w:hAnsi="Times New Roman" w:cs="Times New Roman"/>
          <w:spacing w:val="31"/>
          <w:w w:val="101"/>
          <w:sz w:val="21"/>
          <w:szCs w:val="21"/>
        </w:rPr>
        <w:t xml:space="preserve"> </w:t>
      </w:r>
      <w:r>
        <w:rPr>
          <w:rFonts w:ascii="SimSun" w:eastAsia="SimSun" w:hAnsi="SimSun" w:cs="SimSun"/>
          <w:spacing w:val="-3"/>
          <w:sz w:val="21"/>
          <w:szCs w:val="21"/>
        </w:rPr>
        <w:t>数</w:t>
      </w:r>
      <w:r>
        <w:rPr>
          <w:rFonts w:ascii="SimSun" w:eastAsia="SimSun" w:hAnsi="SimSun" w:cs="SimSun"/>
          <w:sz w:val="21"/>
          <w:szCs w:val="21"/>
        </w:rPr>
        <w:t xml:space="preserve"> </w:t>
      </w:r>
      <w:r>
        <w:rPr>
          <w:rFonts w:ascii="SimSun" w:eastAsia="SimSun" w:hAnsi="SimSun" w:cs="SimSun"/>
          <w:spacing w:val="-4"/>
          <w:sz w:val="21"/>
          <w:szCs w:val="21"/>
        </w:rPr>
        <w:t>据，</w:t>
      </w:r>
      <w:r>
        <w:rPr>
          <w:rFonts w:ascii="Times New Roman" w:eastAsia="Times New Roman" w:hAnsi="Times New Roman" w:cs="Times New Roman"/>
          <w:spacing w:val="-4"/>
          <w:sz w:val="21"/>
          <w:szCs w:val="21"/>
        </w:rPr>
        <w:t xml:space="preserve">2020-2022 </w:t>
      </w:r>
      <w:r>
        <w:rPr>
          <w:rFonts w:ascii="SimSun" w:eastAsia="SimSun" w:hAnsi="SimSun" w:cs="SimSun"/>
          <w:spacing w:val="-4"/>
          <w:sz w:val="21"/>
          <w:szCs w:val="21"/>
        </w:rPr>
        <w:t>年我国动力电池销量分别为</w:t>
      </w:r>
      <w:r>
        <w:rPr>
          <w:rFonts w:ascii="SimSun" w:eastAsia="SimSun" w:hAnsi="SimSun" w:cs="SimSun"/>
          <w:spacing w:val="-35"/>
          <w:sz w:val="21"/>
          <w:szCs w:val="21"/>
        </w:rPr>
        <w:t xml:space="preserve"> </w:t>
      </w:r>
      <w:r>
        <w:rPr>
          <w:rFonts w:ascii="Times New Roman" w:eastAsia="Times New Roman" w:hAnsi="Times New Roman" w:cs="Times New Roman"/>
          <w:spacing w:val="-4"/>
          <w:sz w:val="21"/>
          <w:szCs w:val="21"/>
        </w:rPr>
        <w:t>65.87 GWh</w:t>
      </w:r>
      <w:r>
        <w:rPr>
          <w:rFonts w:ascii="SimSun" w:eastAsia="SimSun" w:hAnsi="SimSun" w:cs="SimSun"/>
          <w:spacing w:val="-4"/>
          <w:sz w:val="21"/>
          <w:szCs w:val="21"/>
        </w:rPr>
        <w:t>、</w:t>
      </w:r>
      <w:r>
        <w:rPr>
          <w:rFonts w:ascii="Times New Roman" w:eastAsia="Times New Roman" w:hAnsi="Times New Roman" w:cs="Times New Roman"/>
          <w:spacing w:val="-4"/>
          <w:sz w:val="21"/>
          <w:szCs w:val="21"/>
        </w:rPr>
        <w:t xml:space="preserve">185.95GWh </w:t>
      </w:r>
      <w:r>
        <w:rPr>
          <w:rFonts w:ascii="SimSun" w:eastAsia="SimSun" w:hAnsi="SimSun" w:cs="SimSun"/>
          <w:spacing w:val="-4"/>
          <w:sz w:val="21"/>
          <w:szCs w:val="21"/>
        </w:rPr>
        <w:t>和</w:t>
      </w:r>
      <w:r>
        <w:rPr>
          <w:rFonts w:ascii="SimSun" w:eastAsia="SimSun" w:hAnsi="SimSun" w:cs="SimSun"/>
          <w:spacing w:val="-49"/>
          <w:sz w:val="21"/>
          <w:szCs w:val="21"/>
        </w:rPr>
        <w:t xml:space="preserve"> </w:t>
      </w:r>
      <w:r>
        <w:rPr>
          <w:rFonts w:ascii="Times New Roman" w:eastAsia="Times New Roman" w:hAnsi="Times New Roman" w:cs="Times New Roman"/>
          <w:spacing w:val="-4"/>
          <w:sz w:val="21"/>
          <w:szCs w:val="21"/>
        </w:rPr>
        <w:t>465.5 GWh</w:t>
      </w:r>
      <w:r>
        <w:rPr>
          <w:rFonts w:ascii="SimSun" w:eastAsia="SimSun" w:hAnsi="SimSun" w:cs="SimSun"/>
          <w:spacing w:val="-4"/>
          <w:sz w:val="21"/>
          <w:szCs w:val="21"/>
        </w:rPr>
        <w:t>，同比分别增长</w:t>
      </w:r>
      <w:r>
        <w:rPr>
          <w:rFonts w:ascii="Times New Roman" w:eastAsia="Times New Roman" w:hAnsi="Times New Roman" w:cs="Times New Roman"/>
          <w:spacing w:val="-4"/>
          <w:sz w:val="21"/>
          <w:szCs w:val="21"/>
        </w:rPr>
        <w:t>-</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4"/>
          <w:sz w:val="21"/>
          <w:szCs w:val="21"/>
        </w:rPr>
        <w:t>12.90%</w:t>
      </w:r>
      <w:r>
        <w:rPr>
          <w:rFonts w:ascii="SimSun" w:eastAsia="SimSun" w:hAnsi="SimSun" w:cs="SimSun"/>
          <w:spacing w:val="-4"/>
          <w:sz w:val="21"/>
          <w:szCs w:val="21"/>
        </w:rPr>
        <w:t>、</w:t>
      </w:r>
      <w:r>
        <w:rPr>
          <w:rFonts w:ascii="SimSun" w:eastAsia="SimSun" w:hAnsi="SimSun" w:cs="SimSun"/>
          <w:sz w:val="21"/>
          <w:szCs w:val="21"/>
        </w:rPr>
        <w:t xml:space="preserve"> </w:t>
      </w:r>
      <w:r>
        <w:rPr>
          <w:rFonts w:ascii="Times New Roman" w:eastAsia="Times New Roman" w:hAnsi="Times New Roman" w:cs="Times New Roman"/>
          <w:spacing w:val="-2"/>
          <w:sz w:val="21"/>
          <w:szCs w:val="21"/>
        </w:rPr>
        <w:t>182.30%</w:t>
      </w:r>
      <w:r>
        <w:rPr>
          <w:rFonts w:ascii="SimSun" w:eastAsia="SimSun" w:hAnsi="SimSun" w:cs="SimSun"/>
          <w:spacing w:val="-2"/>
          <w:sz w:val="21"/>
          <w:szCs w:val="21"/>
        </w:rPr>
        <w:t>和</w:t>
      </w:r>
      <w:r>
        <w:rPr>
          <w:rFonts w:ascii="SimSun" w:eastAsia="SimSun" w:hAnsi="SimSun" w:cs="SimSun"/>
          <w:spacing w:val="-28"/>
          <w:sz w:val="21"/>
          <w:szCs w:val="21"/>
        </w:rPr>
        <w:t xml:space="preserve"> </w:t>
      </w:r>
      <w:r>
        <w:rPr>
          <w:rFonts w:ascii="Times New Roman" w:eastAsia="Times New Roman" w:hAnsi="Times New Roman" w:cs="Times New Roman"/>
          <w:spacing w:val="-2"/>
          <w:sz w:val="21"/>
          <w:szCs w:val="21"/>
        </w:rPr>
        <w:t>150.34%</w:t>
      </w:r>
      <w:r>
        <w:rPr>
          <w:rFonts w:ascii="SimSun" w:eastAsia="SimSun" w:hAnsi="SimSun" w:cs="SimSun"/>
          <w:spacing w:val="-2"/>
          <w:sz w:val="21"/>
          <w:szCs w:val="21"/>
        </w:rPr>
        <w:t>。</w:t>
      </w:r>
      <w:r>
        <w:rPr>
          <w:rFonts w:ascii="Times New Roman" w:eastAsia="Times New Roman" w:hAnsi="Times New Roman" w:cs="Times New Roman"/>
          <w:spacing w:val="-2"/>
          <w:sz w:val="21"/>
          <w:szCs w:val="21"/>
        </w:rPr>
        <w:t xml:space="preserve">2023 </w:t>
      </w:r>
      <w:r>
        <w:rPr>
          <w:rFonts w:ascii="SimSun" w:eastAsia="SimSun" w:hAnsi="SimSun" w:cs="SimSun"/>
          <w:spacing w:val="-2"/>
          <w:sz w:val="21"/>
          <w:szCs w:val="21"/>
        </w:rPr>
        <w:t>年前三季度动力和储能电池合</w:t>
      </w:r>
      <w:r>
        <w:rPr>
          <w:rFonts w:ascii="SimSun" w:eastAsia="SimSun" w:hAnsi="SimSun" w:cs="SimSun"/>
          <w:spacing w:val="-3"/>
          <w:sz w:val="21"/>
          <w:szCs w:val="21"/>
        </w:rPr>
        <w:t>计产量</w:t>
      </w:r>
      <w:r>
        <w:rPr>
          <w:rFonts w:ascii="SimSun" w:eastAsia="SimSun" w:hAnsi="SimSun" w:cs="SimSun"/>
          <w:spacing w:val="-42"/>
          <w:sz w:val="21"/>
          <w:szCs w:val="21"/>
        </w:rPr>
        <w:t xml:space="preserve"> </w:t>
      </w:r>
      <w:r>
        <w:rPr>
          <w:rFonts w:ascii="Times New Roman" w:eastAsia="Times New Roman" w:hAnsi="Times New Roman" w:cs="Times New Roman"/>
          <w:spacing w:val="-3"/>
          <w:sz w:val="21"/>
          <w:szCs w:val="21"/>
        </w:rPr>
        <w:t>533.7 GWh</w:t>
      </w:r>
      <w:r>
        <w:rPr>
          <w:rFonts w:ascii="SimSun" w:eastAsia="SimSun" w:hAnsi="SimSun" w:cs="SimSun"/>
          <w:spacing w:val="-3"/>
          <w:sz w:val="21"/>
          <w:szCs w:val="21"/>
        </w:rPr>
        <w:t>，同比增长</w:t>
      </w:r>
      <w:r>
        <w:rPr>
          <w:rFonts w:ascii="SimSun" w:eastAsia="SimSun" w:hAnsi="SimSun" w:cs="SimSun"/>
          <w:spacing w:val="-49"/>
          <w:sz w:val="21"/>
          <w:szCs w:val="21"/>
        </w:rPr>
        <w:t xml:space="preserve"> </w:t>
      </w:r>
      <w:r>
        <w:rPr>
          <w:rFonts w:ascii="Times New Roman" w:eastAsia="Times New Roman" w:hAnsi="Times New Roman" w:cs="Times New Roman"/>
          <w:spacing w:val="-3"/>
          <w:sz w:val="21"/>
          <w:szCs w:val="21"/>
        </w:rPr>
        <w:t>44.9%</w:t>
      </w:r>
      <w:r>
        <w:rPr>
          <w:rFonts w:ascii="SimSun" w:eastAsia="SimSun" w:hAnsi="SimSun" w:cs="SimSun"/>
          <w:spacing w:val="-3"/>
          <w:sz w:val="21"/>
          <w:szCs w:val="21"/>
        </w:rPr>
        <w:t>。较高的行业</w:t>
      </w:r>
      <w:r>
        <w:rPr>
          <w:rFonts w:ascii="SimSun" w:eastAsia="SimSun" w:hAnsi="SimSun" w:cs="SimSun"/>
          <w:sz w:val="21"/>
          <w:szCs w:val="21"/>
        </w:rPr>
        <w:t xml:space="preserve"> </w:t>
      </w:r>
      <w:r>
        <w:rPr>
          <w:rFonts w:ascii="SimSun" w:eastAsia="SimSun" w:hAnsi="SimSun" w:cs="SimSun"/>
          <w:spacing w:val="-1"/>
          <w:sz w:val="21"/>
          <w:szCs w:val="21"/>
        </w:rPr>
        <w:t>景气度带动锂电设备投资的快速增长。根据高工锂电统计，</w:t>
      </w:r>
      <w:r>
        <w:rPr>
          <w:rFonts w:ascii="Times New Roman" w:eastAsia="Times New Roman" w:hAnsi="Times New Roman" w:cs="Times New Roman"/>
          <w:spacing w:val="-1"/>
          <w:sz w:val="21"/>
          <w:szCs w:val="21"/>
        </w:rPr>
        <w:t>2022</w:t>
      </w:r>
      <w:r>
        <w:rPr>
          <w:rFonts w:ascii="Times New Roman" w:eastAsia="Times New Roman" w:hAnsi="Times New Roman" w:cs="Times New Roman"/>
          <w:spacing w:val="25"/>
          <w:sz w:val="21"/>
          <w:szCs w:val="21"/>
        </w:rPr>
        <w:t xml:space="preserve"> </w:t>
      </w:r>
      <w:r>
        <w:rPr>
          <w:rFonts w:ascii="SimSun" w:eastAsia="SimSun" w:hAnsi="SimSun" w:cs="SimSun"/>
          <w:spacing w:val="-1"/>
          <w:sz w:val="21"/>
          <w:szCs w:val="21"/>
        </w:rPr>
        <w:t xml:space="preserve">年我国锂电生产设备市场规模约为 </w:t>
      </w:r>
      <w:r>
        <w:rPr>
          <w:rFonts w:ascii="Times New Roman" w:eastAsia="Times New Roman" w:hAnsi="Times New Roman" w:cs="Times New Roman"/>
          <w:spacing w:val="-1"/>
          <w:sz w:val="21"/>
          <w:szCs w:val="21"/>
        </w:rPr>
        <w:t>1,000</w:t>
      </w:r>
      <w:r>
        <w:rPr>
          <w:rFonts w:ascii="Times New Roman" w:eastAsia="Times New Roman" w:hAnsi="Times New Roman" w:cs="Times New Roman"/>
          <w:sz w:val="21"/>
          <w:szCs w:val="21"/>
        </w:rPr>
        <w:t xml:space="preserve"> </w:t>
      </w:r>
      <w:r>
        <w:rPr>
          <w:rFonts w:ascii="SimSun" w:eastAsia="SimSun" w:hAnsi="SimSun" w:cs="SimSun"/>
          <w:spacing w:val="-4"/>
          <w:sz w:val="21"/>
          <w:szCs w:val="21"/>
        </w:rPr>
        <w:t>亿元， 同比增长</w:t>
      </w:r>
      <w:r>
        <w:rPr>
          <w:rFonts w:ascii="SimSun" w:eastAsia="SimSun" w:hAnsi="SimSun" w:cs="SimSun"/>
          <w:spacing w:val="-24"/>
          <w:sz w:val="21"/>
          <w:szCs w:val="21"/>
        </w:rPr>
        <w:t xml:space="preserve"> </w:t>
      </w:r>
      <w:r>
        <w:rPr>
          <w:rFonts w:ascii="Times New Roman" w:eastAsia="Times New Roman" w:hAnsi="Times New Roman" w:cs="Times New Roman"/>
          <w:spacing w:val="-4"/>
          <w:sz w:val="21"/>
          <w:szCs w:val="21"/>
        </w:rPr>
        <w:t>70.1%</w:t>
      </w:r>
      <w:r>
        <w:rPr>
          <w:rFonts w:ascii="SimSun" w:eastAsia="SimSun" w:hAnsi="SimSun" w:cs="SimSun"/>
          <w:spacing w:val="-4"/>
          <w:sz w:val="21"/>
          <w:szCs w:val="21"/>
        </w:rPr>
        <w:t>，预计</w:t>
      </w:r>
      <w:r>
        <w:rPr>
          <w:rFonts w:ascii="SimSun" w:eastAsia="SimSun" w:hAnsi="SimSun" w:cs="SimSun"/>
          <w:spacing w:val="-45"/>
          <w:sz w:val="21"/>
          <w:szCs w:val="21"/>
        </w:rPr>
        <w:t xml:space="preserve"> </w:t>
      </w:r>
      <w:r>
        <w:rPr>
          <w:rFonts w:ascii="Times New Roman" w:eastAsia="Times New Roman" w:hAnsi="Times New Roman" w:cs="Times New Roman"/>
          <w:spacing w:val="-4"/>
          <w:sz w:val="21"/>
          <w:szCs w:val="21"/>
        </w:rPr>
        <w:t>2025</w:t>
      </w:r>
      <w:r>
        <w:rPr>
          <w:rFonts w:ascii="Times New Roman" w:eastAsia="Times New Roman" w:hAnsi="Times New Roman" w:cs="Times New Roman"/>
          <w:spacing w:val="15"/>
          <w:sz w:val="21"/>
          <w:szCs w:val="21"/>
        </w:rPr>
        <w:t xml:space="preserve"> </w:t>
      </w:r>
      <w:r>
        <w:rPr>
          <w:rFonts w:ascii="SimSun" w:eastAsia="SimSun" w:hAnsi="SimSun" w:cs="SimSun"/>
          <w:spacing w:val="-4"/>
          <w:sz w:val="21"/>
          <w:szCs w:val="21"/>
        </w:rPr>
        <w:t>年市场规模将达到</w:t>
      </w:r>
      <w:r>
        <w:rPr>
          <w:rFonts w:ascii="SimSun" w:eastAsia="SimSun" w:hAnsi="SimSun" w:cs="SimSun"/>
          <w:spacing w:val="-23"/>
          <w:sz w:val="21"/>
          <w:szCs w:val="21"/>
        </w:rPr>
        <w:t xml:space="preserve"> </w:t>
      </w:r>
      <w:r>
        <w:rPr>
          <w:rFonts w:ascii="Times New Roman" w:eastAsia="Times New Roman" w:hAnsi="Times New Roman" w:cs="Times New Roman"/>
          <w:spacing w:val="-4"/>
          <w:sz w:val="21"/>
          <w:szCs w:val="21"/>
        </w:rPr>
        <w:t>1550</w:t>
      </w:r>
      <w:r>
        <w:rPr>
          <w:rFonts w:ascii="Times New Roman" w:eastAsia="Times New Roman" w:hAnsi="Times New Roman" w:cs="Times New Roman"/>
          <w:spacing w:val="12"/>
          <w:sz w:val="21"/>
          <w:szCs w:val="21"/>
        </w:rPr>
        <w:t xml:space="preserve"> </w:t>
      </w:r>
      <w:r>
        <w:rPr>
          <w:rFonts w:ascii="SimSun" w:eastAsia="SimSun" w:hAnsi="SimSun" w:cs="SimSun"/>
          <w:spacing w:val="-4"/>
          <w:sz w:val="21"/>
          <w:szCs w:val="21"/>
        </w:rPr>
        <w:t>亿元，</w:t>
      </w:r>
      <w:r>
        <w:rPr>
          <w:rFonts w:ascii="Times New Roman" w:eastAsia="Times New Roman" w:hAnsi="Times New Roman" w:cs="Times New Roman"/>
          <w:spacing w:val="-4"/>
          <w:sz w:val="21"/>
          <w:szCs w:val="21"/>
        </w:rPr>
        <w:t>2022-2025</w:t>
      </w:r>
      <w:r>
        <w:rPr>
          <w:rFonts w:ascii="Times New Roman" w:eastAsia="Times New Roman" w:hAnsi="Times New Roman" w:cs="Times New Roman"/>
          <w:spacing w:val="12"/>
          <w:sz w:val="21"/>
          <w:szCs w:val="21"/>
        </w:rPr>
        <w:t xml:space="preserve"> </w:t>
      </w:r>
      <w:r>
        <w:rPr>
          <w:rFonts w:ascii="SimSun" w:eastAsia="SimSun" w:hAnsi="SimSun" w:cs="SimSun"/>
          <w:spacing w:val="-4"/>
          <w:sz w:val="21"/>
          <w:szCs w:val="21"/>
        </w:rPr>
        <w:t>年复合增长率达到</w:t>
      </w:r>
      <w:r>
        <w:rPr>
          <w:rFonts w:ascii="SimSun" w:eastAsia="SimSun" w:hAnsi="SimSun" w:cs="SimSun"/>
          <w:spacing w:val="-23"/>
          <w:sz w:val="21"/>
          <w:szCs w:val="21"/>
        </w:rPr>
        <w:t xml:space="preserve"> </w:t>
      </w:r>
      <w:r>
        <w:rPr>
          <w:rFonts w:ascii="Times New Roman" w:eastAsia="Times New Roman" w:hAnsi="Times New Roman" w:cs="Times New Roman"/>
          <w:spacing w:val="-4"/>
          <w:sz w:val="21"/>
          <w:szCs w:val="21"/>
        </w:rPr>
        <w:t>15.73%</w:t>
      </w:r>
      <w:r>
        <w:rPr>
          <w:rFonts w:ascii="Times New Roman" w:eastAsia="Times New Roman" w:hAnsi="Times New Roman" w:cs="Times New Roman"/>
          <w:spacing w:val="-26"/>
          <w:sz w:val="21"/>
          <w:szCs w:val="21"/>
        </w:rPr>
        <w:t xml:space="preserve"> </w:t>
      </w:r>
      <w:r>
        <w:rPr>
          <w:rFonts w:ascii="SimSun" w:eastAsia="SimSun" w:hAnsi="SimSun" w:cs="SimSun"/>
          <w:spacing w:val="-4"/>
          <w:sz w:val="21"/>
          <w:szCs w:val="21"/>
        </w:rPr>
        <w:t>。</w:t>
      </w:r>
      <w:r>
        <w:rPr>
          <w:rFonts w:ascii="SimSun" w:eastAsia="SimSun" w:hAnsi="SimSun" w:cs="SimSun"/>
          <w:sz w:val="21"/>
          <w:szCs w:val="21"/>
        </w:rPr>
        <w:t xml:space="preserve"> </w:t>
      </w:r>
      <w:r>
        <w:rPr>
          <w:rFonts w:ascii="SimSun" w:eastAsia="SimSun" w:hAnsi="SimSun" w:cs="SimSun"/>
          <w:spacing w:val="-3"/>
          <w:sz w:val="21"/>
          <w:szCs w:val="21"/>
        </w:rPr>
        <w:t>目前我国锂电设备整体国产化率达到</w:t>
      </w:r>
      <w:r>
        <w:rPr>
          <w:rFonts w:ascii="SimSun" w:eastAsia="SimSun" w:hAnsi="SimSun" w:cs="SimSun"/>
          <w:spacing w:val="-24"/>
          <w:sz w:val="21"/>
          <w:szCs w:val="21"/>
        </w:rPr>
        <w:t xml:space="preserve"> </w:t>
      </w:r>
      <w:r>
        <w:rPr>
          <w:rFonts w:ascii="Times New Roman" w:eastAsia="Times New Roman" w:hAnsi="Times New Roman" w:cs="Times New Roman"/>
          <w:spacing w:val="-3"/>
          <w:sz w:val="21"/>
          <w:szCs w:val="21"/>
        </w:rPr>
        <w:t>90%</w:t>
      </w:r>
      <w:r>
        <w:rPr>
          <w:rFonts w:ascii="SimSun" w:eastAsia="SimSun" w:hAnsi="SimSun" w:cs="SimSun"/>
          <w:spacing w:val="-3"/>
          <w:sz w:val="21"/>
          <w:szCs w:val="21"/>
        </w:rPr>
        <w:t>以上，</w:t>
      </w:r>
      <w:r>
        <w:rPr>
          <w:rFonts w:ascii="SimSun" w:eastAsia="SimSun" w:hAnsi="SimSun" w:cs="SimSun"/>
          <w:spacing w:val="-25"/>
          <w:sz w:val="21"/>
          <w:szCs w:val="21"/>
        </w:rPr>
        <w:t xml:space="preserve"> </w:t>
      </w:r>
      <w:r>
        <w:rPr>
          <w:rFonts w:ascii="SimSun" w:eastAsia="SimSun" w:hAnsi="SimSun" w:cs="SimSun"/>
          <w:spacing w:val="-3"/>
          <w:sz w:val="21"/>
          <w:szCs w:val="21"/>
        </w:rPr>
        <w:t>但是投资热度持续高涨，导致我国</w:t>
      </w:r>
      <w:r>
        <w:rPr>
          <w:rFonts w:ascii="SimSun" w:eastAsia="SimSun" w:hAnsi="SimSun" w:cs="SimSun"/>
          <w:spacing w:val="-4"/>
          <w:sz w:val="21"/>
          <w:szCs w:val="21"/>
        </w:rPr>
        <w:t>锂电池产业链将面临产</w:t>
      </w:r>
      <w:r>
        <w:rPr>
          <w:rFonts w:ascii="SimSun" w:eastAsia="SimSun" w:hAnsi="SimSun" w:cs="SimSun"/>
          <w:sz w:val="21"/>
          <w:szCs w:val="21"/>
        </w:rPr>
        <w:t xml:space="preserve"> </w:t>
      </w:r>
      <w:r>
        <w:rPr>
          <w:rFonts w:ascii="SimSun" w:eastAsia="SimSun" w:hAnsi="SimSun" w:cs="SimSun"/>
          <w:spacing w:val="-7"/>
          <w:sz w:val="21"/>
          <w:szCs w:val="21"/>
        </w:rPr>
        <w:t>能结构性过剩问题。</w:t>
      </w:r>
    </w:p>
    <w:p>
      <w:pPr>
        <w:spacing w:before="210" w:line="259" w:lineRule="auto"/>
        <w:ind w:left="38" w:right="2" w:hanging="1"/>
        <w:rPr>
          <w:rFonts w:ascii="SimSun" w:eastAsia="SimSun" w:hAnsi="SimSun" w:cs="SimSun"/>
          <w:sz w:val="21"/>
          <w:szCs w:val="21"/>
        </w:rPr>
      </w:pPr>
      <w:r>
        <w:rPr>
          <w:rFonts w:ascii="SimSun" w:eastAsia="SimSun" w:hAnsi="SimSun" w:cs="SimSun"/>
          <w:spacing w:val="-3"/>
          <w:sz w:val="21"/>
          <w:szCs w:val="21"/>
        </w:rPr>
        <w:t>环保设备指用于控制环境污染、改善环境质量的机械产品，</w:t>
      </w:r>
      <w:r>
        <w:rPr>
          <w:rFonts w:ascii="SimSun" w:eastAsia="SimSun" w:hAnsi="SimSun" w:cs="SimSun"/>
          <w:spacing w:val="-4"/>
          <w:sz w:val="21"/>
          <w:szCs w:val="21"/>
        </w:rPr>
        <w:t>包括除雾净化设备、脱销设备、湿式除尘设备、</w:t>
      </w:r>
      <w:r>
        <w:rPr>
          <w:rFonts w:ascii="SimSun" w:eastAsia="SimSun" w:hAnsi="SimSun" w:cs="SimSun"/>
          <w:sz w:val="21"/>
          <w:szCs w:val="21"/>
        </w:rPr>
        <w:t xml:space="preserve"> </w:t>
      </w:r>
      <w:r>
        <w:rPr>
          <w:rFonts w:ascii="SimSun" w:eastAsia="SimSun" w:hAnsi="SimSun" w:cs="SimSun"/>
          <w:spacing w:val="-9"/>
          <w:sz w:val="21"/>
          <w:szCs w:val="21"/>
        </w:rPr>
        <w:t>污水处理设备等。我国环保主要细分行业已从高速增长进入成熟发展阶段</w:t>
      </w:r>
      <w:r>
        <w:rPr>
          <w:rFonts w:ascii="SimSun" w:eastAsia="SimSun" w:hAnsi="SimSun" w:cs="SimSun"/>
          <w:spacing w:val="-10"/>
          <w:sz w:val="21"/>
          <w:szCs w:val="21"/>
        </w:rPr>
        <w:t>，</w:t>
      </w:r>
      <w:r>
        <w:rPr>
          <w:rFonts w:ascii="SimSun" w:eastAsia="SimSun" w:hAnsi="SimSun" w:cs="SimSun"/>
          <w:spacing w:val="-44"/>
          <w:sz w:val="21"/>
          <w:szCs w:val="21"/>
        </w:rPr>
        <w:t xml:space="preserve"> </w:t>
      </w:r>
      <w:r>
        <w:rPr>
          <w:rFonts w:ascii="SimSun" w:eastAsia="SimSun" w:hAnsi="SimSun" w:cs="SimSun"/>
          <w:spacing w:val="-10"/>
          <w:sz w:val="21"/>
          <w:szCs w:val="21"/>
        </w:rPr>
        <w:t>从行业结构看，</w:t>
      </w:r>
      <w:r>
        <w:rPr>
          <w:rFonts w:ascii="SimSun" w:eastAsia="SimSun" w:hAnsi="SimSun" w:cs="SimSun"/>
          <w:spacing w:val="38"/>
          <w:sz w:val="21"/>
          <w:szCs w:val="21"/>
        </w:rPr>
        <w:t xml:space="preserve"> </w:t>
      </w:r>
      <w:r>
        <w:rPr>
          <w:rFonts w:ascii="SimSun" w:eastAsia="SimSun" w:hAnsi="SimSun" w:cs="SimSun"/>
          <w:spacing w:val="-10"/>
          <w:sz w:val="21"/>
          <w:szCs w:val="21"/>
        </w:rPr>
        <w:t>我国环保行业产</w:t>
      </w:r>
    </w:p>
    <w:p>
      <w:pPr>
        <w:spacing w:line="250" w:lineRule="auto"/>
        <w:rPr>
          <w:rFonts w:ascii="Arial"/>
          <w:sz w:val="21"/>
        </w:rPr>
      </w:pPr>
    </w:p>
    <w:p>
      <w:pPr>
        <w:spacing w:line="251" w:lineRule="auto"/>
        <w:rPr>
          <w:rFonts w:ascii="Arial"/>
          <w:sz w:val="21"/>
        </w:rPr>
        <w:sectPr>
          <w:headerReference w:type="default" r:id="rId50"/>
          <w:footerReference w:type="default" r:id="rId51"/>
          <w:pgSz w:w="11907" w:h="16839"/>
          <w:pgMar w:top="1336" w:right="1054" w:bottom="1271" w:left="1104" w:header="1148" w:footer="1077" w:gutter="0"/>
          <w:pgNumType w:start="12"/>
          <w:cols w:space="708"/>
        </w:sectPr>
      </w:pPr>
    </w:p>
    <w:p>
      <w:pPr>
        <w:spacing w:before="49" w:line="233" w:lineRule="auto"/>
        <w:ind w:left="33" w:right="117"/>
        <w:jc w:val="both"/>
        <w:rPr>
          <w:rFonts w:ascii="SimSun" w:eastAsia="SimSun" w:hAnsi="SimSun" w:cs="SimSun"/>
          <w:sz w:val="15"/>
          <w:szCs w:val="15"/>
        </w:rPr>
      </w:pPr>
      <w:r>
        <w:rPr>
          <w:rFonts w:ascii="Times New Roman" w:eastAsia="Times New Roman" w:hAnsi="Times New Roman" w:cs="Times New Roman"/>
          <w:spacing w:val="-1"/>
          <w:position w:val="5"/>
          <w:sz w:val="12"/>
          <w:szCs w:val="12"/>
        </w:rPr>
        <w:t>3</w:t>
      </w:r>
      <w:r>
        <w:rPr>
          <w:rFonts w:ascii="Times New Roman" w:eastAsia="Times New Roman" w:hAnsi="Times New Roman" w:cs="Times New Roman"/>
          <w:spacing w:val="7"/>
          <w:w w:val="102"/>
          <w:position w:val="5"/>
          <w:sz w:val="12"/>
          <w:szCs w:val="12"/>
        </w:rPr>
        <w:t xml:space="preserve">   </w:t>
      </w:r>
      <w:r>
        <w:rPr>
          <w:rFonts w:ascii="SimSun" w:eastAsia="SimSun" w:hAnsi="SimSun" w:cs="SimSun"/>
          <w:spacing w:val="-1"/>
          <w:sz w:val="15"/>
          <w:szCs w:val="15"/>
        </w:rPr>
        <w:t>国家科技重大专项是为了实现国家目标， 通过核心技术突破</w:t>
      </w:r>
      <w:r>
        <w:rPr>
          <w:rFonts w:ascii="SimSun" w:eastAsia="SimSun" w:hAnsi="SimSun" w:cs="SimSun"/>
          <w:spacing w:val="-2"/>
          <w:sz w:val="15"/>
          <w:szCs w:val="15"/>
        </w:rPr>
        <w:t>和资源集成，在一定时限内完成的重大战略产品、关键共性技术和重大工程。其中数</w:t>
      </w:r>
      <w:r>
        <w:rPr>
          <w:rFonts w:ascii="SimSun" w:eastAsia="SimSun" w:hAnsi="SimSun" w:cs="SimSun"/>
          <w:sz w:val="15"/>
          <w:szCs w:val="15"/>
        </w:rPr>
        <w:t xml:space="preserve"> </w:t>
      </w:r>
      <w:r>
        <w:rPr>
          <w:rFonts w:ascii="SimSun" w:eastAsia="SimSun" w:hAnsi="SimSun" w:cs="SimSun"/>
          <w:spacing w:val="-1"/>
          <w:sz w:val="15"/>
          <w:szCs w:val="15"/>
        </w:rPr>
        <w:t>控机床重点实施的内容和目标分别是：重点研究</w:t>
      </w:r>
      <w:r>
        <w:rPr>
          <w:rFonts w:ascii="SimSun" w:eastAsia="SimSun" w:hAnsi="SimSun" w:cs="SimSun"/>
          <w:spacing w:val="-34"/>
          <w:sz w:val="15"/>
          <w:szCs w:val="15"/>
        </w:rPr>
        <w:t xml:space="preserve"> </w:t>
      </w:r>
      <w:r>
        <w:rPr>
          <w:rFonts w:ascii="Times New Roman" w:eastAsia="Times New Roman" w:hAnsi="Times New Roman" w:cs="Times New Roman"/>
          <w:spacing w:val="-1"/>
          <w:sz w:val="15"/>
          <w:szCs w:val="15"/>
        </w:rPr>
        <w:t xml:space="preserve">2-3 </w:t>
      </w:r>
      <w:r>
        <w:rPr>
          <w:rFonts w:ascii="SimSun" w:eastAsia="SimSun" w:hAnsi="SimSun" w:cs="SimSun"/>
          <w:spacing w:val="-1"/>
          <w:sz w:val="15"/>
          <w:szCs w:val="15"/>
        </w:rPr>
        <w:t>种大型、高精度数控母机； 开发航空、航天、船舶、汽车、能</w:t>
      </w:r>
      <w:r>
        <w:rPr>
          <w:rFonts w:ascii="SimSun" w:eastAsia="SimSun" w:hAnsi="SimSun" w:cs="SimSun"/>
          <w:spacing w:val="-2"/>
          <w:sz w:val="15"/>
          <w:szCs w:val="15"/>
        </w:rPr>
        <w:t>源设备等行业需要的关键高精密</w:t>
      </w:r>
      <w:r>
        <w:rPr>
          <w:rFonts w:ascii="SimSun" w:eastAsia="SimSun" w:hAnsi="SimSun" w:cs="SimSun"/>
          <w:sz w:val="15"/>
          <w:szCs w:val="15"/>
        </w:rPr>
        <w:t xml:space="preserve"> </w:t>
      </w:r>
      <w:r>
        <w:rPr>
          <w:rFonts w:ascii="SimSun" w:eastAsia="SimSun" w:hAnsi="SimSun" w:cs="SimSun"/>
          <w:sz w:val="15"/>
          <w:szCs w:val="15"/>
        </w:rPr>
        <w:t>数控机床与基础设备；突破一批数控机床基础技术和关键共性技术，建立数控装备研发平台和人才培养基地，促进中高档数控机</w:t>
      </w:r>
      <w:r>
        <w:rPr>
          <w:rFonts w:ascii="SimSun" w:eastAsia="SimSun" w:hAnsi="SimSun" w:cs="SimSun"/>
          <w:spacing w:val="-1"/>
          <w:sz w:val="15"/>
          <w:szCs w:val="15"/>
        </w:rPr>
        <w:t>床发展。</w:t>
      </w:r>
    </w:p>
    <w:p>
      <w:pPr>
        <w:spacing w:line="233" w:lineRule="auto"/>
        <w:rPr>
          <w:rFonts w:ascii="SimSun" w:eastAsia="SimSun" w:hAnsi="SimSun" w:cs="SimSun"/>
          <w:sz w:val="15"/>
          <w:szCs w:val="15"/>
        </w:rPr>
      </w:pPr>
      <w:r>
        <w:rPr>
          <w:rFonts w:ascii="SimSun" w:eastAsia="SimSun" w:hAnsi="SimSun" w:cs="SimSun"/>
          <w:sz w:val="15"/>
          <w:szCs w:val="15"/>
        </w:rPr>
        <w:br/>
      </w:r>
      <w:r>
        <w:rPr>
          <w:rFonts w:ascii="SimSun" w:eastAsia="SimSun" w:hAnsi="SimSun" w:cs="SimSun"/>
          <w:sz w:val="15"/>
          <w:szCs w:val="15"/>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2" w:history="1">
        <w:r>
          <w:rPr>
            <w:rFonts w:ascii="SimSun" w:eastAsia="SimSun" w:hAnsi="SimSun" w:cs="SimSun"/>
            <w:b/>
            <w:bCs/>
            <w:noProof w:val="0"/>
            <w:snapToGrid/>
            <w:color w:val="0000EE"/>
            <w:kern w:val="0"/>
            <w:sz w:val="30"/>
            <w:szCs w:val="30"/>
            <w:u w:val="single" w:color="0000EE"/>
          </w:rPr>
          <w:t>https://d.book118.com/625310121112011101</w:t>
        </w:r>
      </w:hyperlink>
    </w:p>
    <w:p>
      <w:pPr>
        <w:spacing w:line="233" w:lineRule="auto"/>
        <w:rPr>
          <w:rFonts w:ascii="SimSun" w:eastAsia="SimSun" w:hAnsi="SimSun" w:cs="SimSun"/>
          <w:sz w:val="15"/>
          <w:szCs w:val="15"/>
        </w:rPr>
      </w:pPr>
    </w:p>
    <w:sectPr>
      <w:headerReference w:type="default" r:id="rId53"/>
      <w:footerReference w:type="default" r:id="rId54"/>
      <w:type w:val="nextPage"/>
      <w:pgSz w:w="11907" w:h="16839"/>
      <w:pgMar w:top="1336" w:right="1054" w:bottom="1271" w:left="1104" w:header="1148" w:footer="1077" w:gutter="0"/>
      <w:pgNumType w:start="1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816"/>
      <w:rPr>
        <w:rFonts w:ascii="SimHei" w:eastAsia="SimHei" w:hAnsi="SimHei" w:cs="SimHei"/>
        <w:sz w:val="19"/>
        <w:szCs w:val="19"/>
      </w:rPr>
    </w:pPr>
    <w:r>
      <w:rPr>
        <w:rFonts w:ascii="SimHei" w:eastAsia="SimHei" w:hAnsi="SimHei" w:cs="SimHei"/>
        <w:sz w:val="19"/>
        <w:szCs w:val="19"/>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804"/>
      <w:rPr>
        <w:rFonts w:ascii="SimHei" w:eastAsia="SimHei" w:hAnsi="SimHei" w:cs="SimHei"/>
        <w:sz w:val="19"/>
        <w:szCs w:val="19"/>
      </w:rPr>
    </w:pPr>
    <w:r>
      <w:rPr>
        <w:rFonts w:ascii="SimHei" w:eastAsia="SimHei" w:hAnsi="SimHei" w:cs="SimHei"/>
        <w:sz w:val="19"/>
        <w:szCs w:val="19"/>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804"/>
      <w:rPr>
        <w:rFonts w:ascii="SimHei" w:eastAsia="SimHei" w:hAnsi="SimHei" w:cs="SimHei"/>
        <w:sz w:val="19"/>
        <w:szCs w:val="19"/>
      </w:rPr>
    </w:pPr>
    <w:r>
      <w:rPr>
        <w:rFonts w:ascii="SimHei" w:eastAsia="SimHei" w:hAnsi="SimHei" w:cs="SimHei"/>
        <w:sz w:val="19"/>
        <w:szCs w:val="19"/>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5127"/>
      <w:rPr>
        <w:rFonts w:ascii="SimHei" w:eastAsia="SimHei" w:hAnsi="SimHei" w:cs="SimHei"/>
        <w:sz w:val="19"/>
        <w:szCs w:val="19"/>
      </w:rPr>
    </w:pPr>
    <w:r>
      <w:rPr>
        <w:rFonts w:ascii="SimHei" w:eastAsia="SimHei" w:hAnsi="SimHei" w:cs="SimHei"/>
        <w:sz w:val="19"/>
        <w:szCs w:val="19"/>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5127"/>
      <w:rPr>
        <w:rFonts w:ascii="SimHei" w:eastAsia="SimHei" w:hAnsi="SimHei" w:cs="SimHei"/>
        <w:sz w:val="19"/>
        <w:szCs w:val="19"/>
      </w:rPr>
    </w:pPr>
    <w:r>
      <w:rPr>
        <w:rFonts w:ascii="SimHei" w:eastAsia="SimHei" w:hAnsi="SimHei" w:cs="SimHei"/>
        <w:sz w:val="19"/>
        <w:szCs w:val="19"/>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5127"/>
      <w:rPr>
        <w:rFonts w:ascii="SimHei" w:eastAsia="SimHei" w:hAnsi="SimHei" w:cs="SimHei"/>
        <w:sz w:val="19"/>
        <w:szCs w:val="19"/>
      </w:rPr>
    </w:pPr>
    <w:r>
      <w:rPr>
        <w:rFonts w:ascii="SimHei" w:eastAsia="SimHei" w:hAnsi="SimHei" w:cs="SimHei"/>
        <w:sz w:val="19"/>
        <w:szCs w:val="19"/>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5127"/>
      <w:rPr>
        <w:rFonts w:ascii="SimHei" w:eastAsia="SimHei" w:hAnsi="SimHei" w:cs="SimHei"/>
        <w:sz w:val="19"/>
        <w:szCs w:val="19"/>
      </w:rPr>
    </w:pPr>
    <w:r>
      <w:rPr>
        <w:rFonts w:ascii="SimHei" w:eastAsia="SimHei" w:hAnsi="SimHei" w:cs="SimHei"/>
        <w:sz w:val="19"/>
        <w:szCs w:val="19"/>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800"/>
      <w:rPr>
        <w:rFonts w:ascii="SimHei" w:eastAsia="SimHei" w:hAnsi="SimHei" w:cs="SimHei"/>
        <w:sz w:val="19"/>
        <w:szCs w:val="19"/>
      </w:rPr>
    </w:pPr>
    <w:r>
      <w:rPr>
        <w:rFonts w:ascii="SimHei" w:eastAsia="SimHei" w:hAnsi="SimHei" w:cs="SimHei"/>
        <w:spacing w:val="2"/>
        <w:sz w:val="19"/>
        <w:szCs w:val="19"/>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800"/>
      <w:rPr>
        <w:rFonts w:ascii="SimHei" w:eastAsia="SimHei" w:hAnsi="SimHei" w:cs="SimHei"/>
        <w:sz w:val="19"/>
        <w:szCs w:val="19"/>
      </w:rPr>
    </w:pPr>
    <w:r>
      <w:rPr>
        <w:rFonts w:ascii="SimHei" w:eastAsia="SimHei" w:hAnsi="SimHei" w:cs="SimHei"/>
        <w:spacing w:val="2"/>
        <w:sz w:val="19"/>
        <w:szCs w:val="19"/>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01"/>
      <w:rPr>
        <w:rFonts w:ascii="SimHei" w:eastAsia="SimHei" w:hAnsi="SimHei" w:cs="SimHei"/>
        <w:sz w:val="19"/>
        <w:szCs w:val="19"/>
      </w:rPr>
    </w:pPr>
    <w:r>
      <w:rPr>
        <w:rFonts w:ascii="SimHei" w:eastAsia="SimHei" w:hAnsi="SimHei" w:cs="SimHei"/>
        <w:spacing w:val="1"/>
        <w:sz w:val="19"/>
        <w:szCs w:val="19"/>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801"/>
      <w:rPr>
        <w:rFonts w:ascii="SimHei" w:eastAsia="SimHei" w:hAnsi="SimHei" w:cs="SimHei"/>
        <w:sz w:val="19"/>
        <w:szCs w:val="19"/>
      </w:rPr>
    </w:pPr>
    <w:r>
      <w:rPr>
        <w:rFonts w:ascii="SimHei" w:eastAsia="SimHei" w:hAnsi="SimHei" w:cs="SimHei"/>
        <w:spacing w:val="1"/>
        <w:sz w:val="19"/>
        <w:szCs w:val="19"/>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805"/>
      <w:rPr>
        <w:rFonts w:ascii="SimHei" w:eastAsia="SimHei" w:hAnsi="SimHei" w:cs="SimHei"/>
        <w:sz w:val="19"/>
        <w:szCs w:val="19"/>
      </w:rPr>
    </w:pPr>
    <w:r>
      <w:rPr>
        <w:rFonts w:ascii="SimHei" w:eastAsia="SimHei" w:hAnsi="SimHei" w:cs="SimHei"/>
        <w:sz w:val="19"/>
        <w:szCs w:val="19"/>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805"/>
      <w:rPr>
        <w:rFonts w:ascii="SimHei" w:eastAsia="SimHei" w:hAnsi="SimHei" w:cs="SimHei"/>
        <w:sz w:val="19"/>
        <w:szCs w:val="19"/>
      </w:rPr>
    </w:pPr>
    <w:r>
      <w:rPr>
        <w:rFonts w:ascii="SimHei" w:eastAsia="SimHei" w:hAnsi="SimHei" w:cs="SimHei"/>
        <w:sz w:val="19"/>
        <w:szCs w:val="19"/>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39"/>
      <w:rPr>
        <w:rFonts w:ascii="SimHei" w:eastAsia="SimHei" w:hAnsi="SimHei" w:cs="SimHei"/>
        <w:sz w:val="12"/>
        <w:szCs w:val="12"/>
      </w:rPr>
    </w:pPr>
    <w:r>
      <w:pict>
        <v:shape id="_x0000_s2049" style="width:484.9pt;height:0.75pt;margin-top:51.96pt;margin-left:55.2pt;mso-position-horizontal-relative:page;mso-position-vertical-relative:page;position:absolute;z-index:251658240"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50" type="#_x0000_t202" style="width:34.2pt;height:9.6pt;margin-top:-0.98pt;margin-left:1.99pt;position:absolute;z-index:251659264"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6"/>
        <w:sz w:val="12"/>
        <w:szCs w:val="12"/>
      </w:rPr>
      <w:t>2023</w:t>
    </w:r>
    <w:r>
      <w:rPr>
        <w:rFonts w:ascii="SimHei" w:eastAsia="SimHei" w:hAnsi="SimHei" w:cs="SimHei"/>
        <w:spacing w:val="-4"/>
        <w:sz w:val="12"/>
        <w:szCs w:val="12"/>
      </w:rPr>
      <w:t xml:space="preserve"> </w:t>
    </w:r>
    <w:r>
      <w:rPr>
        <w:rFonts w:ascii="SimHei" w:eastAsia="SimHei" w:hAnsi="SimHei" w:cs="SimHei"/>
        <w:spacing w:val="6"/>
        <w:sz w:val="12"/>
        <w:szCs w:val="12"/>
      </w:rPr>
      <w:t>年机械行业信用回顾与</w:t>
    </w:r>
    <w:r>
      <w:rPr>
        <w:rFonts w:ascii="SimHei" w:eastAsia="SimHei" w:hAnsi="SimHei" w:cs="SimHei"/>
        <w:spacing w:val="-22"/>
        <w:sz w:val="12"/>
        <w:szCs w:val="12"/>
      </w:rPr>
      <w:t xml:space="preserve"> </w:t>
    </w:r>
    <w:r>
      <w:rPr>
        <w:rFonts w:ascii="SimHei" w:eastAsia="SimHei" w:hAnsi="SimHei" w:cs="SimHei"/>
        <w:spacing w:val="6"/>
        <w:sz w:val="12"/>
        <w:szCs w:val="12"/>
      </w:rPr>
      <w:t>2024</w:t>
    </w:r>
    <w:r>
      <w:rPr>
        <w:rFonts w:ascii="SimHei" w:eastAsia="SimHei" w:hAnsi="SimHei" w:cs="SimHei"/>
        <w:spacing w:val="-21"/>
        <w:sz w:val="12"/>
        <w:szCs w:val="12"/>
      </w:rPr>
      <w:t xml:space="preserve"> </w:t>
    </w:r>
    <w:r>
      <w:rPr>
        <w:rFonts w:ascii="SimHei" w:eastAsia="SimHei" w:hAnsi="SimHei" w:cs="SimHei"/>
        <w:spacing w:val="6"/>
        <w:sz w:val="12"/>
        <w:szCs w:val="12"/>
      </w:rPr>
      <w:t>年展望</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39"/>
      <w:rPr>
        <w:rFonts w:ascii="SimHei" w:eastAsia="SimHei" w:hAnsi="SimHei" w:cs="SimHei"/>
        <w:sz w:val="12"/>
        <w:szCs w:val="12"/>
      </w:rPr>
    </w:pPr>
    <w:r>
      <w:pict>
        <v:shape id="_x0000_s2051" style="width:484.9pt;height:0.75pt;margin-top:66.12pt;margin-left:55.2pt;mso-position-horizontal-relative:page;mso-position-vertical-relative:page;position:absolute;z-index:251660288"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52" type="#_x0000_t202" style="width:34.2pt;height:9.6pt;margin-top:-0.98pt;margin-left:1.99pt;position:absolute;z-index:251661312"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6"/>
        <w:sz w:val="12"/>
        <w:szCs w:val="12"/>
      </w:rPr>
      <w:t>2023</w:t>
    </w:r>
    <w:r>
      <w:rPr>
        <w:rFonts w:ascii="SimHei" w:eastAsia="SimHei" w:hAnsi="SimHei" w:cs="SimHei"/>
        <w:spacing w:val="-4"/>
        <w:sz w:val="12"/>
        <w:szCs w:val="12"/>
      </w:rPr>
      <w:t xml:space="preserve"> </w:t>
    </w:r>
    <w:r>
      <w:rPr>
        <w:rFonts w:ascii="SimHei" w:eastAsia="SimHei" w:hAnsi="SimHei" w:cs="SimHei"/>
        <w:spacing w:val="6"/>
        <w:sz w:val="12"/>
        <w:szCs w:val="12"/>
      </w:rPr>
      <w:t>年机械行业信用回顾与</w:t>
    </w:r>
    <w:r>
      <w:rPr>
        <w:rFonts w:ascii="SimHei" w:eastAsia="SimHei" w:hAnsi="SimHei" w:cs="SimHei"/>
        <w:spacing w:val="-22"/>
        <w:sz w:val="12"/>
        <w:szCs w:val="12"/>
      </w:rPr>
      <w:t xml:space="preserve"> </w:t>
    </w:r>
    <w:r>
      <w:rPr>
        <w:rFonts w:ascii="SimHei" w:eastAsia="SimHei" w:hAnsi="SimHei" w:cs="SimHei"/>
        <w:spacing w:val="6"/>
        <w:sz w:val="12"/>
        <w:szCs w:val="12"/>
      </w:rPr>
      <w:t>2024</w:t>
    </w:r>
    <w:r>
      <w:rPr>
        <w:rFonts w:ascii="SimHei" w:eastAsia="SimHei" w:hAnsi="SimHei" w:cs="SimHei"/>
        <w:spacing w:val="-21"/>
        <w:sz w:val="12"/>
        <w:szCs w:val="12"/>
      </w:rPr>
      <w:t xml:space="preserve"> </w:t>
    </w:r>
    <w:r>
      <w:rPr>
        <w:rFonts w:ascii="SimHei" w:eastAsia="SimHei" w:hAnsi="SimHei" w:cs="SimHei"/>
        <w:spacing w:val="6"/>
        <w:sz w:val="12"/>
        <w:szCs w:val="12"/>
      </w:rPr>
      <w:t>年展望</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39"/>
      <w:rPr>
        <w:rFonts w:ascii="SimHei" w:eastAsia="SimHei" w:hAnsi="SimHei" w:cs="SimHei"/>
        <w:sz w:val="12"/>
        <w:szCs w:val="12"/>
      </w:rPr>
    </w:pPr>
    <w:r>
      <w:pict>
        <v:shape id="_x0000_s2053" style="width:484.9pt;height:0.75pt;margin-top:66.12pt;margin-left:55.2pt;mso-position-horizontal-relative:page;mso-position-vertical-relative:page;position:absolute;z-index:251662336"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54" type="#_x0000_t202" style="width:34.2pt;height:9.6pt;margin-top:-0.98pt;margin-left:1.99pt;position:absolute;z-index:251663360"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6"/>
        <w:sz w:val="12"/>
        <w:szCs w:val="12"/>
      </w:rPr>
      <w:t>2023</w:t>
    </w:r>
    <w:r>
      <w:rPr>
        <w:rFonts w:ascii="SimHei" w:eastAsia="SimHei" w:hAnsi="SimHei" w:cs="SimHei"/>
        <w:spacing w:val="-4"/>
        <w:sz w:val="12"/>
        <w:szCs w:val="12"/>
      </w:rPr>
      <w:t xml:space="preserve"> </w:t>
    </w:r>
    <w:r>
      <w:rPr>
        <w:rFonts w:ascii="SimHei" w:eastAsia="SimHei" w:hAnsi="SimHei" w:cs="SimHei"/>
        <w:spacing w:val="6"/>
        <w:sz w:val="12"/>
        <w:szCs w:val="12"/>
      </w:rPr>
      <w:t>年机械行业信用回顾与</w:t>
    </w:r>
    <w:r>
      <w:rPr>
        <w:rFonts w:ascii="SimHei" w:eastAsia="SimHei" w:hAnsi="SimHei" w:cs="SimHei"/>
        <w:spacing w:val="-22"/>
        <w:sz w:val="12"/>
        <w:szCs w:val="12"/>
      </w:rPr>
      <w:t xml:space="preserve"> </w:t>
    </w:r>
    <w:r>
      <w:rPr>
        <w:rFonts w:ascii="SimHei" w:eastAsia="SimHei" w:hAnsi="SimHei" w:cs="SimHei"/>
        <w:spacing w:val="6"/>
        <w:sz w:val="12"/>
        <w:szCs w:val="12"/>
      </w:rPr>
      <w:t>2024</w:t>
    </w:r>
    <w:r>
      <w:rPr>
        <w:rFonts w:ascii="SimHei" w:eastAsia="SimHei" w:hAnsi="SimHei" w:cs="SimHei"/>
        <w:spacing w:val="-21"/>
        <w:sz w:val="12"/>
        <w:szCs w:val="12"/>
      </w:rPr>
      <w:t xml:space="preserve"> </w:t>
    </w:r>
    <w:r>
      <w:rPr>
        <w:rFonts w:ascii="SimHei" w:eastAsia="SimHei" w:hAnsi="SimHei" w:cs="SimHei"/>
        <w:spacing w:val="6"/>
        <w:sz w:val="12"/>
        <w:szCs w:val="12"/>
      </w:rPr>
      <w:t>年展望</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660"/>
      <w:rPr>
        <w:rFonts w:ascii="SimHei" w:eastAsia="SimHei" w:hAnsi="SimHei" w:cs="SimHei"/>
        <w:sz w:val="12"/>
        <w:szCs w:val="12"/>
      </w:rPr>
    </w:pPr>
    <w:r>
      <w:pict>
        <v:shape id="_x0000_s2055" style="width:484.9pt;height:0.75pt;margin-top:66.12pt;margin-left:55.2pt;mso-position-horizontal-relative:page;mso-position-vertical-relative:page;position:absolute;z-index:251664384"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56" type="#_x0000_t202" style="width:34.2pt;height:9.6pt;margin-top:-0.98pt;margin-left:18.02pt;position:absolute;z-index:251665408"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6"/>
        <w:sz w:val="12"/>
        <w:szCs w:val="12"/>
      </w:rPr>
      <w:t>2023</w:t>
    </w:r>
    <w:r>
      <w:rPr>
        <w:rFonts w:ascii="SimHei" w:eastAsia="SimHei" w:hAnsi="SimHei" w:cs="SimHei"/>
        <w:spacing w:val="-4"/>
        <w:sz w:val="12"/>
        <w:szCs w:val="12"/>
      </w:rPr>
      <w:t xml:space="preserve"> </w:t>
    </w:r>
    <w:r>
      <w:rPr>
        <w:rFonts w:ascii="SimHei" w:eastAsia="SimHei" w:hAnsi="SimHei" w:cs="SimHei"/>
        <w:spacing w:val="6"/>
        <w:sz w:val="12"/>
        <w:szCs w:val="12"/>
      </w:rPr>
      <w:t>年机械行业信用回顾与</w:t>
    </w:r>
    <w:r>
      <w:rPr>
        <w:rFonts w:ascii="SimHei" w:eastAsia="SimHei" w:hAnsi="SimHei" w:cs="SimHei"/>
        <w:spacing w:val="-22"/>
        <w:sz w:val="12"/>
        <w:szCs w:val="12"/>
      </w:rPr>
      <w:t xml:space="preserve"> </w:t>
    </w:r>
    <w:r>
      <w:rPr>
        <w:rFonts w:ascii="SimHei" w:eastAsia="SimHei" w:hAnsi="SimHei" w:cs="SimHei"/>
        <w:spacing w:val="6"/>
        <w:sz w:val="12"/>
        <w:szCs w:val="12"/>
      </w:rPr>
      <w:t>2024</w:t>
    </w:r>
    <w:r>
      <w:rPr>
        <w:rFonts w:ascii="SimHei" w:eastAsia="SimHei" w:hAnsi="SimHei" w:cs="SimHei"/>
        <w:spacing w:val="-21"/>
        <w:sz w:val="12"/>
        <w:szCs w:val="12"/>
      </w:rPr>
      <w:t xml:space="preserve"> </w:t>
    </w:r>
    <w:r>
      <w:rPr>
        <w:rFonts w:ascii="SimHei" w:eastAsia="SimHei" w:hAnsi="SimHei" w:cs="SimHei"/>
        <w:spacing w:val="6"/>
        <w:sz w:val="12"/>
        <w:szCs w:val="12"/>
      </w:rPr>
      <w:t>年展望</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660"/>
      <w:rPr>
        <w:rFonts w:ascii="SimHei" w:eastAsia="SimHei" w:hAnsi="SimHei" w:cs="SimHei"/>
        <w:sz w:val="12"/>
        <w:szCs w:val="12"/>
      </w:rPr>
    </w:pPr>
    <w:r>
      <w:pict>
        <v:shape id="_x0000_s2057" style="width:484.9pt;height:0.75pt;margin-top:66.12pt;margin-left:55.2pt;mso-position-horizontal-relative:page;mso-position-vertical-relative:page;position:absolute;z-index:251666432"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58" type="#_x0000_t202" style="width:34.2pt;height:9.6pt;margin-top:-0.98pt;margin-left:18.02pt;position:absolute;z-index:251667456"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6"/>
        <w:sz w:val="12"/>
        <w:szCs w:val="12"/>
      </w:rPr>
      <w:t>2023</w:t>
    </w:r>
    <w:r>
      <w:rPr>
        <w:rFonts w:ascii="SimHei" w:eastAsia="SimHei" w:hAnsi="SimHei" w:cs="SimHei"/>
        <w:spacing w:val="-4"/>
        <w:sz w:val="12"/>
        <w:szCs w:val="12"/>
      </w:rPr>
      <w:t xml:space="preserve"> </w:t>
    </w:r>
    <w:r>
      <w:rPr>
        <w:rFonts w:ascii="SimHei" w:eastAsia="SimHei" w:hAnsi="SimHei" w:cs="SimHei"/>
        <w:spacing w:val="6"/>
        <w:sz w:val="12"/>
        <w:szCs w:val="12"/>
      </w:rPr>
      <w:t>年机械行业信用回顾与</w:t>
    </w:r>
    <w:r>
      <w:rPr>
        <w:rFonts w:ascii="SimHei" w:eastAsia="SimHei" w:hAnsi="SimHei" w:cs="SimHei"/>
        <w:spacing w:val="-22"/>
        <w:sz w:val="12"/>
        <w:szCs w:val="12"/>
      </w:rPr>
      <w:t xml:space="preserve"> </w:t>
    </w:r>
    <w:r>
      <w:rPr>
        <w:rFonts w:ascii="SimHei" w:eastAsia="SimHei" w:hAnsi="SimHei" w:cs="SimHei"/>
        <w:spacing w:val="6"/>
        <w:sz w:val="12"/>
        <w:szCs w:val="12"/>
      </w:rPr>
      <w:t>2024</w:t>
    </w:r>
    <w:r>
      <w:rPr>
        <w:rFonts w:ascii="SimHei" w:eastAsia="SimHei" w:hAnsi="SimHei" w:cs="SimHei"/>
        <w:spacing w:val="-21"/>
        <w:sz w:val="12"/>
        <w:szCs w:val="12"/>
      </w:rPr>
      <w:t xml:space="preserve"> </w:t>
    </w:r>
    <w:r>
      <w:rPr>
        <w:rFonts w:ascii="SimHei" w:eastAsia="SimHei" w:hAnsi="SimHei" w:cs="SimHei"/>
        <w:spacing w:val="6"/>
        <w:sz w:val="12"/>
        <w:szCs w:val="12"/>
      </w:rPr>
      <w:t>年展望</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660"/>
      <w:rPr>
        <w:rFonts w:ascii="SimHei" w:eastAsia="SimHei" w:hAnsi="SimHei" w:cs="SimHei"/>
        <w:sz w:val="12"/>
        <w:szCs w:val="12"/>
      </w:rPr>
    </w:pPr>
    <w:r>
      <w:pict>
        <v:shape id="_x0000_s2059" style="width:484.9pt;height:0.75pt;margin-top:66.12pt;margin-left:55.2pt;mso-position-horizontal-relative:page;mso-position-vertical-relative:page;position:absolute;z-index:251668480"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60" type="#_x0000_t202" style="width:34.2pt;height:9.6pt;margin-top:-0.98pt;margin-left:18.02pt;position:absolute;z-index:251669504"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6"/>
        <w:sz w:val="12"/>
        <w:szCs w:val="12"/>
      </w:rPr>
      <w:t>2023</w:t>
    </w:r>
    <w:r>
      <w:rPr>
        <w:rFonts w:ascii="SimHei" w:eastAsia="SimHei" w:hAnsi="SimHei" w:cs="SimHei"/>
        <w:spacing w:val="-4"/>
        <w:sz w:val="12"/>
        <w:szCs w:val="12"/>
      </w:rPr>
      <w:t xml:space="preserve"> </w:t>
    </w:r>
    <w:r>
      <w:rPr>
        <w:rFonts w:ascii="SimHei" w:eastAsia="SimHei" w:hAnsi="SimHei" w:cs="SimHei"/>
        <w:spacing w:val="6"/>
        <w:sz w:val="12"/>
        <w:szCs w:val="12"/>
      </w:rPr>
      <w:t>年机械行业信用回顾与</w:t>
    </w:r>
    <w:r>
      <w:rPr>
        <w:rFonts w:ascii="SimHei" w:eastAsia="SimHei" w:hAnsi="SimHei" w:cs="SimHei"/>
        <w:spacing w:val="-22"/>
        <w:sz w:val="12"/>
        <w:szCs w:val="12"/>
      </w:rPr>
      <w:t xml:space="preserve"> </w:t>
    </w:r>
    <w:r>
      <w:rPr>
        <w:rFonts w:ascii="SimHei" w:eastAsia="SimHei" w:hAnsi="SimHei" w:cs="SimHei"/>
        <w:spacing w:val="6"/>
        <w:sz w:val="12"/>
        <w:szCs w:val="12"/>
      </w:rPr>
      <w:t>2024</w:t>
    </w:r>
    <w:r>
      <w:rPr>
        <w:rFonts w:ascii="SimHei" w:eastAsia="SimHei" w:hAnsi="SimHei" w:cs="SimHei"/>
        <w:spacing w:val="-21"/>
        <w:sz w:val="12"/>
        <w:szCs w:val="12"/>
      </w:rPr>
      <w:t xml:space="preserve"> </w:t>
    </w:r>
    <w:r>
      <w:rPr>
        <w:rFonts w:ascii="SimHei" w:eastAsia="SimHei" w:hAnsi="SimHei" w:cs="SimHei"/>
        <w:spacing w:val="6"/>
        <w:sz w:val="12"/>
        <w:szCs w:val="12"/>
      </w:rPr>
      <w:t>年展望</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660"/>
      <w:rPr>
        <w:rFonts w:ascii="SimHei" w:eastAsia="SimHei" w:hAnsi="SimHei" w:cs="SimHei"/>
        <w:sz w:val="12"/>
        <w:szCs w:val="12"/>
      </w:rPr>
    </w:pPr>
    <w:r>
      <w:pict>
        <v:shape id="_x0000_s2061" style="width:484.9pt;height:0.75pt;margin-top:66.12pt;margin-left:55.2pt;mso-position-horizontal-relative:page;mso-position-vertical-relative:page;position:absolute;z-index:251670528"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62" type="#_x0000_t202" style="width:34.2pt;height:9.6pt;margin-top:-0.98pt;margin-left:18.02pt;position:absolute;z-index:251671552"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6"/>
        <w:sz w:val="12"/>
        <w:szCs w:val="12"/>
      </w:rPr>
      <w:t>2023</w:t>
    </w:r>
    <w:r>
      <w:rPr>
        <w:rFonts w:ascii="SimHei" w:eastAsia="SimHei" w:hAnsi="SimHei" w:cs="SimHei"/>
        <w:spacing w:val="-4"/>
        <w:sz w:val="12"/>
        <w:szCs w:val="12"/>
      </w:rPr>
      <w:t xml:space="preserve"> </w:t>
    </w:r>
    <w:r>
      <w:rPr>
        <w:rFonts w:ascii="SimHei" w:eastAsia="SimHei" w:hAnsi="SimHei" w:cs="SimHei"/>
        <w:spacing w:val="6"/>
        <w:sz w:val="12"/>
        <w:szCs w:val="12"/>
      </w:rPr>
      <w:t>年机械行业信用回顾与</w:t>
    </w:r>
    <w:r>
      <w:rPr>
        <w:rFonts w:ascii="SimHei" w:eastAsia="SimHei" w:hAnsi="SimHei" w:cs="SimHei"/>
        <w:spacing w:val="-22"/>
        <w:sz w:val="12"/>
        <w:szCs w:val="12"/>
      </w:rPr>
      <w:t xml:space="preserve"> </w:t>
    </w:r>
    <w:r>
      <w:rPr>
        <w:rFonts w:ascii="SimHei" w:eastAsia="SimHei" w:hAnsi="SimHei" w:cs="SimHei"/>
        <w:spacing w:val="6"/>
        <w:sz w:val="12"/>
        <w:szCs w:val="12"/>
      </w:rPr>
      <w:t>2024</w:t>
    </w:r>
    <w:r>
      <w:rPr>
        <w:rFonts w:ascii="SimHei" w:eastAsia="SimHei" w:hAnsi="SimHei" w:cs="SimHei"/>
        <w:spacing w:val="-21"/>
        <w:sz w:val="12"/>
        <w:szCs w:val="12"/>
      </w:rPr>
      <w:t xml:space="preserve"> </w:t>
    </w:r>
    <w:r>
      <w:rPr>
        <w:rFonts w:ascii="SimHei" w:eastAsia="SimHei" w:hAnsi="SimHei" w:cs="SimHei"/>
        <w:spacing w:val="6"/>
        <w:sz w:val="12"/>
        <w:szCs w:val="12"/>
      </w:rPr>
      <w:t>年展望</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39"/>
      <w:rPr>
        <w:rFonts w:ascii="SimHei" w:eastAsia="SimHei" w:hAnsi="SimHei" w:cs="SimHei"/>
        <w:sz w:val="12"/>
        <w:szCs w:val="12"/>
      </w:rPr>
    </w:pPr>
    <w:r>
      <w:pict>
        <v:shape id="_x0000_s2063" style="width:484.9pt;height:0.75pt;margin-top:66.12pt;margin-left:55.2pt;mso-position-horizontal-relative:page;mso-position-vertical-relative:page;position:absolute;z-index:251672576"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64" type="#_x0000_t202" style="width:34.2pt;height:9.6pt;margin-top:-0.98pt;margin-left:1.99pt;position:absolute;z-index:251673600"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6"/>
        <w:sz w:val="12"/>
        <w:szCs w:val="12"/>
      </w:rPr>
      <w:t>2023</w:t>
    </w:r>
    <w:r>
      <w:rPr>
        <w:rFonts w:ascii="SimHei" w:eastAsia="SimHei" w:hAnsi="SimHei" w:cs="SimHei"/>
        <w:spacing w:val="-4"/>
        <w:sz w:val="12"/>
        <w:szCs w:val="12"/>
      </w:rPr>
      <w:t xml:space="preserve"> </w:t>
    </w:r>
    <w:r>
      <w:rPr>
        <w:rFonts w:ascii="SimHei" w:eastAsia="SimHei" w:hAnsi="SimHei" w:cs="SimHei"/>
        <w:spacing w:val="6"/>
        <w:sz w:val="12"/>
        <w:szCs w:val="12"/>
      </w:rPr>
      <w:t>年机械行业信用回顾与</w:t>
    </w:r>
    <w:r>
      <w:rPr>
        <w:rFonts w:ascii="SimHei" w:eastAsia="SimHei" w:hAnsi="SimHei" w:cs="SimHei"/>
        <w:spacing w:val="-22"/>
        <w:sz w:val="12"/>
        <w:szCs w:val="12"/>
      </w:rPr>
      <w:t xml:space="preserve"> </w:t>
    </w:r>
    <w:r>
      <w:rPr>
        <w:rFonts w:ascii="SimHei" w:eastAsia="SimHei" w:hAnsi="SimHei" w:cs="SimHei"/>
        <w:spacing w:val="6"/>
        <w:sz w:val="12"/>
        <w:szCs w:val="12"/>
      </w:rPr>
      <w:t>2024</w:t>
    </w:r>
    <w:r>
      <w:rPr>
        <w:rFonts w:ascii="SimHei" w:eastAsia="SimHei" w:hAnsi="SimHei" w:cs="SimHei"/>
        <w:spacing w:val="-21"/>
        <w:sz w:val="12"/>
        <w:szCs w:val="12"/>
      </w:rPr>
      <w:t xml:space="preserve"> </w:t>
    </w:r>
    <w:r>
      <w:rPr>
        <w:rFonts w:ascii="SimHei" w:eastAsia="SimHei" w:hAnsi="SimHei" w:cs="SimHei"/>
        <w:spacing w:val="6"/>
        <w:sz w:val="12"/>
        <w:szCs w:val="12"/>
      </w:rPr>
      <w:t>年展望</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39"/>
      <w:rPr>
        <w:rFonts w:ascii="SimHei" w:eastAsia="SimHei" w:hAnsi="SimHei" w:cs="SimHei"/>
        <w:sz w:val="12"/>
        <w:szCs w:val="12"/>
      </w:rPr>
    </w:pPr>
    <w:r>
      <w:pict>
        <v:shape id="_x0000_s2065" style="width:484.9pt;height:0.75pt;margin-top:66.12pt;margin-left:55.2pt;mso-position-horizontal-relative:page;mso-position-vertical-relative:page;position:absolute;z-index:251674624"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66" type="#_x0000_t202" style="width:34.2pt;height:9.6pt;margin-top:-0.98pt;margin-left:1.99pt;position:absolute;z-index:251675648"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6"/>
        <w:sz w:val="12"/>
        <w:szCs w:val="12"/>
      </w:rPr>
      <w:t>2023</w:t>
    </w:r>
    <w:r>
      <w:rPr>
        <w:rFonts w:ascii="SimHei" w:eastAsia="SimHei" w:hAnsi="SimHei" w:cs="SimHei"/>
        <w:spacing w:val="-4"/>
        <w:sz w:val="12"/>
        <w:szCs w:val="12"/>
      </w:rPr>
      <w:t xml:space="preserve"> </w:t>
    </w:r>
    <w:r>
      <w:rPr>
        <w:rFonts w:ascii="SimHei" w:eastAsia="SimHei" w:hAnsi="SimHei" w:cs="SimHei"/>
        <w:spacing w:val="6"/>
        <w:sz w:val="12"/>
        <w:szCs w:val="12"/>
      </w:rPr>
      <w:t>年机械行业信用回顾与</w:t>
    </w:r>
    <w:r>
      <w:rPr>
        <w:rFonts w:ascii="SimHei" w:eastAsia="SimHei" w:hAnsi="SimHei" w:cs="SimHei"/>
        <w:spacing w:val="-22"/>
        <w:sz w:val="12"/>
        <w:szCs w:val="12"/>
      </w:rPr>
      <w:t xml:space="preserve"> </w:t>
    </w:r>
    <w:r>
      <w:rPr>
        <w:rFonts w:ascii="SimHei" w:eastAsia="SimHei" w:hAnsi="SimHei" w:cs="SimHei"/>
        <w:spacing w:val="6"/>
        <w:sz w:val="12"/>
        <w:szCs w:val="12"/>
      </w:rPr>
      <w:t>2024</w:t>
    </w:r>
    <w:r>
      <w:rPr>
        <w:rFonts w:ascii="SimHei" w:eastAsia="SimHei" w:hAnsi="SimHei" w:cs="SimHei"/>
        <w:spacing w:val="-21"/>
        <w:sz w:val="12"/>
        <w:szCs w:val="12"/>
      </w:rPr>
      <w:t xml:space="preserve"> </w:t>
    </w:r>
    <w:r>
      <w:rPr>
        <w:rFonts w:ascii="SimHei" w:eastAsia="SimHei" w:hAnsi="SimHei" w:cs="SimHei"/>
        <w:spacing w:val="6"/>
        <w:sz w:val="12"/>
        <w:szCs w:val="12"/>
      </w:rPr>
      <w:t>年展望</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39"/>
      <w:rPr>
        <w:rFonts w:ascii="SimHei" w:eastAsia="SimHei" w:hAnsi="SimHei" w:cs="SimHei"/>
        <w:sz w:val="12"/>
        <w:szCs w:val="12"/>
      </w:rPr>
    </w:pPr>
    <w:r>
      <w:pict>
        <v:shape id="_x0000_s2067" style="width:484.9pt;height:0.75pt;margin-top:66.12pt;margin-left:55.2pt;mso-position-horizontal-relative:page;mso-position-vertical-relative:page;position:absolute;z-index:251676672"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68" type="#_x0000_t202" style="width:34.2pt;height:9.6pt;margin-top:-0.98pt;margin-left:1.99pt;position:absolute;z-index:251677696"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6"/>
        <w:sz w:val="12"/>
        <w:szCs w:val="12"/>
      </w:rPr>
      <w:t>2023</w:t>
    </w:r>
    <w:r>
      <w:rPr>
        <w:rFonts w:ascii="SimHei" w:eastAsia="SimHei" w:hAnsi="SimHei" w:cs="SimHei"/>
        <w:spacing w:val="-4"/>
        <w:sz w:val="12"/>
        <w:szCs w:val="12"/>
      </w:rPr>
      <w:t xml:space="preserve"> </w:t>
    </w:r>
    <w:r>
      <w:rPr>
        <w:rFonts w:ascii="SimHei" w:eastAsia="SimHei" w:hAnsi="SimHei" w:cs="SimHei"/>
        <w:spacing w:val="6"/>
        <w:sz w:val="12"/>
        <w:szCs w:val="12"/>
      </w:rPr>
      <w:t>年机械行业信用回顾与</w:t>
    </w:r>
    <w:r>
      <w:rPr>
        <w:rFonts w:ascii="SimHei" w:eastAsia="SimHei" w:hAnsi="SimHei" w:cs="SimHei"/>
        <w:spacing w:val="-22"/>
        <w:sz w:val="12"/>
        <w:szCs w:val="12"/>
      </w:rPr>
      <w:t xml:space="preserve"> </w:t>
    </w:r>
    <w:r>
      <w:rPr>
        <w:rFonts w:ascii="SimHei" w:eastAsia="SimHei" w:hAnsi="SimHei" w:cs="SimHei"/>
        <w:spacing w:val="6"/>
        <w:sz w:val="12"/>
        <w:szCs w:val="12"/>
      </w:rPr>
      <w:t>2024</w:t>
    </w:r>
    <w:r>
      <w:rPr>
        <w:rFonts w:ascii="SimHei" w:eastAsia="SimHei" w:hAnsi="SimHei" w:cs="SimHei"/>
        <w:spacing w:val="-21"/>
        <w:sz w:val="12"/>
        <w:szCs w:val="12"/>
      </w:rPr>
      <w:t xml:space="preserve"> </w:t>
    </w:r>
    <w:r>
      <w:rPr>
        <w:rFonts w:ascii="SimHei" w:eastAsia="SimHei" w:hAnsi="SimHei" w:cs="SimHei"/>
        <w:spacing w:val="6"/>
        <w:sz w:val="12"/>
        <w:szCs w:val="12"/>
      </w:rPr>
      <w:t>年展望</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39"/>
      <w:rPr>
        <w:rFonts w:ascii="SimHei" w:eastAsia="SimHei" w:hAnsi="SimHei" w:cs="SimHei"/>
        <w:sz w:val="12"/>
        <w:szCs w:val="12"/>
      </w:rPr>
    </w:pPr>
    <w:r>
      <w:pict>
        <v:shape id="_x0000_s2069" style="width:484.9pt;height:0.75pt;margin-top:66.12pt;margin-left:55.2pt;mso-position-horizontal-relative:page;mso-position-vertical-relative:page;position:absolute;z-index:251678720"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70" type="#_x0000_t202" style="width:34.2pt;height:9.6pt;margin-top:-0.98pt;margin-left:1.99pt;position:absolute;z-index:251679744"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6"/>
        <w:sz w:val="12"/>
        <w:szCs w:val="12"/>
      </w:rPr>
      <w:t>2023</w:t>
    </w:r>
    <w:r>
      <w:rPr>
        <w:rFonts w:ascii="SimHei" w:eastAsia="SimHei" w:hAnsi="SimHei" w:cs="SimHei"/>
        <w:spacing w:val="-4"/>
        <w:sz w:val="12"/>
        <w:szCs w:val="12"/>
      </w:rPr>
      <w:t xml:space="preserve"> </w:t>
    </w:r>
    <w:r>
      <w:rPr>
        <w:rFonts w:ascii="SimHei" w:eastAsia="SimHei" w:hAnsi="SimHei" w:cs="SimHei"/>
        <w:spacing w:val="6"/>
        <w:sz w:val="12"/>
        <w:szCs w:val="12"/>
      </w:rPr>
      <w:t>年机械行业信用回顾与</w:t>
    </w:r>
    <w:r>
      <w:rPr>
        <w:rFonts w:ascii="SimHei" w:eastAsia="SimHei" w:hAnsi="SimHei" w:cs="SimHei"/>
        <w:spacing w:val="-22"/>
        <w:sz w:val="12"/>
        <w:szCs w:val="12"/>
      </w:rPr>
      <w:t xml:space="preserve"> </w:t>
    </w:r>
    <w:r>
      <w:rPr>
        <w:rFonts w:ascii="SimHei" w:eastAsia="SimHei" w:hAnsi="SimHei" w:cs="SimHei"/>
        <w:spacing w:val="6"/>
        <w:sz w:val="12"/>
        <w:szCs w:val="12"/>
      </w:rPr>
      <w:t>2024</w:t>
    </w:r>
    <w:r>
      <w:rPr>
        <w:rFonts w:ascii="SimHei" w:eastAsia="SimHei" w:hAnsi="SimHei" w:cs="SimHei"/>
        <w:spacing w:val="-21"/>
        <w:sz w:val="12"/>
        <w:szCs w:val="12"/>
      </w:rPr>
      <w:t xml:space="preserve"> </w:t>
    </w:r>
    <w:r>
      <w:rPr>
        <w:rFonts w:ascii="SimHei" w:eastAsia="SimHei" w:hAnsi="SimHei" w:cs="SimHei"/>
        <w:spacing w:val="6"/>
        <w:sz w:val="12"/>
        <w:szCs w:val="12"/>
      </w:rPr>
      <w:t>年展望</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39"/>
      <w:rPr>
        <w:rFonts w:ascii="SimHei" w:eastAsia="SimHei" w:hAnsi="SimHei" w:cs="SimHei"/>
        <w:sz w:val="12"/>
        <w:szCs w:val="12"/>
      </w:rPr>
    </w:pPr>
    <w:r>
      <w:pict>
        <v:shape id="_x0000_s2071" style="width:484.9pt;height:0.75pt;margin-top:66.12pt;margin-left:55.2pt;mso-position-horizontal-relative:page;mso-position-vertical-relative:page;position:absolute;z-index:251680768"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72" type="#_x0000_t202" style="width:34.2pt;height:9.6pt;margin-top:-0.98pt;margin-left:1.99pt;position:absolute;z-index:251681792"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6"/>
        <w:sz w:val="12"/>
        <w:szCs w:val="12"/>
      </w:rPr>
      <w:t>2023</w:t>
    </w:r>
    <w:r>
      <w:rPr>
        <w:rFonts w:ascii="SimHei" w:eastAsia="SimHei" w:hAnsi="SimHei" w:cs="SimHei"/>
        <w:spacing w:val="-4"/>
        <w:sz w:val="12"/>
        <w:szCs w:val="12"/>
      </w:rPr>
      <w:t xml:space="preserve"> </w:t>
    </w:r>
    <w:r>
      <w:rPr>
        <w:rFonts w:ascii="SimHei" w:eastAsia="SimHei" w:hAnsi="SimHei" w:cs="SimHei"/>
        <w:spacing w:val="6"/>
        <w:sz w:val="12"/>
        <w:szCs w:val="12"/>
      </w:rPr>
      <w:t>年机械行业信用回顾与</w:t>
    </w:r>
    <w:r>
      <w:rPr>
        <w:rFonts w:ascii="SimHei" w:eastAsia="SimHei" w:hAnsi="SimHei" w:cs="SimHei"/>
        <w:spacing w:val="-22"/>
        <w:sz w:val="12"/>
        <w:szCs w:val="12"/>
      </w:rPr>
      <w:t xml:space="preserve"> </w:t>
    </w:r>
    <w:r>
      <w:rPr>
        <w:rFonts w:ascii="SimHei" w:eastAsia="SimHei" w:hAnsi="SimHei" w:cs="SimHei"/>
        <w:spacing w:val="6"/>
        <w:sz w:val="12"/>
        <w:szCs w:val="12"/>
      </w:rPr>
      <w:t>2024</w:t>
    </w:r>
    <w:r>
      <w:rPr>
        <w:rFonts w:ascii="SimHei" w:eastAsia="SimHei" w:hAnsi="SimHei" w:cs="SimHei"/>
        <w:spacing w:val="-21"/>
        <w:sz w:val="12"/>
        <w:szCs w:val="12"/>
      </w:rPr>
      <w:t xml:space="preserve"> </w:t>
    </w:r>
    <w:r>
      <w:rPr>
        <w:rFonts w:ascii="SimHei" w:eastAsia="SimHei" w:hAnsi="SimHei" w:cs="SimHei"/>
        <w:spacing w:val="6"/>
        <w:sz w:val="12"/>
        <w:szCs w:val="12"/>
      </w:rPr>
      <w:t>年展望</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39"/>
      <w:rPr>
        <w:rFonts w:ascii="SimHei" w:eastAsia="SimHei" w:hAnsi="SimHei" w:cs="SimHei"/>
        <w:sz w:val="12"/>
        <w:szCs w:val="12"/>
      </w:rPr>
    </w:pPr>
    <w:r>
      <w:pict>
        <v:shape id="_x0000_s2073" style="width:484.9pt;height:0.75pt;margin-top:66.12pt;margin-left:55.2pt;mso-position-horizontal-relative:page;mso-position-vertical-relative:page;position:absolute;z-index:251682816"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74" type="#_x0000_t202" style="width:34.2pt;height:9.6pt;margin-top:-0.98pt;margin-left:1.99pt;position:absolute;z-index:251683840"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6"/>
        <w:sz w:val="12"/>
        <w:szCs w:val="12"/>
      </w:rPr>
      <w:t>2023</w:t>
    </w:r>
    <w:r>
      <w:rPr>
        <w:rFonts w:ascii="SimHei" w:eastAsia="SimHei" w:hAnsi="SimHei" w:cs="SimHei"/>
        <w:spacing w:val="-4"/>
        <w:sz w:val="12"/>
        <w:szCs w:val="12"/>
      </w:rPr>
      <w:t xml:space="preserve"> </w:t>
    </w:r>
    <w:r>
      <w:rPr>
        <w:rFonts w:ascii="SimHei" w:eastAsia="SimHei" w:hAnsi="SimHei" w:cs="SimHei"/>
        <w:spacing w:val="6"/>
        <w:sz w:val="12"/>
        <w:szCs w:val="12"/>
      </w:rPr>
      <w:t>年机械行业信用回顾与</w:t>
    </w:r>
    <w:r>
      <w:rPr>
        <w:rFonts w:ascii="SimHei" w:eastAsia="SimHei" w:hAnsi="SimHei" w:cs="SimHei"/>
        <w:spacing w:val="-22"/>
        <w:sz w:val="12"/>
        <w:szCs w:val="12"/>
      </w:rPr>
      <w:t xml:space="preserve"> </w:t>
    </w:r>
    <w:r>
      <w:rPr>
        <w:rFonts w:ascii="SimHei" w:eastAsia="SimHei" w:hAnsi="SimHei" w:cs="SimHei"/>
        <w:spacing w:val="6"/>
        <w:sz w:val="12"/>
        <w:szCs w:val="12"/>
      </w:rPr>
      <w:t>2024</w:t>
    </w:r>
    <w:r>
      <w:rPr>
        <w:rFonts w:ascii="SimHei" w:eastAsia="SimHei" w:hAnsi="SimHei" w:cs="SimHei"/>
        <w:spacing w:val="-21"/>
        <w:sz w:val="12"/>
        <w:szCs w:val="12"/>
      </w:rPr>
      <w:t xml:space="preserve"> </w:t>
    </w:r>
    <w:r>
      <w:rPr>
        <w:rFonts w:ascii="SimHei" w:eastAsia="SimHei" w:hAnsi="SimHei" w:cs="SimHei"/>
        <w:spacing w:val="6"/>
        <w:sz w:val="12"/>
        <w:szCs w:val="12"/>
      </w:rPr>
      <w:t>年展望</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TKaiti" w:eastAsia="STKaiti" w:hAnsi="STKaiti" w:cs="STKaiti"/>
      <w:sz w:val="18"/>
      <w:szCs w:val="18"/>
      <w:lang w:val="en-US" w:eastAsia="en-US" w:bidi="ar-SA"/>
    </w:rPr>
  </w:style>
  <w:style w:type="paragraph" w:customStyle="1" w:styleId="TableText">
    <w:name w:val="Table Text"/>
    <w:basedOn w:val="Normal"/>
    <w:semiHidden/>
    <w:qFormat/>
    <w:rPr>
      <w:rFonts w:ascii="SimSun" w:eastAsia="SimSun" w:hAnsi="SimSun" w:cs="SimSun"/>
      <w:sz w:val="15"/>
      <w:szCs w:val="15"/>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image" Target="media/image2.png" /><Relationship Id="rId12" Type="http://schemas.openxmlformats.org/officeDocument/2006/relationships/image" Target="media/image3.png" /><Relationship Id="rId13" Type="http://schemas.openxmlformats.org/officeDocument/2006/relationships/image" Target="media/image4.png"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image" Target="media/image5.png" /><Relationship Id="rId17" Type="http://schemas.openxmlformats.org/officeDocument/2006/relationships/image" Target="media/image6.png" /><Relationship Id="rId18" Type="http://schemas.openxmlformats.org/officeDocument/2006/relationships/image" Target="media/image7.png"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header" Target="header5.xml" /><Relationship Id="rId34" Type="http://schemas.openxmlformats.org/officeDocument/2006/relationships/footer" Target="footer5.xml" /><Relationship Id="rId35" Type="http://schemas.openxmlformats.org/officeDocument/2006/relationships/image" Target="media/image22.jpeg" /><Relationship Id="rId36" Type="http://schemas.openxmlformats.org/officeDocument/2006/relationships/image" Target="media/image23.png" /><Relationship Id="rId37" Type="http://schemas.openxmlformats.org/officeDocument/2006/relationships/image" Target="media/image24.png" /><Relationship Id="rId38" Type="http://schemas.openxmlformats.org/officeDocument/2006/relationships/header" Target="header6.xml" /><Relationship Id="rId39" Type="http://schemas.openxmlformats.org/officeDocument/2006/relationships/footer" Target="footer6.xml" /><Relationship Id="rId4" Type="http://schemas.openxmlformats.org/officeDocument/2006/relationships/header" Target="header1.xml" /><Relationship Id="rId40" Type="http://schemas.openxmlformats.org/officeDocument/2006/relationships/header" Target="header7.xml" /><Relationship Id="rId41" Type="http://schemas.openxmlformats.org/officeDocument/2006/relationships/footer" Target="footer7.xml" /><Relationship Id="rId42" Type="http://schemas.openxmlformats.org/officeDocument/2006/relationships/header" Target="header8.xml" /><Relationship Id="rId43" Type="http://schemas.openxmlformats.org/officeDocument/2006/relationships/footer" Target="footer8.xml" /><Relationship Id="rId44" Type="http://schemas.openxmlformats.org/officeDocument/2006/relationships/header" Target="header9.xml" /><Relationship Id="rId45" Type="http://schemas.openxmlformats.org/officeDocument/2006/relationships/footer" Target="footer9.xml" /><Relationship Id="rId46" Type="http://schemas.openxmlformats.org/officeDocument/2006/relationships/header" Target="header10.xml" /><Relationship Id="rId47" Type="http://schemas.openxmlformats.org/officeDocument/2006/relationships/footer" Target="footer10.xml" /><Relationship Id="rId48" Type="http://schemas.openxmlformats.org/officeDocument/2006/relationships/header" Target="header11.xml" /><Relationship Id="rId49" Type="http://schemas.openxmlformats.org/officeDocument/2006/relationships/footer" Target="footer11.xml" /><Relationship Id="rId5" Type="http://schemas.openxmlformats.org/officeDocument/2006/relationships/footer" Target="footer1.xml" /><Relationship Id="rId50" Type="http://schemas.openxmlformats.org/officeDocument/2006/relationships/header" Target="header12.xml" /><Relationship Id="rId51" Type="http://schemas.openxmlformats.org/officeDocument/2006/relationships/footer" Target="footer12.xml" /><Relationship Id="rId52" Type="http://schemas.openxmlformats.org/officeDocument/2006/relationships/hyperlink" Target="https://d.book118.com/625310121112011101" TargetMode="External" /><Relationship Id="rId53" Type="http://schemas.openxmlformats.org/officeDocument/2006/relationships/header" Target="header13.xml" /><Relationship Id="rId54" Type="http://schemas.openxmlformats.org/officeDocument/2006/relationships/footer" Target="footer13.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张明海</dc:creator>
  <cp:revision>0</cp:revision>
  <dcterms:created xsi:type="dcterms:W3CDTF">2024-01-29T19:49:02Z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2024-01-29T19:59:17Z</vt:filetime>
  </property>
  <property fmtid="{D5CDD505-2E9C-101B-9397-08002B2CF9AE}" pid="3" name="CRO">
    <vt:lpwstr>wqlLaW5nc29mdCBQREYgdG8gV1BTIDkw</vt:lpwstr>
  </property>
</Properties>
</file>