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OC1"/>
        <w:rPr>
          <w:rFonts w:hint="eastAsia"/>
        </w:rPr>
      </w:pPr>
    </w:p>
    <w:p>
      <w:pPr>
        <w:pStyle w:val="TOC1"/>
      </w:pPr>
      <w:bookmarkStart w:id="0" w:name="_GoBack"/>
      <w:bookmarkEnd w:id="0"/>
      <w:r>
        <w:rPr>
          <w:rFonts w:hint="eastAsia"/>
        </w:rPr>
        <w:t>目 录</w:t>
      </w:r>
    </w:p>
    <w:p>
      <w:pPr>
        <w:pStyle w:val="TOC1"/>
        <w:rPr>
          <w:rFonts w:ascii="宋体" w:eastAsia="宋体" w:hAnsi="宋体"/>
          <w:b/>
          <w:sz w:val="24"/>
          <w:szCs w:val="24"/>
          <w:shd w:val="clear" w:color="auto" w:fill="auto"/>
        </w:rPr>
      </w:pPr>
      <w:r>
        <w:rPr>
          <w:rFonts w:ascii="宋体" w:eastAsia="宋体" w:hAnsi="宋体"/>
          <w:sz w:val="24"/>
          <w:szCs w:val="24"/>
        </w:rPr>
        <w:fldChar w:fldCharType="begin"/>
      </w:r>
      <w:r>
        <w:rPr>
          <w:rFonts w:ascii="宋体" w:eastAsia="宋体" w:hAnsi="宋体"/>
          <w:sz w:val="24"/>
          <w:szCs w:val="24"/>
        </w:rPr>
        <w:instrText xml:space="preserve"> TOC \o "1-3" \h \z \u </w:instrText>
      </w:r>
      <w:r>
        <w:rPr>
          <w:rFonts w:ascii="宋体" w:eastAsia="宋体" w:hAnsi="宋体"/>
          <w:sz w:val="24"/>
          <w:szCs w:val="24"/>
        </w:rPr>
        <w:fldChar w:fldCharType="separate"/>
      </w:r>
      <w:hyperlink w:anchor="_Toc35691099" w:history="1">
        <w:r>
          <w:rPr>
            <w:rStyle w:val="Hyperlink"/>
            <w:rFonts w:ascii="宋体" w:eastAsia="宋体" w:hAnsi="宋体" w:hint="eastAsia"/>
            <w:sz w:val="24"/>
            <w:szCs w:val="24"/>
            <w:shd w:val="clear" w:color="auto" w:fill="auto"/>
          </w:rPr>
          <w:t>摘要</w: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tab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begin"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instrText xml:space="preserve"> PAGEREF _Toc35691099 \h </w:instrTex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separate"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t>1</w: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end"/>
        </w:r>
      </w:hyperlink>
    </w:p>
    <w:p>
      <w:pPr>
        <w:pStyle w:val="TOC1"/>
        <w:rPr>
          <w:rFonts w:ascii="宋体" w:eastAsia="宋体" w:hAnsi="宋体"/>
          <w:b/>
          <w:sz w:val="24"/>
          <w:szCs w:val="24"/>
          <w:shd w:val="clear" w:color="auto" w:fill="auto"/>
        </w:rPr>
      </w:pPr>
      <w:hyperlink w:anchor="_Toc35691100" w:history="1">
        <w:r>
          <w:rPr>
            <w:rStyle w:val="Hyperlink"/>
            <w:rFonts w:ascii="宋体" w:eastAsia="宋体" w:hAnsi="宋体" w:cs="Times New Roman"/>
            <w:sz w:val="24"/>
            <w:szCs w:val="24"/>
            <w:shd w:val="clear" w:color="auto" w:fill="auto"/>
          </w:rPr>
          <w:t>ABSTRACT</w: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tab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begin"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instrText xml:space="preserve"> PAGEREF _Toc35691100 \h </w:instrTex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separate"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t>2</w: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end"/>
        </w:r>
      </w:hyperlink>
    </w:p>
    <w:p>
      <w:pPr>
        <w:pStyle w:val="TOC1"/>
        <w:rPr>
          <w:rFonts w:ascii="宋体" w:eastAsia="宋体" w:hAnsi="宋体"/>
          <w:b/>
          <w:sz w:val="24"/>
          <w:szCs w:val="24"/>
          <w:shd w:val="clear" w:color="auto" w:fill="auto"/>
        </w:rPr>
      </w:pPr>
      <w:hyperlink w:anchor="_Toc35691101" w:history="1">
        <w:r>
          <w:rPr>
            <w:rStyle w:val="Hyperlink"/>
            <w:rFonts w:ascii="宋体" w:eastAsia="宋体" w:hAnsi="宋体" w:hint="eastAsia"/>
            <w:sz w:val="24"/>
            <w:szCs w:val="24"/>
            <w:shd w:val="clear" w:color="auto" w:fill="auto"/>
          </w:rPr>
          <w:t>绪论</w: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tab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begin"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instrText xml:space="preserve"> PAGEREF _Toc35691101 \h </w:instrTex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separate"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t>3</w: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end"/>
        </w:r>
      </w:hyperlink>
    </w:p>
    <w:p>
      <w:pPr>
        <w:pStyle w:val="TOC1"/>
        <w:rPr>
          <w:rFonts w:ascii="宋体" w:eastAsia="宋体" w:hAnsi="宋体"/>
          <w:b/>
          <w:sz w:val="24"/>
          <w:szCs w:val="24"/>
          <w:shd w:val="clear" w:color="auto" w:fill="auto"/>
        </w:rPr>
      </w:pPr>
      <w:hyperlink w:anchor="_Toc35691102" w:history="1">
        <w:r>
          <w:rPr>
            <w:rStyle w:val="Hyperlink"/>
            <w:rFonts w:ascii="宋体" w:eastAsia="宋体" w:hAnsi="宋体" w:hint="eastAsia"/>
            <w:sz w:val="24"/>
            <w:szCs w:val="24"/>
            <w:shd w:val="clear" w:color="auto" w:fill="auto"/>
          </w:rPr>
          <w:t>一、电子货币发展概述</w: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tab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begin"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instrText xml:space="preserve"> PAGEREF _Toc35691102 \h </w:instrTex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separate"/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t>4</w:t>
        </w:r>
        <w:r>
          <w:rPr>
            <w:rFonts w:ascii="宋体" w:eastAsia="宋体" w:hAnsi="宋体"/>
            <w:sz w:val="24"/>
            <w:szCs w:val="24"/>
            <w:shd w:val="clear" w:color="auto" w:fill="auto"/>
          </w:rP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03" w:history="1">
        <w:r>
          <w:rPr>
            <w:rStyle w:val="Hyperlink"/>
            <w:rFonts w:hint="eastAsia"/>
          </w:rPr>
          <w:t>（一）电子货币的概念</w:t>
        </w:r>
        <w:r>
          <w:tab/>
        </w:r>
        <w:r>
          <w:fldChar w:fldCharType="begin"/>
        </w:r>
        <w:r>
          <w:instrText xml:space="preserve"> PAGEREF _Toc35691103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rPr>
          <w:rFonts w:cstheme="minorBidi"/>
        </w:rPr>
      </w:pPr>
      <w:hyperlink w:anchor="_Toc35691104" w:history="1">
        <w:r>
          <w:rPr>
            <w:rStyle w:val="Hyperlink"/>
            <w:rFonts w:hint="eastAsia"/>
          </w:rPr>
          <w:t>（二）电子货币发展概况</w:t>
        </w:r>
        <w:r>
          <w:tab/>
        </w:r>
        <w:r>
          <w:fldChar w:fldCharType="begin"/>
        </w:r>
        <w:r>
          <w:instrText xml:space="preserve"> PAGEREF _Toc35691104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05" w:history="1">
        <w:r>
          <w:rPr>
            <w:rStyle w:val="Hyperlink"/>
            <w:rFonts w:hint="eastAsia"/>
          </w:rPr>
          <w:t>（三）电子货币的特征</w:t>
        </w:r>
        <w:r>
          <w:tab/>
        </w:r>
        <w:r>
          <w:fldChar w:fldCharType="begin"/>
        </w:r>
        <w:r>
          <w:instrText xml:space="preserve"> PAGEREF _Toc35691105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06" w:history="1">
        <w:r>
          <w:rPr>
            <w:rStyle w:val="Hyperlink"/>
            <w:rFonts w:hint="eastAsia"/>
          </w:rPr>
          <w:t>（四）电子货币的分类</w:t>
        </w:r>
        <w:r>
          <w:tab/>
        </w:r>
        <w:r>
          <w:fldChar w:fldCharType="begin"/>
        </w:r>
        <w:r>
          <w:instrText xml:space="preserve"> PAGEREF _Toc35691106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07" w:history="1">
        <w:r>
          <w:rPr>
            <w:rStyle w:val="Hyperlink"/>
            <w:rFonts w:hint="eastAsia"/>
          </w:rPr>
          <w:t>（五）我国货币政策概述</w:t>
        </w:r>
        <w:r>
          <w:tab/>
        </w:r>
        <w:r>
          <w:fldChar w:fldCharType="begin"/>
        </w:r>
        <w:r>
          <w:instrText xml:space="preserve"> PAGEREF _Toc35691107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="宋体" w:hAnsi="宋体" w:cstheme="minorBidi"/>
          <w:sz w:val="24"/>
          <w:szCs w:val="24"/>
        </w:rPr>
      </w:pPr>
      <w:hyperlink w:anchor="_Toc35691108" w:history="1">
        <w:r>
          <w:rPr>
            <w:rStyle w:val="Hyperlink"/>
            <w:rFonts w:ascii="宋体" w:hAnsi="宋体"/>
            <w:sz w:val="24"/>
            <w:szCs w:val="24"/>
          </w:rPr>
          <w:t>1.</w:t>
        </w:r>
        <w:r>
          <w:rPr>
            <w:rStyle w:val="Hyperlink"/>
            <w:rFonts w:ascii="宋体" w:hAnsi="宋体" w:hint="eastAsia"/>
            <w:sz w:val="24"/>
            <w:szCs w:val="24"/>
          </w:rPr>
          <w:t>货币政策的概念</w:t>
        </w:r>
        <w:r>
          <w:rPr>
            <w:rFonts w:ascii="宋体" w:hAnsi="宋体"/>
            <w:sz w:val="24"/>
            <w:szCs w:val="24"/>
          </w:rPr>
          <w:tab/>
        </w: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 PAGEREF _Toc35691108 \h 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</w:rPr>
          <w:t>7</w:t>
        </w:r>
        <w:r>
          <w:rPr>
            <w:rFonts w:ascii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="宋体" w:hAnsi="宋体" w:cstheme="minorBidi"/>
          <w:sz w:val="24"/>
          <w:szCs w:val="24"/>
        </w:rPr>
      </w:pPr>
      <w:hyperlink w:anchor="_Toc35691109" w:history="1">
        <w:r>
          <w:rPr>
            <w:rStyle w:val="Hyperlink"/>
            <w:rFonts w:ascii="宋体" w:hAnsi="宋体"/>
            <w:sz w:val="24"/>
            <w:szCs w:val="24"/>
          </w:rPr>
          <w:t>2.</w:t>
        </w:r>
        <w:r>
          <w:rPr>
            <w:rStyle w:val="Hyperlink"/>
            <w:rFonts w:ascii="宋体" w:hAnsi="宋体" w:hint="eastAsia"/>
            <w:sz w:val="24"/>
            <w:szCs w:val="24"/>
          </w:rPr>
          <w:t>货币政策目标</w:t>
        </w:r>
        <w:r>
          <w:rPr>
            <w:rFonts w:ascii="宋体" w:hAnsi="宋体"/>
            <w:sz w:val="24"/>
            <w:szCs w:val="24"/>
          </w:rPr>
          <w:tab/>
        </w: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 PAGEREF _Toc35691109 \h 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</w:rPr>
          <w:t>7</w:t>
        </w:r>
        <w:r>
          <w:rPr>
            <w:rFonts w:ascii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="宋体" w:hAnsi="宋体" w:cstheme="minorBidi"/>
          <w:sz w:val="24"/>
          <w:szCs w:val="24"/>
        </w:rPr>
      </w:pPr>
      <w:hyperlink w:anchor="_Toc35691110" w:history="1">
        <w:r>
          <w:rPr>
            <w:rStyle w:val="Hyperlink"/>
            <w:rFonts w:ascii="宋体" w:hAnsi="宋体"/>
            <w:sz w:val="24"/>
            <w:szCs w:val="24"/>
          </w:rPr>
          <w:t>3.</w:t>
        </w:r>
        <w:r>
          <w:rPr>
            <w:rStyle w:val="Hyperlink"/>
            <w:rFonts w:ascii="宋体" w:hAnsi="宋体" w:hint="eastAsia"/>
            <w:sz w:val="24"/>
            <w:szCs w:val="24"/>
          </w:rPr>
          <w:t>货币政策工具</w:t>
        </w:r>
        <w:r>
          <w:rPr>
            <w:rFonts w:ascii="宋体" w:hAnsi="宋体"/>
            <w:sz w:val="24"/>
            <w:szCs w:val="24"/>
          </w:rPr>
          <w:tab/>
        </w: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 PAGEREF _Toc35691110 \h 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</w:rPr>
          <w:t>9</w:t>
        </w:r>
        <w:r>
          <w:rPr>
            <w:rFonts w:ascii="宋体" w:hAnsi="宋体"/>
            <w:sz w:val="24"/>
            <w:szCs w:val="24"/>
          </w:rPr>
          <w:fldChar w:fldCharType="end"/>
        </w:r>
      </w:hyperlink>
    </w:p>
    <w:p>
      <w:pPr>
        <w:pStyle w:val="TOC1"/>
        <w:rPr>
          <w:rFonts w:ascii="宋体" w:eastAsia="宋体" w:hAnsi="宋体"/>
          <w:b/>
          <w:sz w:val="24"/>
          <w:szCs w:val="24"/>
        </w:rPr>
      </w:pPr>
      <w:hyperlink w:anchor="_Toc35691111" w:history="1">
        <w:r>
          <w:rPr>
            <w:rStyle w:val="Hyperlink"/>
            <w:rFonts w:ascii="宋体" w:eastAsia="宋体" w:hAnsi="宋体" w:hint="eastAsia"/>
            <w:sz w:val="24"/>
            <w:szCs w:val="24"/>
          </w:rPr>
          <w:t>二、电子货币对我国货币政策的影响分析</w:t>
        </w:r>
        <w:r>
          <w:rPr>
            <w:rFonts w:ascii="宋体" w:eastAsia="宋体" w:hAnsi="宋体"/>
            <w:sz w:val="24"/>
            <w:szCs w:val="24"/>
          </w:rPr>
          <w:tab/>
        </w: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 xml:space="preserve"> PAGEREF _Toc35691111 \h 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>
          <w:rPr>
            <w:rFonts w:ascii="宋体" w:eastAsia="宋体" w:hAnsi="宋体"/>
            <w:sz w:val="24"/>
            <w:szCs w:val="24"/>
          </w:rPr>
          <w:t>9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12" w:history="1">
        <w:r>
          <w:rPr>
            <w:rStyle w:val="Hyperlink"/>
            <w:rFonts w:hint="eastAsia"/>
          </w:rPr>
          <w:t>（一）对我国铸币税收入的影响</w:t>
        </w:r>
        <w:r>
          <w:tab/>
        </w:r>
        <w:r>
          <w:fldChar w:fldCharType="begin"/>
        </w:r>
        <w:r>
          <w:instrText xml:space="preserve"> PAGEREF _Toc35691112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13" w:history="1">
        <w:r>
          <w:rPr>
            <w:rStyle w:val="Hyperlink"/>
            <w:rFonts w:hint="eastAsia"/>
          </w:rPr>
          <w:t>（二）对我国货币政策目标的影响</w:t>
        </w:r>
        <w:r>
          <w:tab/>
        </w:r>
        <w:r>
          <w:fldChar w:fldCharType="begin"/>
        </w:r>
        <w:r>
          <w:instrText xml:space="preserve"> PAGEREF _Toc35691113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14" w:history="1">
        <w:r>
          <w:rPr>
            <w:rStyle w:val="Hyperlink"/>
            <w:rFonts w:hint="eastAsia"/>
          </w:rPr>
          <w:t>（三）对我国货币政策工具的影响</w:t>
        </w:r>
        <w:r>
          <w:tab/>
        </w:r>
        <w:r>
          <w:fldChar w:fldCharType="begin"/>
        </w:r>
        <w:r>
          <w:instrText xml:space="preserve"> PAGEREF _Toc35691114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="宋体" w:hAnsi="宋体" w:cstheme="minorBidi"/>
          <w:sz w:val="24"/>
          <w:szCs w:val="24"/>
        </w:rPr>
      </w:pPr>
      <w:hyperlink w:anchor="_Toc35691115" w:history="1">
        <w:r>
          <w:rPr>
            <w:rStyle w:val="Hyperlink"/>
            <w:rFonts w:ascii="宋体" w:hAnsi="宋体"/>
            <w:sz w:val="24"/>
            <w:szCs w:val="24"/>
          </w:rPr>
          <w:t>1.</w:t>
        </w:r>
        <w:r>
          <w:rPr>
            <w:rStyle w:val="Hyperlink"/>
            <w:rFonts w:ascii="宋体" w:hAnsi="宋体" w:hint="eastAsia"/>
            <w:sz w:val="24"/>
            <w:szCs w:val="24"/>
          </w:rPr>
          <w:t>对法定存款准备金的影响</w:t>
        </w:r>
        <w:r>
          <w:rPr>
            <w:rFonts w:ascii="宋体" w:hAnsi="宋体"/>
            <w:sz w:val="24"/>
            <w:szCs w:val="24"/>
          </w:rPr>
          <w:tab/>
        </w: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 PAGEREF _Toc35691115 \h 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</w:rPr>
          <w:t>11</w:t>
        </w:r>
        <w:r>
          <w:rPr>
            <w:rFonts w:ascii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="宋体" w:hAnsi="宋体" w:cstheme="minorBidi"/>
          <w:sz w:val="24"/>
          <w:szCs w:val="24"/>
        </w:rPr>
      </w:pPr>
      <w:hyperlink w:anchor="_Toc35691116" w:history="1">
        <w:r>
          <w:rPr>
            <w:rStyle w:val="Hyperlink"/>
            <w:rFonts w:ascii="宋体" w:hAnsi="宋体"/>
            <w:sz w:val="24"/>
            <w:szCs w:val="24"/>
          </w:rPr>
          <w:t>2.</w:t>
        </w:r>
        <w:r>
          <w:rPr>
            <w:rStyle w:val="Hyperlink"/>
            <w:rFonts w:ascii="宋体" w:hAnsi="宋体" w:hint="eastAsia"/>
            <w:sz w:val="24"/>
            <w:szCs w:val="24"/>
          </w:rPr>
          <w:t>对再贴现政策的影响</w:t>
        </w:r>
        <w:r>
          <w:rPr>
            <w:rFonts w:ascii="宋体" w:hAnsi="宋体"/>
            <w:sz w:val="24"/>
            <w:szCs w:val="24"/>
          </w:rPr>
          <w:tab/>
        </w: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 PAGEREF _Toc35691116 \h 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</w:rPr>
          <w:t>11</w:t>
        </w:r>
        <w:r>
          <w:rPr>
            <w:rFonts w:ascii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="宋体" w:hAnsi="宋体" w:cstheme="minorBidi"/>
          <w:sz w:val="24"/>
          <w:szCs w:val="24"/>
        </w:rPr>
      </w:pPr>
      <w:hyperlink w:anchor="_Toc35691117" w:history="1">
        <w:r>
          <w:rPr>
            <w:rStyle w:val="Hyperlink"/>
            <w:rFonts w:ascii="宋体" w:hAnsi="宋体"/>
            <w:sz w:val="24"/>
            <w:szCs w:val="24"/>
          </w:rPr>
          <w:t>3.</w:t>
        </w:r>
        <w:r>
          <w:rPr>
            <w:rStyle w:val="Hyperlink"/>
            <w:rFonts w:ascii="宋体" w:hAnsi="宋体" w:hint="eastAsia"/>
            <w:sz w:val="24"/>
            <w:szCs w:val="24"/>
          </w:rPr>
          <w:t>对公开市场操作的影响</w:t>
        </w:r>
        <w:r>
          <w:rPr>
            <w:rFonts w:ascii="宋体" w:hAnsi="宋体"/>
            <w:sz w:val="24"/>
            <w:szCs w:val="24"/>
          </w:rPr>
          <w:tab/>
        </w: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 PAGEREF _Toc35691117 \h 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</w:rPr>
          <w:t>12</w:t>
        </w:r>
        <w:r>
          <w:rPr>
            <w:rFonts w:ascii="宋体" w:hAnsi="宋体"/>
            <w:sz w:val="24"/>
            <w:szCs w:val="24"/>
          </w:rPr>
          <w:fldChar w:fldCharType="end"/>
        </w:r>
      </w:hyperlink>
    </w:p>
    <w:p>
      <w:pPr>
        <w:pStyle w:val="TOC1"/>
        <w:rPr>
          <w:rFonts w:ascii="宋体" w:eastAsia="宋体" w:hAnsi="宋体"/>
          <w:b/>
          <w:sz w:val="24"/>
          <w:szCs w:val="24"/>
        </w:rPr>
      </w:pPr>
      <w:hyperlink w:anchor="_Toc35691118" w:history="1">
        <w:r>
          <w:rPr>
            <w:rStyle w:val="Hyperlink"/>
            <w:rFonts w:ascii="宋体" w:eastAsia="宋体" w:hAnsi="宋体" w:hint="eastAsia"/>
            <w:sz w:val="24"/>
            <w:szCs w:val="24"/>
          </w:rPr>
          <w:t>三、我国货币政策调整的建议</w:t>
        </w:r>
        <w:r>
          <w:rPr>
            <w:rFonts w:ascii="宋体" w:eastAsia="宋体" w:hAnsi="宋体"/>
            <w:sz w:val="24"/>
            <w:szCs w:val="24"/>
          </w:rPr>
          <w:tab/>
        </w: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 xml:space="preserve"> PAGEREF _Toc35691118 \h 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>
          <w:rPr>
            <w:rFonts w:ascii="宋体" w:eastAsia="宋体" w:hAnsi="宋体"/>
            <w:sz w:val="24"/>
            <w:szCs w:val="24"/>
          </w:rPr>
          <w:t>12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19" w:history="1">
        <w:r>
          <w:rPr>
            <w:rStyle w:val="Hyperlink"/>
            <w:rFonts w:hint="eastAsia"/>
          </w:rPr>
          <w:t>（一）出台“电子货币准备金”制度，弥补中央银行铸币税收入</w:t>
        </w:r>
        <w:r>
          <w:tab/>
        </w:r>
        <w:r>
          <w:fldChar w:fldCharType="begin"/>
        </w:r>
        <w:r>
          <w:instrText xml:space="preserve"> PAGEREF _Toc35691119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  <w:sectPr>
          <w:headerReference w:type="default" r:id="rId5"/>
          <w:pgSz w:w="11906" w:h="16838"/>
          <w:pgMar w:top="1440" w:right="1800" w:bottom="1440" w:left="1800" w:header="851" w:footer="992" w:gutter="0"/>
          <w:pgNumType w:start="1"/>
          <w:cols w:num="1" w:space="425"/>
          <w:docGrid w:type="lines" w:linePitch="326" w:charSpace="0"/>
        </w:sectPr>
      </w:pPr>
      <w:hyperlink w:anchor="_Toc35691120" w:history="1">
        <w:r>
          <w:rPr>
            <w:rStyle w:val="Hyperlink"/>
            <w:rFonts w:hint="eastAsia"/>
          </w:rPr>
          <w:t>（二）重新制定货币层次划分标准，规范电子货币发行</w:t>
        </w:r>
        <w:r>
          <w:tab/>
        </w:r>
        <w:r>
          <w:fldChar w:fldCharType="begin"/>
        </w:r>
        <w:r>
          <w:instrText xml:space="preserve"> PAGEREF _Toc35691120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21" w:history="1">
        <w:r>
          <w:rPr>
            <w:rStyle w:val="Hyperlink"/>
            <w:rFonts w:hint="eastAsia"/>
          </w:rPr>
          <w:t>（三）限定电子货币的发行主体，保证存款准备金的稳定</w:t>
        </w:r>
        <w:r>
          <w:tab/>
        </w:r>
        <w:r>
          <w:fldChar w:fldCharType="begin"/>
        </w:r>
        <w:r>
          <w:instrText xml:space="preserve"> PAGEREF _Toc35691121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22" w:history="1">
        <w:r>
          <w:rPr>
            <w:rStyle w:val="Hyperlink"/>
            <w:rFonts w:hint="eastAsia"/>
          </w:rPr>
          <w:t>（四）完善电子货币的征信体制，控制再贴现率的调节作用</w:t>
        </w:r>
        <w:r>
          <w:tab/>
        </w:r>
        <w:r>
          <w:fldChar w:fldCharType="begin"/>
        </w:r>
        <w:r>
          <w:instrText xml:space="preserve"> PAGEREF _Toc35691122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rPr>
          <w:rFonts w:cstheme="minorBidi"/>
          <w:b/>
        </w:rPr>
      </w:pPr>
      <w:hyperlink w:anchor="_Toc35691123" w:history="1">
        <w:r>
          <w:rPr>
            <w:rStyle w:val="Hyperlink"/>
            <w:rFonts w:hint="eastAsia"/>
          </w:rPr>
          <w:t>（五）保证央行财政收入，确保公开市场效力</w:t>
        </w:r>
        <w:r>
          <w:tab/>
        </w:r>
        <w:r>
          <w:fldChar w:fldCharType="begin"/>
        </w:r>
        <w:r>
          <w:instrText xml:space="preserve"> PAGEREF _Toc35691123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rPr>
          <w:rFonts w:ascii="宋体" w:eastAsia="宋体" w:hAnsi="宋体"/>
          <w:b/>
          <w:sz w:val="24"/>
          <w:szCs w:val="24"/>
        </w:rPr>
      </w:pPr>
      <w:hyperlink w:anchor="_Toc35691124" w:history="1">
        <w:r>
          <w:rPr>
            <w:rStyle w:val="Hyperlink"/>
            <w:rFonts w:ascii="宋体" w:eastAsia="宋体" w:hAnsi="宋体" w:hint="eastAsia"/>
            <w:sz w:val="24"/>
            <w:szCs w:val="24"/>
          </w:rPr>
          <w:t>结论</w:t>
        </w:r>
        <w:r>
          <w:rPr>
            <w:rFonts w:ascii="宋体" w:eastAsia="宋体" w:hAnsi="宋体"/>
            <w:sz w:val="24"/>
            <w:szCs w:val="24"/>
          </w:rPr>
          <w:tab/>
        </w: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 xml:space="preserve"> PAGEREF _Toc35691124 \h 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>
          <w:rPr>
            <w:rFonts w:ascii="宋体" w:eastAsia="宋体" w:hAnsi="宋体"/>
            <w:sz w:val="24"/>
            <w:szCs w:val="24"/>
          </w:rPr>
          <w:t>15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1"/>
        <w:rPr>
          <w:rFonts w:ascii="宋体" w:eastAsia="宋体" w:hAnsi="宋体"/>
          <w:b/>
          <w:sz w:val="24"/>
          <w:szCs w:val="24"/>
        </w:rPr>
      </w:pPr>
      <w:hyperlink w:anchor="_Toc35691125" w:history="1">
        <w:r>
          <w:rPr>
            <w:rStyle w:val="Hyperlink"/>
            <w:rFonts w:ascii="宋体" w:eastAsia="宋体" w:hAnsi="宋体" w:hint="eastAsia"/>
            <w:sz w:val="24"/>
            <w:szCs w:val="24"/>
          </w:rPr>
          <w:t>参考文献</w:t>
        </w:r>
        <w:r>
          <w:rPr>
            <w:rFonts w:ascii="宋体" w:eastAsia="宋体" w:hAnsi="宋体"/>
            <w:sz w:val="24"/>
            <w:szCs w:val="24"/>
          </w:rPr>
          <w:tab/>
        </w: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 xml:space="preserve"> PAGEREF _Toc35691125 \h 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>
          <w:rPr>
            <w:rFonts w:ascii="宋体" w:eastAsia="宋体" w:hAnsi="宋体"/>
            <w:sz w:val="24"/>
            <w:szCs w:val="24"/>
          </w:rPr>
          <w:t>16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1"/>
        <w:rPr>
          <w:rFonts w:ascii="宋体" w:eastAsia="宋体" w:hAnsi="宋体"/>
          <w:b/>
          <w:sz w:val="24"/>
          <w:szCs w:val="24"/>
        </w:rPr>
      </w:pPr>
      <w:hyperlink w:anchor="_Toc35691126" w:history="1">
        <w:r>
          <w:rPr>
            <w:rStyle w:val="Hyperlink"/>
            <w:rFonts w:ascii="宋体" w:eastAsia="宋体" w:hAnsi="宋体" w:hint="eastAsia"/>
            <w:sz w:val="24"/>
            <w:szCs w:val="24"/>
          </w:rPr>
          <w:t>致谢</w:t>
        </w:r>
        <w:r>
          <w:rPr>
            <w:rFonts w:ascii="宋体" w:eastAsia="宋体" w:hAnsi="宋体"/>
            <w:sz w:val="24"/>
            <w:szCs w:val="24"/>
          </w:rPr>
          <w:tab/>
        </w: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 xml:space="preserve"> PAGEREF _Toc35691126 \h 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>
          <w:rPr>
            <w:rFonts w:ascii="宋体" w:eastAsia="宋体" w:hAnsi="宋体"/>
            <w:sz w:val="24"/>
            <w:szCs w:val="24"/>
          </w:rPr>
          <w:t>18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Heading1"/>
        <w:spacing w:line="360" w:lineRule="auto"/>
        <w:rPr>
          <w:rFonts w:ascii="宋体" w:eastAsia="宋体" w:hAnsi="宋体"/>
          <w:sz w:val="24"/>
          <w:szCs w:val="24"/>
          <w:shd w:val="clear" w:color="auto" w:fill="FFFFFF"/>
        </w:rPr>
      </w:pPr>
      <w:r>
        <w:rPr>
          <w:rFonts w:ascii="宋体" w:eastAsia="宋体" w:hAnsi="宋体"/>
          <w:sz w:val="24"/>
          <w:szCs w:val="24"/>
          <w:shd w:val="clear" w:color="auto" w:fill="FFFFFF"/>
        </w:rPr>
        <w:fldChar w:fldCharType="end"/>
      </w:r>
      <w:r>
        <w:rPr>
          <w:rFonts w:ascii="宋体" w:eastAsia="宋体" w:hAnsi="宋体"/>
          <w:sz w:val="24"/>
          <w:szCs w:val="24"/>
          <w:shd w:val="clear" w:color="auto" w:fill="FFFFFF"/>
        </w:rPr>
        <w:br/>
      </w:r>
      <w:r>
        <w:rPr>
          <w:rFonts w:ascii="宋体" w:eastAsia="宋体" w:hAnsi="宋体"/>
          <w:sz w:val="24"/>
          <w:szCs w:val="24"/>
          <w:shd w:val="clear" w:color="auto" w:fill="FFFFFF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https://d.book118.com/625320301130011102</w:t>
        </w:r>
      </w:hyperlink>
    </w:p>
    <w:p>
      <w:pPr>
        <w:pStyle w:val="Heading1"/>
        <w:spacing w:line="360" w:lineRule="auto"/>
        <w:rPr>
          <w:rFonts w:ascii="宋体" w:eastAsia="宋体" w:hAnsi="宋体"/>
          <w:sz w:val="24"/>
          <w:szCs w:val="24"/>
          <w:shd w:val="clear" w:color="auto" w:fill="FFFFFF"/>
        </w:rPr>
      </w:pPr>
    </w:p>
    <w:sectPr>
      <w:headerReference w:type="default" r:id="rId7"/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rFonts w:hint="eastAsia"/>
      </w:rPr>
      <w:t>电子货币的发展对我国货币政策的影响及政策建议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rFonts w:hint="eastAsia"/>
      </w:rPr>
      <w:t>电子货币的发展对我国货币政策的影响及政策建议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80C"/>
    <w:rsid w:val="00011815"/>
    <w:rsid w:val="0001420A"/>
    <w:rsid w:val="00022543"/>
    <w:rsid w:val="00023DF4"/>
    <w:rsid w:val="00065214"/>
    <w:rsid w:val="000A47B4"/>
    <w:rsid w:val="000D340A"/>
    <w:rsid w:val="000D3FF7"/>
    <w:rsid w:val="000D479D"/>
    <w:rsid w:val="000E4907"/>
    <w:rsid w:val="000F3652"/>
    <w:rsid w:val="001104A6"/>
    <w:rsid w:val="00115199"/>
    <w:rsid w:val="001214A7"/>
    <w:rsid w:val="001413A9"/>
    <w:rsid w:val="001527F4"/>
    <w:rsid w:val="00164CAD"/>
    <w:rsid w:val="00171493"/>
    <w:rsid w:val="00180AF8"/>
    <w:rsid w:val="00185BAD"/>
    <w:rsid w:val="00191869"/>
    <w:rsid w:val="001A218E"/>
    <w:rsid w:val="001A71C5"/>
    <w:rsid w:val="001C433E"/>
    <w:rsid w:val="001D24B9"/>
    <w:rsid w:val="001E3B61"/>
    <w:rsid w:val="00200826"/>
    <w:rsid w:val="00221FFC"/>
    <w:rsid w:val="00243191"/>
    <w:rsid w:val="00257433"/>
    <w:rsid w:val="0029476E"/>
    <w:rsid w:val="002D51F5"/>
    <w:rsid w:val="002D789A"/>
    <w:rsid w:val="002F4EDF"/>
    <w:rsid w:val="002F5A4E"/>
    <w:rsid w:val="003035E2"/>
    <w:rsid w:val="00335DE9"/>
    <w:rsid w:val="003410CD"/>
    <w:rsid w:val="00344364"/>
    <w:rsid w:val="00346BE6"/>
    <w:rsid w:val="0037227B"/>
    <w:rsid w:val="00381FC0"/>
    <w:rsid w:val="00391E33"/>
    <w:rsid w:val="003C5F9A"/>
    <w:rsid w:val="003D087F"/>
    <w:rsid w:val="003D64DA"/>
    <w:rsid w:val="003E2903"/>
    <w:rsid w:val="003F634E"/>
    <w:rsid w:val="004067CB"/>
    <w:rsid w:val="00411E87"/>
    <w:rsid w:val="0045336C"/>
    <w:rsid w:val="0046108F"/>
    <w:rsid w:val="00472806"/>
    <w:rsid w:val="004A21A1"/>
    <w:rsid w:val="004A3329"/>
    <w:rsid w:val="004C12A9"/>
    <w:rsid w:val="004C34D2"/>
    <w:rsid w:val="004C541A"/>
    <w:rsid w:val="004D49BE"/>
    <w:rsid w:val="00526CCD"/>
    <w:rsid w:val="005453A0"/>
    <w:rsid w:val="005573C7"/>
    <w:rsid w:val="00574DA6"/>
    <w:rsid w:val="005961D1"/>
    <w:rsid w:val="005A3FC1"/>
    <w:rsid w:val="005C57B0"/>
    <w:rsid w:val="00616B0D"/>
    <w:rsid w:val="00636BA9"/>
    <w:rsid w:val="00647C6B"/>
    <w:rsid w:val="00690A75"/>
    <w:rsid w:val="00697CF9"/>
    <w:rsid w:val="006C6E4A"/>
    <w:rsid w:val="006D6720"/>
    <w:rsid w:val="006D712E"/>
    <w:rsid w:val="006F6C72"/>
    <w:rsid w:val="007040BE"/>
    <w:rsid w:val="0070444D"/>
    <w:rsid w:val="007109DB"/>
    <w:rsid w:val="00723127"/>
    <w:rsid w:val="007433A1"/>
    <w:rsid w:val="00766B0E"/>
    <w:rsid w:val="00793DF1"/>
    <w:rsid w:val="00797A23"/>
    <w:rsid w:val="007B20C6"/>
    <w:rsid w:val="007B37D2"/>
    <w:rsid w:val="007D72E3"/>
    <w:rsid w:val="007F5AE5"/>
    <w:rsid w:val="007F6FBD"/>
    <w:rsid w:val="008077E6"/>
    <w:rsid w:val="00823135"/>
    <w:rsid w:val="00825B48"/>
    <w:rsid w:val="00826834"/>
    <w:rsid w:val="00830FD5"/>
    <w:rsid w:val="0084138A"/>
    <w:rsid w:val="008561E4"/>
    <w:rsid w:val="00871EE8"/>
    <w:rsid w:val="00882E66"/>
    <w:rsid w:val="008910A6"/>
    <w:rsid w:val="008D679B"/>
    <w:rsid w:val="00905961"/>
    <w:rsid w:val="00906C65"/>
    <w:rsid w:val="00907F68"/>
    <w:rsid w:val="0091786A"/>
    <w:rsid w:val="00921357"/>
    <w:rsid w:val="0092554F"/>
    <w:rsid w:val="009436D9"/>
    <w:rsid w:val="00944544"/>
    <w:rsid w:val="009821C6"/>
    <w:rsid w:val="009861A0"/>
    <w:rsid w:val="009C0066"/>
    <w:rsid w:val="009C09C7"/>
    <w:rsid w:val="009C7875"/>
    <w:rsid w:val="009D0D49"/>
    <w:rsid w:val="009D4BC2"/>
    <w:rsid w:val="009E7E58"/>
    <w:rsid w:val="009F1AC3"/>
    <w:rsid w:val="009F1D83"/>
    <w:rsid w:val="00A055A2"/>
    <w:rsid w:val="00A3180C"/>
    <w:rsid w:val="00A509A2"/>
    <w:rsid w:val="00A51E27"/>
    <w:rsid w:val="00A64F49"/>
    <w:rsid w:val="00AA6478"/>
    <w:rsid w:val="00AB1BA5"/>
    <w:rsid w:val="00AF1DB4"/>
    <w:rsid w:val="00B00464"/>
    <w:rsid w:val="00B23C78"/>
    <w:rsid w:val="00B45DD9"/>
    <w:rsid w:val="00B86C93"/>
    <w:rsid w:val="00BA0372"/>
    <w:rsid w:val="00BA4731"/>
    <w:rsid w:val="00BA571B"/>
    <w:rsid w:val="00BC077D"/>
    <w:rsid w:val="00C052A5"/>
    <w:rsid w:val="00C0613E"/>
    <w:rsid w:val="00C17B7B"/>
    <w:rsid w:val="00C2715B"/>
    <w:rsid w:val="00C43F11"/>
    <w:rsid w:val="00C5050E"/>
    <w:rsid w:val="00C52742"/>
    <w:rsid w:val="00C57BDC"/>
    <w:rsid w:val="00CB00F0"/>
    <w:rsid w:val="00CB4AA0"/>
    <w:rsid w:val="00CB4ED2"/>
    <w:rsid w:val="00CB67C4"/>
    <w:rsid w:val="00CB6D34"/>
    <w:rsid w:val="00CD2A32"/>
    <w:rsid w:val="00D12AF6"/>
    <w:rsid w:val="00D538A8"/>
    <w:rsid w:val="00D56A9A"/>
    <w:rsid w:val="00D65FB1"/>
    <w:rsid w:val="00DA2735"/>
    <w:rsid w:val="00DD6912"/>
    <w:rsid w:val="00DF7DB1"/>
    <w:rsid w:val="00E15EC1"/>
    <w:rsid w:val="00E24E21"/>
    <w:rsid w:val="00E325DE"/>
    <w:rsid w:val="00E47D80"/>
    <w:rsid w:val="00E62637"/>
    <w:rsid w:val="00E70C01"/>
    <w:rsid w:val="00E765A2"/>
    <w:rsid w:val="00E82CC8"/>
    <w:rsid w:val="00EA5B8F"/>
    <w:rsid w:val="00EA7752"/>
    <w:rsid w:val="00EB031F"/>
    <w:rsid w:val="00EC1970"/>
    <w:rsid w:val="00EE08C4"/>
    <w:rsid w:val="00F23171"/>
    <w:rsid w:val="00F3003F"/>
    <w:rsid w:val="00F476E4"/>
    <w:rsid w:val="00F63292"/>
    <w:rsid w:val="00F9352B"/>
    <w:rsid w:val="00F94A4B"/>
    <w:rsid w:val="00FA015F"/>
    <w:rsid w:val="00FA1E66"/>
    <w:rsid w:val="00FB3840"/>
    <w:rsid w:val="00FC50B3"/>
    <w:rsid w:val="00FD4B43"/>
    <w:rsid w:val="1D9E39A6"/>
  </w:rsids>
  <w:docVars>
    <w:docVar w:name="commondata" w:val="eyJoZGlkIjoiZDNkNjYyY2Y4YzM5ZDFlZTM3ODM0NmI3NTg2ODc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/>
    <w:lsdException w:name="toc 2" w:semiHidden="0" w:uiPriority="39"/>
    <w:lsdException w:name="toc 3" w:semiHidden="0" w:uiPriority="39" w:qFormat="1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 w:qFormat="1"/>
    <w:lsdException w:name="toc 8" w:semiHidden="0" w:uiPriority="39"/>
    <w:lsdException w:name="toc 9" w:semiHidden="0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semiHidden="0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eastAsia="黑体" w:asciiTheme="majorHAnsi" w:hAnsiTheme="majorHAnsi" w:cstheme="majorBidi"/>
      <w:b/>
      <w:bCs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eastAsia="黑体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uiPriority w:val="39"/>
    <w:unhideWhenUsed/>
    <w:qFormat/>
    <w:pPr>
      <w:ind w:left="1200"/>
      <w:jc w:val="left"/>
    </w:pPr>
    <w:rPr>
      <w:rFonts w:cstheme="minorHAnsi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pPr>
      <w:ind w:left="720"/>
      <w:jc w:val="left"/>
    </w:pPr>
    <w:rPr>
      <w:rFonts w:cstheme="minorHAns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240"/>
      <w:jc w:val="left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pPr>
      <w:ind w:left="1440"/>
      <w:jc w:val="left"/>
    </w:pPr>
    <w:rPr>
      <w:rFonts w:cstheme="minorHAnsi"/>
      <w:sz w:val="20"/>
      <w:szCs w:val="20"/>
    </w:r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pPr>
      <w:tabs>
        <w:tab w:val="right" w:leader="dot" w:pos="8296"/>
      </w:tabs>
      <w:spacing w:before="360"/>
      <w:jc w:val="center"/>
    </w:pPr>
    <w:rPr>
      <w:rFonts w:ascii="黑体" w:eastAsia="黑体" w:hAnsi="黑体"/>
      <w:bCs/>
      <w:caps/>
      <w:sz w:val="28"/>
      <w:szCs w:val="28"/>
      <w:shd w:val="clear" w:color="auto" w:fill="FFFFFF"/>
    </w:rPr>
  </w:style>
  <w:style w:type="paragraph" w:styleId="TOC4">
    <w:name w:val="toc 4"/>
    <w:basedOn w:val="Normal"/>
    <w:next w:val="Normal"/>
    <w:autoRedefine/>
    <w:uiPriority w:val="39"/>
    <w:unhideWhenUsed/>
    <w:pPr>
      <w:ind w:left="480"/>
      <w:jc w:val="left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pPr>
      <w:ind w:left="960"/>
      <w:jc w:val="left"/>
    </w:pPr>
    <w:rPr>
      <w:rFonts w:cstheme="minorHAnsi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pPr>
      <w:tabs>
        <w:tab w:val="right" w:leader="dot" w:pos="8296"/>
      </w:tabs>
      <w:spacing w:before="240"/>
      <w:jc w:val="left"/>
    </w:pPr>
    <w:rPr>
      <w:rFonts w:ascii="宋体" w:hAnsi="宋体" w:cstheme="minorHAnsi"/>
      <w:bCs/>
    </w:rPr>
  </w:style>
  <w:style w:type="paragraph" w:styleId="TOC9">
    <w:name w:val="toc 9"/>
    <w:basedOn w:val="Normal"/>
    <w:next w:val="Normal"/>
    <w:autoRedefine/>
    <w:uiPriority w:val="39"/>
    <w:unhideWhenUsed/>
    <w:pPr>
      <w:ind w:left="1680"/>
      <w:jc w:val="left"/>
    </w:pPr>
    <w:rPr>
      <w:rFonts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basedOn w:val="DefaultParagraphFont"/>
    <w:link w:val="Heading2"/>
    <w:uiPriority w:val="9"/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3Char">
    <w:name w:val="标题 3 Char"/>
    <w:basedOn w:val="DefaultParagraphFont"/>
    <w:link w:val="Heading3"/>
    <w:uiPriority w:val="9"/>
    <w:rPr>
      <w:rFonts w:eastAsia="黑体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2532030113001110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3BBDA-B0AA-435E-A0EB-FD21C9D0AC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2346</TotalTime>
  <Pages>2</Pages>
  <Words>2106</Words>
  <Characters>12008</Characters>
  <Application>Microsoft Office Word</Application>
  <DocSecurity>0</DocSecurity>
  <Lines>100</Lines>
  <Paragraphs>28</Paragraphs>
  <ScaleCrop>false</ScaleCrop>
  <Company>Micorosoft</Company>
  <LinksUpToDate>false</LinksUpToDate>
  <CharactersWithSpaces>14086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zhang</cp:lastModifiedBy>
  <cp:revision>40</cp:revision>
  <cp:lastPrinted>2021-05-26T11:20:00Z</cp:lastPrinted>
  <dcterms:created xsi:type="dcterms:W3CDTF">2020-03-05T11:42:00Z</dcterms:created>
  <dcterms:modified xsi:type="dcterms:W3CDTF">2024-01-22T14:49:58Z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1177B005EF6D41FD90A255BFD3233489_12</vt:lpwstr>
  </property>
  <property fmtid="{D5CDD505-2E9C-101B-9397-08002B2CF9AE}" pid="3" name="KSOProductBuildVer">
    <vt:lpwstr>2052-12.1.0.16120</vt:lpwstr>
  </property>
</Properties>
</file>