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1481" w:lineRule="exact"/>
        <w:ind w:left="0" w:right="1020" w:firstLine="0"/>
        <w:jc w:val="center"/>
        <w:rPr>
          <w:rFonts w:ascii="华文行楷" w:eastAsia="华文行楷" w:hint="eastAsia"/>
          <w:sz w:val="108"/>
        </w:rPr>
      </w:pPr>
      <w:r>
        <w:rPr>
          <w:rFonts w:ascii="华文行楷" w:eastAsia="华文行楷" w:hint="eastAsia"/>
          <w:sz w:val="108"/>
        </w:rPr>
        <w:t>赣南师范大学商学院</w:t>
      </w:r>
    </w:p>
    <w:p>
      <w:pPr>
        <w:pStyle w:val="Title"/>
        <w:tabs>
          <w:tab w:val="left" w:pos="1889"/>
        </w:tabs>
      </w:pPr>
      <w:r>
        <w:t>教</w:t>
        <w:tab/>
        <w:t>案</w:t>
      </w:r>
    </w:p>
    <w:p>
      <w:pPr>
        <w:spacing w:before="484"/>
        <w:ind w:left="0" w:right="1017" w:firstLine="0"/>
        <w:jc w:val="center"/>
        <w:rPr>
          <w:b/>
          <w:sz w:val="54"/>
        </w:rPr>
      </w:pPr>
      <w:r>
        <w:rPr>
          <w:rFonts w:ascii="宋体" w:eastAsia="宋体" w:hint="eastAsia"/>
          <w:b/>
          <w:sz w:val="54"/>
        </w:rPr>
        <w:t>2017</w:t>
      </w:r>
      <w:r>
        <w:rPr>
          <w:b/>
          <w:sz w:val="54"/>
        </w:rPr>
        <w:t>～</w:t>
      </w:r>
      <w:r>
        <w:rPr>
          <w:rFonts w:ascii="宋体" w:eastAsia="宋体" w:hint="eastAsia"/>
          <w:b/>
          <w:sz w:val="54"/>
        </w:rPr>
        <w:t>2018</w:t>
      </w:r>
      <w:r>
        <w:rPr>
          <w:rFonts w:ascii="宋体" w:eastAsia="宋体" w:hint="eastAsia"/>
          <w:b/>
          <w:spacing w:val="-129"/>
          <w:sz w:val="54"/>
        </w:rPr>
        <w:t xml:space="preserve"> </w:t>
      </w:r>
      <w:r>
        <w:rPr>
          <w:b/>
          <w:sz w:val="54"/>
        </w:rPr>
        <w:t xml:space="preserve">学年第 </w:t>
      </w:r>
      <w:r>
        <w:rPr>
          <w:rFonts w:ascii="宋体" w:eastAsia="宋体" w:hint="eastAsia"/>
          <w:b/>
          <w:sz w:val="54"/>
        </w:rPr>
        <w:t>1</w:t>
      </w:r>
      <w:r>
        <w:rPr>
          <w:rFonts w:ascii="宋体" w:eastAsia="宋体" w:hint="eastAsia"/>
          <w:b/>
          <w:spacing w:val="-137"/>
          <w:sz w:val="54"/>
        </w:rPr>
        <w:t xml:space="preserve"> </w:t>
      </w:r>
      <w:r>
        <w:rPr>
          <w:b/>
          <w:sz w:val="54"/>
        </w:rPr>
        <w:t>学期</w:t>
      </w:r>
    </w:p>
    <w:p>
      <w:pPr>
        <w:tabs>
          <w:tab w:val="left" w:pos="4615"/>
        </w:tabs>
        <w:spacing w:before="285"/>
        <w:ind w:left="1904" w:right="0" w:firstLine="0"/>
        <w:jc w:val="left"/>
        <w:rPr>
          <w:sz w:val="54"/>
        </w:rPr>
      </w:pPr>
      <w:r>
        <w:drawing>
          <wp:anchor distT="0" distB="0" distL="0" distR="0" simplePos="0" relativeHeight="251661312" behindDoc="1" locked="0" layoutInCell="1" allowOverlap="1">
            <wp:simplePos x="0" y="0"/>
            <wp:positionH relativeFrom="page">
              <wp:posOffset>3949700</wp:posOffset>
            </wp:positionH>
            <wp:positionV relativeFrom="paragraph">
              <wp:posOffset>716915</wp:posOffset>
            </wp:positionV>
            <wp:extent cx="24384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2438400" cy="381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7912100</wp:posOffset>
            </wp:positionH>
            <wp:positionV relativeFrom="paragraph">
              <wp:posOffset>729615</wp:posOffset>
            </wp:positionV>
            <wp:extent cx="8890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89000" cy="50800"/>
                    </a:xfrm>
                    <a:prstGeom prst="rect">
                      <a:avLst/>
                    </a:prstGeom>
                  </pic:spPr>
                </pic:pic>
              </a:graphicData>
            </a:graphic>
          </wp:anchor>
        </w:drawing>
      </w:r>
      <w:r>
        <w:rPr>
          <w:rFonts w:ascii="楷体" w:eastAsia="楷体" w:hint="eastAsia"/>
          <w:b/>
          <w:sz w:val="54"/>
        </w:rPr>
        <w:t>课程名称</w:t>
        <w:tab/>
        <w:t>财务报表分析</w:t>
      </w:r>
      <w:r>
        <w:rPr>
          <w:rFonts w:ascii="楷体" w:eastAsia="楷体" w:hint="eastAsia"/>
          <w:b/>
          <w:spacing w:val="10"/>
          <w:sz w:val="54"/>
        </w:rPr>
        <w:t xml:space="preserve"> </w:t>
      </w:r>
      <w:r>
        <w:rPr>
          <w:rFonts w:ascii="楷体" w:eastAsia="楷体" w:hint="eastAsia"/>
          <w:b/>
          <w:sz w:val="54"/>
        </w:rPr>
        <w:t>课程学时</w:t>
      </w:r>
      <w:r>
        <w:rPr>
          <w:rFonts w:ascii="楷体" w:eastAsia="楷体" w:hint="eastAsia"/>
          <w:b/>
          <w:spacing w:val="6"/>
          <w:sz w:val="54"/>
        </w:rPr>
        <w:t xml:space="preserve"> </w:t>
      </w:r>
      <w:r>
        <w:rPr>
          <w:sz w:val="54"/>
        </w:rPr>
        <w:t>24+16</w:t>
      </w:r>
    </w:p>
    <w:p>
      <w:pPr>
        <w:tabs>
          <w:tab w:val="left" w:pos="4615"/>
        </w:tabs>
        <w:spacing w:before="621"/>
        <w:ind w:left="1904" w:right="0" w:firstLine="0"/>
        <w:jc w:val="left"/>
        <w:rPr>
          <w:rFonts w:ascii="楷体" w:eastAsia="楷体" w:hint="eastAsia"/>
          <w:b/>
          <w:sz w:val="36"/>
        </w:rPr>
      </w:pPr>
      <w:r>
        <w:drawing>
          <wp:anchor distT="0" distB="0" distL="0" distR="0" simplePos="0" relativeHeight="251660288" behindDoc="0" locked="0" layoutInCell="1" allowOverlap="1">
            <wp:simplePos x="0" y="0"/>
            <wp:positionH relativeFrom="page">
              <wp:posOffset>3949700</wp:posOffset>
            </wp:positionH>
            <wp:positionV relativeFrom="paragraph">
              <wp:posOffset>875283</wp:posOffset>
            </wp:positionV>
            <wp:extent cx="47879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787900" cy="38100"/>
                    </a:xfrm>
                    <a:prstGeom prst="rect">
                      <a:avLst/>
                    </a:prstGeom>
                  </pic:spPr>
                </pic:pic>
              </a:graphicData>
            </a:graphic>
          </wp:anchor>
        </w:drawing>
      </w:r>
      <w:r>
        <w:rPr>
          <w:rFonts w:ascii="楷体" w:eastAsia="楷体" w:hint="eastAsia"/>
          <w:b/>
          <w:position w:val="15"/>
          <w:sz w:val="54"/>
        </w:rPr>
        <w:t>使用教材</w:t>
        <w:tab/>
        <w:t>财务报表分</w:t>
      </w:r>
      <w:r>
        <w:rPr>
          <w:rFonts w:ascii="楷体" w:eastAsia="楷体" w:hint="eastAsia"/>
          <w:b/>
          <w:spacing w:val="11"/>
          <w:position w:val="15"/>
          <w:sz w:val="54"/>
        </w:rPr>
        <w:t>析</w:t>
      </w:r>
      <w:r>
        <w:rPr>
          <w:rFonts w:ascii="楷体" w:eastAsia="楷体" w:hint="eastAsia"/>
          <w:b/>
          <w:sz w:val="36"/>
        </w:rPr>
        <w:t>（中国人民大学出版社）</w:t>
      </w:r>
    </w:p>
    <w:p>
      <w:pPr>
        <w:tabs>
          <w:tab w:val="left" w:pos="4882"/>
          <w:tab w:val="left" w:pos="5965"/>
          <w:tab w:val="left" w:pos="7049"/>
          <w:tab w:val="left" w:pos="7326"/>
          <w:tab w:val="left" w:pos="8130"/>
          <w:tab w:val="left" w:pos="9213"/>
        </w:tabs>
        <w:spacing w:before="511" w:line="324" w:lineRule="auto"/>
        <w:ind w:left="1900" w:right="3358" w:firstLine="3"/>
        <w:jc w:val="left"/>
        <w:rPr>
          <w:rFonts w:ascii="楷体" w:eastAsia="楷体" w:hint="eastAsia"/>
          <w:b/>
          <w:sz w:val="54"/>
        </w:rPr>
      </w:pPr>
      <w:r>
        <w:drawing>
          <wp:anchor distT="0" distB="0" distL="0" distR="0" simplePos="0" relativeHeight="251662336" behindDoc="1" locked="0" layoutInCell="1" allowOverlap="1">
            <wp:simplePos x="0" y="0"/>
            <wp:positionH relativeFrom="page">
              <wp:posOffset>5664200</wp:posOffset>
            </wp:positionH>
            <wp:positionV relativeFrom="paragraph">
              <wp:posOffset>854837</wp:posOffset>
            </wp:positionV>
            <wp:extent cx="30226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3022600" cy="50800"/>
                    </a:xfrm>
                    <a:prstGeom prst="rect">
                      <a:avLst/>
                    </a:prstGeom>
                  </pic:spPr>
                </pic:pic>
              </a:graphicData>
            </a:graphic>
          </wp:anchor>
        </w:drawing>
      </w:r>
      <w:r>
        <w:pict>
          <v:line id="_x0000_s1025" style="mso-position-horizontal-relative:page;position:absolute;z-index:-251653120" from="311pt,129.3pt" to="434pt,129.3pt" stroked="t" strokecolor="black" strokeweight="2pt">
            <v:stroke dashstyle="longDash"/>
          </v:line>
        </w:pict>
      </w:r>
      <w:r>
        <w:rPr>
          <w:rFonts w:ascii="楷体" w:eastAsia="楷体" w:hint="eastAsia"/>
          <w:b/>
          <w:sz w:val="54"/>
        </w:rPr>
        <w:t>授课专</w:t>
      </w:r>
      <w:r>
        <w:rPr>
          <w:rFonts w:ascii="楷体" w:eastAsia="楷体" w:hint="eastAsia"/>
          <w:b/>
          <w:spacing w:val="11"/>
          <w:sz w:val="54"/>
        </w:rPr>
        <w:t>业</w:t>
      </w:r>
      <w:r>
        <w:rPr>
          <w:b/>
          <w:sz w:val="54"/>
        </w:rPr>
        <w:t>/</w:t>
      </w:r>
      <w:r>
        <w:rPr>
          <w:rFonts w:ascii="楷体" w:eastAsia="楷体" w:hint="eastAsia"/>
          <w:b/>
          <w:sz w:val="54"/>
        </w:rPr>
        <w:t>年</w:t>
      </w:r>
      <w:r>
        <w:rPr>
          <w:rFonts w:ascii="楷体" w:eastAsia="楷体" w:hint="eastAsia"/>
          <w:b/>
          <w:spacing w:val="3"/>
          <w:sz w:val="54"/>
        </w:rPr>
        <w:t>级</w:t>
      </w:r>
      <w:r>
        <w:rPr>
          <w:b/>
          <w:spacing w:val="3"/>
          <w:sz w:val="54"/>
        </w:rPr>
        <w:t>/</w:t>
      </w:r>
      <w:r>
        <w:rPr>
          <w:rFonts w:ascii="楷体" w:eastAsia="楷体" w:hint="eastAsia"/>
          <w:b/>
          <w:sz w:val="54"/>
        </w:rPr>
        <w:t>班级</w:t>
        <w:tab/>
        <w:tab/>
      </w:r>
      <w:r>
        <w:rPr>
          <w:b/>
          <w:sz w:val="54"/>
        </w:rPr>
        <w:t>15</w:t>
      </w:r>
      <w:r>
        <w:rPr>
          <w:b/>
          <w:spacing w:val="-3"/>
          <w:sz w:val="54"/>
        </w:rPr>
        <w:t xml:space="preserve"> </w:t>
      </w:r>
      <w:r>
        <w:rPr>
          <w:rFonts w:ascii="楷体" w:eastAsia="楷体" w:hint="eastAsia"/>
          <w:b/>
          <w:sz w:val="54"/>
        </w:rPr>
        <w:t>财务管理</w:t>
      </w:r>
      <w:r>
        <w:rPr>
          <w:rFonts w:ascii="楷体" w:eastAsia="楷体" w:hint="eastAsia"/>
          <w:b/>
          <w:spacing w:val="-8"/>
          <w:sz w:val="54"/>
        </w:rPr>
        <w:t xml:space="preserve"> </w:t>
      </w:r>
      <w:r>
        <w:rPr>
          <w:b/>
          <w:spacing w:val="3"/>
          <w:sz w:val="54"/>
        </w:rPr>
        <w:t>\</w:t>
      </w:r>
      <w:r>
        <w:rPr>
          <w:rFonts w:ascii="楷体" w:eastAsia="楷体" w:hint="eastAsia"/>
          <w:b/>
          <w:sz w:val="54"/>
        </w:rPr>
        <w:t>会</w:t>
      </w:r>
      <w:r>
        <w:rPr>
          <w:rFonts w:ascii="楷体" w:eastAsia="楷体" w:hint="eastAsia"/>
          <w:b/>
          <w:spacing w:val="-15"/>
          <w:sz w:val="54"/>
        </w:rPr>
        <w:t>计</w:t>
      </w:r>
      <w:r>
        <w:rPr>
          <w:rFonts w:ascii="楷体" w:eastAsia="楷体" w:hint="eastAsia"/>
          <w:b/>
          <w:sz w:val="54"/>
        </w:rPr>
        <w:t>授课教师</w:t>
        <w:tab/>
        <w:t>郭</w:t>
        <w:tab/>
        <w:t>瑛</w:t>
        <w:tab/>
        <w:t>职</w:t>
        <w:tab/>
        <w:t>称</w:t>
        <w:tab/>
        <w:t>副教授</w:t>
      </w: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rPr>
          <w:rFonts w:ascii="楷体"/>
          <w:b/>
          <w:sz w:val="20"/>
        </w:rPr>
      </w:pPr>
    </w:p>
    <w:p>
      <w:pPr>
        <w:pStyle w:val="BodyText"/>
        <w:spacing w:before="11"/>
        <w:rPr>
          <w:rFonts w:ascii="楷体"/>
          <w:b/>
          <w:sz w:val="24"/>
        </w:rPr>
      </w:pPr>
      <w:r>
        <w:drawing>
          <wp:anchor distT="0" distB="0" distL="0" distR="0" simplePos="0" relativeHeight="251658240" behindDoc="0" locked="0" layoutInCell="1" allowOverlap="1">
            <wp:simplePos x="0" y="0"/>
            <wp:positionH relativeFrom="page">
              <wp:posOffset>6692900</wp:posOffset>
            </wp:positionH>
            <wp:positionV relativeFrom="paragraph">
              <wp:posOffset>227379</wp:posOffset>
            </wp:positionV>
            <wp:extent cx="1270" cy="127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p>
    <w:p>
      <w:pPr>
        <w:spacing w:after="0"/>
        <w:rPr>
          <w:rFonts w:ascii="楷体"/>
          <w:sz w:val="24"/>
        </w:rPr>
        <w:sectPr>
          <w:type w:val="continuous"/>
          <w:pgSz w:w="17860" w:h="25260"/>
          <w:pgMar w:top="1520" w:right="860" w:bottom="280" w:left="1880" w:header="708" w:footer="708"/>
          <w:cols w:space="708"/>
        </w:sectPr>
      </w:pPr>
    </w:p>
    <w:p>
      <w:pPr>
        <w:spacing w:before="1"/>
        <w:ind w:left="5854" w:right="0" w:firstLine="0"/>
        <w:jc w:val="left"/>
        <w:rPr>
          <w:rFonts w:ascii="仿宋" w:eastAsia="仿宋" w:hint="eastAsia"/>
          <w:b/>
          <w:sz w:val="54"/>
        </w:rPr>
      </w:pPr>
      <w:r>
        <w:rPr>
          <w:rFonts w:ascii="仿宋" w:eastAsia="仿宋" w:hint="eastAsia"/>
          <w:b/>
          <w:sz w:val="54"/>
        </w:rPr>
        <w:t>课 程 简 介</w:t>
      </w:r>
    </w:p>
    <w:p>
      <w:pPr>
        <w:spacing w:before="376" w:line="388" w:lineRule="auto"/>
        <w:ind w:left="161" w:right="364" w:firstLine="882"/>
        <w:jc w:val="left"/>
        <w:rPr>
          <w:rFonts w:ascii="仿宋" w:eastAsia="仿宋" w:hint="eastAsia"/>
          <w:sz w:val="45"/>
        </w:rPr>
      </w:pPr>
      <w:r>
        <w:rPr>
          <w:rFonts w:ascii="仿宋" w:eastAsia="仿宋" w:hint="eastAsia"/>
          <w:sz w:val="45"/>
        </w:rPr>
        <w:t>财务报表学课程是经济学类与工商管理类的专业基础课，该课程理论</w:t>
      </w:r>
      <w:r>
        <w:rPr>
          <w:rFonts w:ascii="仿宋" w:eastAsia="仿宋" w:hint="eastAsia"/>
          <w:spacing w:val="-17"/>
          <w:sz w:val="45"/>
        </w:rPr>
        <w:t>性和操作性都很强，实务中，其内容涵盖了财务工作的大部分和主要过程。</w:t>
      </w:r>
    </w:p>
    <w:p>
      <w:pPr>
        <w:spacing w:before="4" w:line="388" w:lineRule="auto"/>
        <w:ind w:left="161" w:right="555" w:firstLine="900"/>
        <w:jc w:val="left"/>
        <w:rPr>
          <w:rFonts w:ascii="仿宋" w:eastAsia="仿宋" w:hint="eastAsia"/>
          <w:sz w:val="45"/>
        </w:rPr>
      </w:pPr>
      <w:r>
        <w:rPr>
          <w:rFonts w:ascii="仿宋" w:eastAsia="仿宋" w:hint="eastAsia"/>
          <w:spacing w:val="-1"/>
          <w:sz w:val="45"/>
        </w:rPr>
        <w:t>本课程坚持理论与实务并重，着重突出理论对实务的指导意义，培养学生从事财务工作应具备的基本知识、基本技能和操作能力。本课程的教</w:t>
      </w:r>
      <w:r>
        <w:rPr>
          <w:rFonts w:ascii="仿宋" w:eastAsia="仿宋" w:hint="eastAsia"/>
          <w:sz w:val="45"/>
        </w:rPr>
        <w:t>学目的是使学生能够全面系统地掌握财务报表分析的基本理论、基本方 法、基本技能，以及财务报表基本循环过程和财务信息的生成。</w:t>
      </w:r>
    </w:p>
    <w:p>
      <w:pPr>
        <w:spacing w:after="0" w:line="388" w:lineRule="auto"/>
        <w:jc w:val="left"/>
        <w:rPr>
          <w:rFonts w:ascii="仿宋" w:eastAsia="仿宋" w:hint="eastAsia"/>
          <w:sz w:val="45"/>
        </w:rPr>
        <w:sectPr>
          <w:pgSz w:w="17860" w:h="25260"/>
          <w:pgMar w:top="1800" w:right="860" w:bottom="280" w:left="1880" w:header="708" w:footer="708"/>
          <w:pgNumType w:start="2"/>
          <w:cols w:space="708"/>
        </w:sectPr>
      </w:pPr>
    </w:p>
    <w:p>
      <w:pPr>
        <w:spacing w:before="146" w:line="713" w:lineRule="exact"/>
        <w:ind w:left="1518" w:right="0" w:firstLine="0"/>
        <w:jc w:val="left"/>
        <w:rPr>
          <w:b/>
          <w:sz w:val="54"/>
        </w:rPr>
      </w:pPr>
      <w:r>
        <w:rPr>
          <w:rFonts w:ascii="黑体" w:eastAsia="黑体" w:hint="eastAsia"/>
          <w:w w:val="133"/>
          <w:sz w:val="54"/>
          <w:vertAlign w:val="superscript"/>
        </w:rPr>
        <w:t>课程编号：</w:t>
      </w:r>
      <w:r>
        <w:rPr>
          <w:w w:val="600"/>
          <w:sz w:val="54"/>
          <w:vertAlign w:val="superscript"/>
        </w:rPr>
        <w:t>118</w:t>
      </w:r>
      <w:r>
        <w:rPr>
          <w:spacing w:val="-164"/>
          <w:w w:val="600"/>
          <w:sz w:val="54"/>
          <w:vertAlign w:val="superscript"/>
        </w:rPr>
        <w:t>3</w:t>
      </w:r>
      <w:r>
        <w:rPr>
          <w:b/>
          <w:spacing w:val="-377"/>
          <w:w w:val="99"/>
          <w:sz w:val="54"/>
          <w:vertAlign w:val="baseline"/>
        </w:rPr>
        <w:t>《</w:t>
      </w:r>
      <w:r>
        <w:rPr>
          <w:w w:val="600"/>
          <w:sz w:val="54"/>
          <w:vertAlign w:val="superscript"/>
        </w:rPr>
        <w:t>00</w:t>
      </w:r>
      <w:r>
        <w:rPr>
          <w:spacing w:val="-130"/>
          <w:w w:val="600"/>
          <w:sz w:val="54"/>
          <w:vertAlign w:val="superscript"/>
        </w:rPr>
        <w:t>2</w:t>
      </w:r>
      <w:r>
        <w:rPr>
          <w:b/>
          <w:w w:val="99"/>
          <w:sz w:val="54"/>
          <w:vertAlign w:val="baseline"/>
        </w:rPr>
        <w:t>财务报表分析》课程教学大纲</w:t>
      </w:r>
    </w:p>
    <w:p>
      <w:pPr>
        <w:spacing w:before="0" w:line="713" w:lineRule="exact"/>
        <w:ind w:left="254" w:right="140" w:firstLine="0"/>
        <w:jc w:val="center"/>
        <w:rPr>
          <w:b/>
          <w:sz w:val="54"/>
        </w:rPr>
      </w:pPr>
      <w:r>
        <w:rPr>
          <w:b/>
          <w:sz w:val="54"/>
        </w:rPr>
        <w:t>（</w:t>
      </w:r>
      <w:r>
        <w:rPr>
          <w:rFonts w:ascii="宋体" w:eastAsia="宋体" w:hint="eastAsia"/>
          <w:b/>
          <w:sz w:val="54"/>
        </w:rPr>
        <w:t>Financial Statements Analysis</w:t>
      </w:r>
      <w:r>
        <w:rPr>
          <w:b/>
          <w:sz w:val="54"/>
        </w:rPr>
        <w:t>）</w:t>
      </w:r>
    </w:p>
    <w:p>
      <w:pPr>
        <w:pStyle w:val="Heading1"/>
        <w:tabs>
          <w:tab w:val="left" w:pos="3267"/>
        </w:tabs>
        <w:spacing w:before="76"/>
        <w:ind w:left="254"/>
        <w:jc w:val="center"/>
      </w:pPr>
      <w:r>
        <w:drawing>
          <wp:anchor distT="0" distB="0" distL="0" distR="0" simplePos="0" relativeHeight="251664384" behindDoc="0" locked="0" layoutInCell="1" allowOverlap="1">
            <wp:simplePos x="0" y="0"/>
            <wp:positionH relativeFrom="page">
              <wp:posOffset>1638300</wp:posOffset>
            </wp:positionH>
            <wp:positionV relativeFrom="paragraph">
              <wp:posOffset>367791</wp:posOffset>
            </wp:positionV>
            <wp:extent cx="8399049" cy="38004"/>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399049" cy="38004"/>
                    </a:xfrm>
                    <a:prstGeom prst="rect">
                      <a:avLst/>
                    </a:prstGeom>
                  </pic:spPr>
                </pic:pic>
              </a:graphicData>
            </a:graphic>
          </wp:anchor>
        </w:drawing>
      </w:r>
      <w:r>
        <w:t>总学时：24+16</w:t>
        <w:tab/>
        <w:t>学分：2</w:t>
      </w:r>
    </w:p>
    <w:p>
      <w:pPr>
        <w:spacing w:before="0"/>
        <w:ind w:left="784" w:right="0" w:firstLine="0"/>
        <w:jc w:val="left"/>
        <w:rPr>
          <w:rFonts w:ascii="黑体" w:eastAsia="黑体" w:hint="eastAsia"/>
          <w:sz w:val="36"/>
        </w:rPr>
      </w:pPr>
      <w:r>
        <w:rPr>
          <w:rFonts w:ascii="黑体" w:eastAsia="黑体" w:hint="eastAsia"/>
          <w:b/>
          <w:sz w:val="36"/>
        </w:rPr>
        <w:t>一、</w:t>
      </w:r>
      <w:r>
        <w:rPr>
          <w:rFonts w:ascii="黑体" w:eastAsia="黑体" w:hint="eastAsia"/>
          <w:sz w:val="36"/>
        </w:rPr>
        <w:t>课程简介</w:t>
      </w:r>
    </w:p>
    <w:p>
      <w:pPr>
        <w:pStyle w:val="BodyText"/>
        <w:spacing w:before="128"/>
        <w:ind w:left="521"/>
      </w:pPr>
      <w:r>
        <w:rPr>
          <w:rFonts w:ascii="黑体" w:eastAsia="黑体" w:hint="eastAsia"/>
        </w:rPr>
        <w:t>1、课程性质</w:t>
      </w:r>
      <w:r>
        <w:rPr>
          <w:rFonts w:ascii="黑体" w:eastAsia="黑体" w:hint="eastAsia"/>
          <w:position w:val="-3"/>
          <w:sz w:val="27"/>
        </w:rPr>
        <w:t>：</w:t>
      </w:r>
      <w:r>
        <w:t>财务管理、会计学专业必修课</w:t>
      </w:r>
    </w:p>
    <w:p>
      <w:pPr>
        <w:pStyle w:val="BodyText"/>
        <w:spacing w:before="32"/>
        <w:ind w:left="521"/>
      </w:pPr>
      <w:r>
        <w:rPr>
          <w:rFonts w:ascii="黑体" w:eastAsia="黑体" w:hint="eastAsia"/>
        </w:rPr>
        <w:t>2、开课学期</w:t>
      </w:r>
      <w:r>
        <w:rPr>
          <w:rFonts w:ascii="黑体" w:eastAsia="黑体" w:hint="eastAsia"/>
          <w:position w:val="-3"/>
          <w:sz w:val="27"/>
        </w:rPr>
        <w:t>：</w:t>
      </w:r>
      <w:r>
        <w:t>第五学期</w:t>
      </w:r>
    </w:p>
    <w:p>
      <w:pPr>
        <w:pStyle w:val="BodyText"/>
        <w:spacing w:before="31"/>
        <w:ind w:left="521"/>
      </w:pPr>
      <w:r>
        <w:rPr>
          <w:rFonts w:ascii="黑体" w:eastAsia="黑体" w:hint="eastAsia"/>
        </w:rPr>
        <w:t>3、适用专业</w:t>
      </w:r>
      <w:r>
        <w:rPr>
          <w:rFonts w:ascii="黑体" w:eastAsia="黑体" w:hint="eastAsia"/>
          <w:position w:val="-3"/>
          <w:sz w:val="27"/>
        </w:rPr>
        <w:t>：</w:t>
      </w:r>
      <w:r>
        <w:t>会计学、财务管理</w:t>
      </w:r>
    </w:p>
    <w:p>
      <w:pPr>
        <w:pStyle w:val="BodyText"/>
        <w:spacing w:before="39" w:line="235" w:lineRule="auto"/>
        <w:ind w:left="997" w:right="199" w:hanging="476"/>
      </w:pPr>
      <w:r>
        <w:rPr>
          <w:rFonts w:ascii="黑体" w:eastAsia="黑体" w:hint="eastAsia"/>
        </w:rPr>
        <w:t>4</w:t>
      </w:r>
      <w:r>
        <w:rPr>
          <w:rFonts w:ascii="黑体" w:eastAsia="黑体" w:hint="eastAsia"/>
          <w:spacing w:val="-3"/>
        </w:rPr>
        <w:t>、课程修读条件</w:t>
      </w:r>
      <w:r>
        <w:rPr>
          <w:spacing w:val="-1"/>
        </w:rPr>
        <w:t xml:space="preserve">：学生修读本课程之前必须已修读《高级财务会计》、《高级财务管理》和《管理学基 </w:t>
      </w:r>
      <w:r>
        <w:t>础》。</w:t>
      </w:r>
    </w:p>
    <w:p>
      <w:pPr>
        <w:pStyle w:val="BodyText"/>
        <w:spacing w:before="85" w:line="235" w:lineRule="auto"/>
        <w:ind w:left="838" w:right="249" w:hanging="317"/>
      </w:pPr>
      <w:r>
        <w:rPr>
          <w:rFonts w:ascii="黑体" w:eastAsia="黑体" w:hint="eastAsia"/>
        </w:rPr>
        <w:t>5</w:t>
      </w:r>
      <w:r>
        <w:rPr>
          <w:rFonts w:ascii="黑体" w:eastAsia="黑体" w:hint="eastAsia"/>
          <w:spacing w:val="-4"/>
        </w:rPr>
        <w:t>、课程教学目的</w:t>
      </w:r>
      <w:r>
        <w:rPr>
          <w:rFonts w:ascii="黑体" w:eastAsia="黑体" w:hint="eastAsia"/>
          <w:spacing w:val="3"/>
          <w:position w:val="-3"/>
          <w:sz w:val="27"/>
        </w:rPr>
        <w:t>：</w:t>
      </w:r>
      <w:r>
        <w:rPr>
          <w:spacing w:val="-1"/>
        </w:rPr>
        <w:t xml:space="preserve">加深对财务报表的理解，掌握运用财务报表分析和评价企业经营成果和财务状况的方 </w:t>
      </w:r>
      <w:r>
        <w:t>法，基本具备通过财务报表评价过去和预测未来的能力，以及帮助利益关系集团改善决策的能力。</w:t>
      </w:r>
    </w:p>
    <w:p>
      <w:pPr>
        <w:spacing w:before="26"/>
        <w:ind w:left="784" w:right="0" w:firstLine="0"/>
        <w:jc w:val="left"/>
        <w:rPr>
          <w:rFonts w:ascii="黑体" w:eastAsia="黑体" w:hint="eastAsia"/>
          <w:b/>
          <w:sz w:val="36"/>
        </w:rPr>
      </w:pPr>
      <w:r>
        <w:rPr>
          <w:rFonts w:ascii="黑体" w:eastAsia="黑体" w:hint="eastAsia"/>
          <w:b/>
          <w:sz w:val="36"/>
        </w:rPr>
        <w:t>二、教学基本要求或建议</w:t>
      </w:r>
    </w:p>
    <w:p>
      <w:pPr>
        <w:pStyle w:val="BodyText"/>
        <w:spacing w:before="136" w:line="235" w:lineRule="auto"/>
        <w:ind w:left="997" w:right="181" w:hanging="476"/>
      </w:pPr>
      <w:r>
        <w:rPr>
          <w:rFonts w:ascii="宋体" w:eastAsia="宋体" w:hint="eastAsia"/>
        </w:rPr>
        <w:t>1</w:t>
      </w:r>
      <w:r>
        <w:rPr>
          <w:spacing w:val="-1"/>
        </w:rPr>
        <w:t xml:space="preserve">、要注意财务报表分析和其他课程内容的联系，财务报表分析要使用会计提供的财务报表，为有关的管 </w:t>
      </w:r>
      <w:r>
        <w:t>理和决策服务。</w:t>
      </w:r>
    </w:p>
    <w:p>
      <w:pPr>
        <w:pStyle w:val="BodyText"/>
        <w:spacing w:before="36"/>
        <w:ind w:left="525"/>
      </w:pPr>
      <w:r>
        <w:rPr>
          <w:rFonts w:ascii="宋体" w:eastAsia="宋体" w:hint="eastAsia"/>
        </w:rPr>
        <w:t>2</w:t>
      </w:r>
      <w:r>
        <w:t>、要注意财务报表分析的发展，它随着会计和管理的发展而发展，不是一成不变的。</w:t>
      </w:r>
    </w:p>
    <w:p>
      <w:pPr>
        <w:pStyle w:val="BodyText"/>
        <w:spacing w:before="32"/>
        <w:ind w:left="525"/>
      </w:pPr>
      <w:r>
        <w:rPr>
          <w:rFonts w:ascii="宋体" w:eastAsia="宋体" w:hint="eastAsia"/>
        </w:rPr>
        <w:t>3</w:t>
      </w:r>
      <w:r>
        <w:t>、要注意财务报表分析的局限性，正确运用分析的结果。</w:t>
      </w:r>
    </w:p>
    <w:p>
      <w:pPr>
        <w:spacing w:before="22"/>
        <w:ind w:left="784" w:right="0" w:firstLine="0"/>
        <w:jc w:val="left"/>
        <w:rPr>
          <w:rFonts w:ascii="黑体" w:eastAsia="黑体" w:hint="eastAsia"/>
          <w:b/>
          <w:sz w:val="36"/>
        </w:rPr>
      </w:pPr>
      <w:r>
        <w:rPr>
          <w:rFonts w:ascii="黑体" w:eastAsia="黑体" w:hint="eastAsia"/>
          <w:b/>
          <w:sz w:val="36"/>
        </w:rPr>
        <w:t>三、内容纲目及标准</w:t>
      </w:r>
    </w:p>
    <w:p>
      <w:pPr>
        <w:pStyle w:val="Heading2"/>
        <w:spacing w:before="88"/>
        <w:ind w:left="431" w:firstLine="0"/>
        <w:rPr>
          <w:rFonts w:ascii="宋体" w:eastAsia="宋体" w:hint="eastAsia"/>
        </w:rPr>
      </w:pPr>
      <w:r>
        <w:t>学时：</w:t>
      </w:r>
      <w:r>
        <w:rPr>
          <w:rFonts w:ascii="宋体" w:eastAsia="宋体" w:hint="eastAsia"/>
        </w:rPr>
        <w:t>40</w:t>
      </w:r>
    </w:p>
    <w:p>
      <w:pPr>
        <w:tabs>
          <w:tab w:val="left" w:pos="1695"/>
        </w:tabs>
        <w:spacing w:before="32" w:line="254" w:lineRule="auto"/>
        <w:ind w:left="431" w:right="10887" w:firstLine="0"/>
        <w:jc w:val="left"/>
        <w:rPr>
          <w:b/>
          <w:sz w:val="31"/>
        </w:rPr>
      </w:pPr>
      <w:r>
        <w:rPr>
          <w:b/>
          <w:sz w:val="31"/>
        </w:rPr>
        <w:t>第一篇</w:t>
        <w:tab/>
        <w:t>财务报表分析基</w:t>
      </w:r>
      <w:r>
        <w:rPr>
          <w:b/>
          <w:spacing w:val="-17"/>
          <w:sz w:val="31"/>
        </w:rPr>
        <w:t>础</w:t>
      </w:r>
      <w:r>
        <w:rPr>
          <w:b/>
          <w:sz w:val="31"/>
        </w:rPr>
        <w:t>第一章财务报表分析概述</w:t>
      </w:r>
    </w:p>
    <w:p>
      <w:pPr>
        <w:pStyle w:val="BodyText"/>
        <w:spacing w:before="43"/>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1" w:line="504" w:lineRule="exact"/>
        <w:ind w:left="1061"/>
      </w:pPr>
      <w:r>
        <w:rPr>
          <w:rFonts w:ascii="宋体" w:eastAsia="宋体" w:hint="eastAsia"/>
        </w:rPr>
        <w:t>1</w:t>
      </w:r>
      <w:r>
        <w:t>、了解财务报表分析有哪些需求者 ，以及他们分别需要哪些信息？</w:t>
      </w:r>
    </w:p>
    <w:p>
      <w:pPr>
        <w:pStyle w:val="BodyText"/>
        <w:spacing w:line="504" w:lineRule="exact"/>
        <w:ind w:left="1065"/>
      </w:pPr>
      <w:r>
        <w:rPr>
          <w:rFonts w:ascii="宋体" w:eastAsia="宋体" w:hint="eastAsia"/>
          <w:spacing w:val="-4"/>
        </w:rPr>
        <w:t>2</w:t>
      </w:r>
      <w:r>
        <w:t>、了解财务报表分析的主要内容</w:t>
      </w:r>
    </w:p>
    <w:p>
      <w:pPr>
        <w:pStyle w:val="BodyText"/>
        <w:spacing w:before="32"/>
        <w:ind w:left="1065"/>
      </w:pPr>
      <w:r>
        <w:rPr>
          <w:rFonts w:ascii="宋体" w:eastAsia="宋体" w:hint="eastAsia"/>
          <w:spacing w:val="-4"/>
        </w:rPr>
        <w:t>3</w:t>
      </w:r>
      <w:r>
        <w:t>、理解财务报表分析的主要原则</w:t>
      </w:r>
    </w:p>
    <w:p>
      <w:pPr>
        <w:pStyle w:val="BodyText"/>
        <w:spacing w:before="32"/>
        <w:ind w:left="1065"/>
      </w:pPr>
      <w:r>
        <w:rPr>
          <w:rFonts w:ascii="宋体" w:eastAsia="宋体" w:hint="eastAsia"/>
        </w:rPr>
        <w:t>4</w:t>
      </w:r>
      <w:r>
        <w:t>、掌握财务报表分析的一般步骤和基本方法</w:t>
      </w:r>
    </w:p>
    <w:p>
      <w:pPr>
        <w:pStyle w:val="BodyText"/>
        <w:spacing w:before="31" w:line="273" w:lineRule="auto"/>
        <w:ind w:left="431" w:right="8828" w:firstLine="633"/>
        <w:rPr>
          <w:rFonts w:ascii="宋体" w:eastAsia="宋体" w:hint="eastAsia"/>
        </w:rPr>
      </w:pPr>
      <w:r>
        <w:rPr>
          <w:rFonts w:ascii="宋体" w:eastAsia="宋体" w:hint="eastAsia"/>
        </w:rPr>
        <w:t>5</w:t>
      </w:r>
      <w:r>
        <w:t>、了解财务报表分析使用资料的范围</w:t>
      </w:r>
      <w:r>
        <w:rPr>
          <w:rFonts w:ascii="宋体" w:eastAsia="宋体" w:hint="eastAsia"/>
        </w:rPr>
        <w:t>[</w:t>
      </w:r>
      <w:r>
        <w:t>教学重点与难点</w:t>
      </w:r>
      <w:r>
        <w:rPr>
          <w:rFonts w:ascii="宋体" w:eastAsia="宋体" w:hint="eastAsia"/>
        </w:rPr>
        <w:t>]</w:t>
      </w:r>
    </w:p>
    <w:p>
      <w:pPr>
        <w:pStyle w:val="BodyText"/>
        <w:spacing w:line="429" w:lineRule="exact"/>
        <w:ind w:left="431"/>
      </w:pPr>
      <w:r>
        <w:t>本章重点：</w:t>
      </w:r>
    </w:p>
    <w:p>
      <w:pPr>
        <w:pStyle w:val="ListParagraph"/>
        <w:numPr>
          <w:ilvl w:val="0"/>
          <w:numId w:val="25"/>
        </w:numPr>
        <w:tabs>
          <w:tab w:val="left" w:pos="1538"/>
        </w:tabs>
        <w:spacing w:before="33" w:after="0" w:line="240" w:lineRule="auto"/>
        <w:ind w:left="1538" w:right="0" w:hanging="473"/>
        <w:jc w:val="left"/>
        <w:rPr>
          <w:sz w:val="31"/>
        </w:rPr>
      </w:pPr>
      <w:r>
        <w:rPr>
          <w:sz w:val="31"/>
        </w:rPr>
        <w:t>理解财务报表分析及其在企业决策中的重要性</w:t>
      </w:r>
    </w:p>
    <w:p>
      <w:pPr>
        <w:pStyle w:val="ListParagraph"/>
        <w:numPr>
          <w:ilvl w:val="0"/>
          <w:numId w:val="25"/>
        </w:numPr>
        <w:tabs>
          <w:tab w:val="left" w:pos="1538"/>
        </w:tabs>
        <w:spacing w:before="31" w:after="0" w:line="240" w:lineRule="auto"/>
        <w:ind w:left="1538" w:right="0" w:hanging="473"/>
        <w:jc w:val="left"/>
        <w:rPr>
          <w:sz w:val="31"/>
        </w:rPr>
      </w:pPr>
      <w:r>
        <w:rPr>
          <w:sz w:val="31"/>
        </w:rPr>
        <w:t>掌握每种财务报表反映的企业活动内容以及它们之间的关系</w:t>
      </w:r>
    </w:p>
    <w:p>
      <w:pPr>
        <w:pStyle w:val="ListParagraph"/>
        <w:numPr>
          <w:ilvl w:val="0"/>
          <w:numId w:val="25"/>
        </w:numPr>
        <w:tabs>
          <w:tab w:val="left" w:pos="1538"/>
        </w:tabs>
        <w:spacing w:before="32" w:after="0" w:line="254" w:lineRule="auto"/>
        <w:ind w:left="431" w:right="5660" w:firstLine="633"/>
        <w:jc w:val="left"/>
        <w:rPr>
          <w:sz w:val="31"/>
        </w:rPr>
      </w:pPr>
      <w:r>
        <w:rPr>
          <w:spacing w:val="-1"/>
          <w:sz w:val="31"/>
        </w:rPr>
        <w:t>明确财务报表附注包含哪些信息以及它们和决策的相关性</w:t>
      </w:r>
      <w:r>
        <w:rPr>
          <w:sz w:val="31"/>
        </w:rPr>
        <w:t>本章难点：</w:t>
      </w:r>
    </w:p>
    <w:p>
      <w:pPr>
        <w:pStyle w:val="BodyText"/>
        <w:spacing w:before="2" w:line="254" w:lineRule="auto"/>
        <w:ind w:left="431" w:right="139" w:firstLine="475"/>
      </w:pPr>
      <w:r>
        <w:rPr>
          <w:spacing w:val="-9"/>
        </w:rPr>
        <w:t xml:space="preserve">学习难点在于理解财务报表分析是一种分析性的工作，而不是程序性的工作，不存在统一的分析模式， </w:t>
      </w:r>
      <w:r>
        <w:rPr>
          <w:spacing w:val="-13"/>
        </w:rPr>
        <w:t>不同的分析目的、每个企业的具体情况以及可获取的资料范围，决定了选择哪些分析方法和具体的分析程  序。</w:t>
      </w:r>
    </w:p>
    <w:p>
      <w:pPr>
        <w:pStyle w:val="BodyText"/>
        <w:spacing w:before="3"/>
        <w:ind w:left="431"/>
      </w:pPr>
      <w:r>
        <w:t>第一节 什么是财务报表分析</w:t>
      </w:r>
    </w:p>
    <w:p>
      <w:pPr>
        <w:spacing w:after="0"/>
        <w:sectPr>
          <w:pgSz w:w="17860" w:h="25260"/>
          <w:pgMar w:top="2300" w:right="860" w:bottom="280" w:left="1880" w:header="708" w:footer="708"/>
          <w:pgNumType w:start="3"/>
          <w:cols w:space="708"/>
        </w:sectPr>
      </w:pPr>
    </w:p>
    <w:p>
      <w:pPr>
        <w:pStyle w:val="BodyText"/>
        <w:spacing w:before="54"/>
        <w:ind w:left="431"/>
      </w:pPr>
      <w:r>
        <w:t>一、财务报表分析的历史</w:t>
      </w:r>
    </w:p>
    <w:p>
      <w:pPr>
        <w:pStyle w:val="BodyText"/>
        <w:spacing w:before="33"/>
        <w:ind w:left="1065"/>
      </w:pPr>
      <w:r>
        <w:t>（一）为贷款银行服务的信用分析</w:t>
      </w:r>
    </w:p>
    <w:p>
      <w:pPr>
        <w:pStyle w:val="BodyText"/>
        <w:spacing w:before="31"/>
        <w:ind w:left="1065"/>
      </w:pPr>
      <w:r>
        <w:t>（二）为投资人服务的收益分析</w:t>
      </w:r>
    </w:p>
    <w:p>
      <w:pPr>
        <w:pStyle w:val="BodyText"/>
        <w:spacing w:before="32" w:line="254" w:lineRule="auto"/>
        <w:ind w:left="431" w:right="9616" w:firstLine="633"/>
      </w:pPr>
      <w:r>
        <w:t>（三）为经营者服务的管理分析二、财务报表分析的定义</w:t>
      </w:r>
    </w:p>
    <w:p>
      <w:pPr>
        <w:pStyle w:val="BodyText"/>
        <w:spacing w:before="2" w:line="254" w:lineRule="auto"/>
        <w:ind w:left="431" w:right="278" w:firstLine="633"/>
      </w:pPr>
      <w:r>
        <w:rPr>
          <w:spacing w:val="-1"/>
        </w:rPr>
        <w:t>财务报表分析</w:t>
      </w:r>
      <w:r>
        <w:rPr>
          <w:rFonts w:ascii="宋体" w:eastAsia="宋体" w:hint="eastAsia"/>
          <w:spacing w:val="-4"/>
        </w:rPr>
        <w:t>,</w:t>
      </w:r>
      <w:r>
        <w:rPr>
          <w:spacing w:val="-1"/>
        </w:rPr>
        <w:t xml:space="preserve">以财务报表为对象，采用专门方法系统地分析企业的财务状况和经营成果的过程，目 </w:t>
      </w:r>
      <w:r>
        <w:t>的了解过去、评价现在和预测未来，以改善报表使用人的决策。</w:t>
      </w:r>
    </w:p>
    <w:p>
      <w:pPr>
        <w:pStyle w:val="BodyText"/>
        <w:spacing w:before="2"/>
        <w:ind w:left="1065"/>
      </w:pPr>
      <w:r>
        <w:t>（一）财务报表分析的对象</w:t>
      </w:r>
    </w:p>
    <w:p>
      <w:pPr>
        <w:pStyle w:val="BodyText"/>
        <w:spacing w:before="32"/>
        <w:ind w:left="1065"/>
      </w:pPr>
      <w:r>
        <w:t>（二）财务报表分析的结果</w:t>
      </w:r>
    </w:p>
    <w:p>
      <w:pPr>
        <w:pStyle w:val="BodyText"/>
        <w:spacing w:before="31"/>
        <w:ind w:left="1065"/>
      </w:pPr>
      <w:r>
        <w:t>（三）财务报表分析的过程</w:t>
      </w:r>
    </w:p>
    <w:p>
      <w:pPr>
        <w:pStyle w:val="BodyText"/>
        <w:spacing w:before="32" w:line="254" w:lineRule="auto"/>
        <w:ind w:left="431" w:right="4076" w:firstLine="788"/>
      </w:pPr>
      <w:r>
        <w:t>财务报表分析不同于企业分析、经营分析、财务分析和经济活动分析。三、财务报表分析的主体</w:t>
      </w:r>
    </w:p>
    <w:p>
      <w:pPr>
        <w:pStyle w:val="BodyText"/>
        <w:spacing w:before="3"/>
        <w:ind w:left="1065"/>
      </w:pPr>
      <w:r>
        <w:t>（一）投资人：目标、主要决策、财务报表分析的内容；</w:t>
      </w:r>
    </w:p>
    <w:p>
      <w:pPr>
        <w:pStyle w:val="BodyText"/>
        <w:spacing w:before="32"/>
        <w:ind w:left="1065"/>
      </w:pPr>
      <w:r>
        <w:t>（二）债权人：目标、主要决策、财务报表分析的内容；</w:t>
      </w:r>
    </w:p>
    <w:p>
      <w:pPr>
        <w:pStyle w:val="BodyText"/>
        <w:spacing w:before="31"/>
        <w:ind w:left="1065"/>
      </w:pPr>
      <w:r>
        <w:t>（三）经理人员：目标、主要决策、财务报表分析的内容；</w:t>
      </w:r>
    </w:p>
    <w:p>
      <w:pPr>
        <w:pStyle w:val="BodyText"/>
        <w:spacing w:before="32"/>
        <w:ind w:left="1065"/>
      </w:pPr>
      <w:r>
        <w:t>（四）政府：目标、主要决策、财务报表分析的内容；</w:t>
      </w:r>
    </w:p>
    <w:p>
      <w:pPr>
        <w:pStyle w:val="BodyText"/>
        <w:spacing w:before="32" w:line="254" w:lineRule="auto"/>
        <w:ind w:left="431" w:right="5815" w:firstLine="633"/>
      </w:pPr>
      <w:r>
        <w:t>（五）其他人员：目标、主要决策、财务报表分析的内容； 四、财务报表分析的内容</w:t>
      </w:r>
    </w:p>
    <w:p>
      <w:pPr>
        <w:pStyle w:val="BodyText"/>
        <w:spacing w:before="2"/>
        <w:ind w:left="1065"/>
      </w:pPr>
      <w:r>
        <w:t>（一）资产运用效率分析</w:t>
      </w:r>
    </w:p>
    <w:p>
      <w:pPr>
        <w:pStyle w:val="BodyText"/>
        <w:spacing w:before="31"/>
        <w:ind w:left="1065"/>
      </w:pPr>
      <w:r>
        <w:t>（二）短期偿债能力分析</w:t>
      </w:r>
    </w:p>
    <w:p>
      <w:pPr>
        <w:pStyle w:val="BodyText"/>
        <w:spacing w:before="33"/>
        <w:ind w:left="1065"/>
      </w:pPr>
      <w:r>
        <w:t>（三）长期偿债能力分析</w:t>
      </w:r>
    </w:p>
    <w:p>
      <w:pPr>
        <w:pStyle w:val="BodyText"/>
        <w:spacing w:before="31"/>
        <w:ind w:left="1065"/>
      </w:pPr>
      <w:r>
        <w:t>（四）现金流动分析</w:t>
      </w:r>
    </w:p>
    <w:p>
      <w:pPr>
        <w:pStyle w:val="BodyText"/>
        <w:spacing w:before="32"/>
        <w:ind w:left="1065"/>
      </w:pPr>
      <w:r>
        <w:t>（五）盈利能力分析</w:t>
      </w:r>
    </w:p>
    <w:p>
      <w:pPr>
        <w:pStyle w:val="BodyText"/>
        <w:spacing w:before="31"/>
        <w:ind w:left="1065"/>
      </w:pPr>
      <w:r>
        <w:t>（六）投资报酬分析</w:t>
      </w:r>
    </w:p>
    <w:p>
      <w:pPr>
        <w:pStyle w:val="BodyText"/>
        <w:tabs>
          <w:tab w:val="left" w:pos="1850"/>
        </w:tabs>
        <w:spacing w:before="32" w:line="254" w:lineRule="auto"/>
        <w:ind w:left="431" w:right="10416"/>
      </w:pPr>
      <w:r>
        <w:t>第二章</w:t>
        <w:tab/>
        <w:t>财务报表分析的方</w:t>
      </w:r>
      <w:r>
        <w:rPr>
          <w:spacing w:val="-18"/>
        </w:rPr>
        <w:t>法</w:t>
      </w:r>
      <w:r>
        <w:t>一、财务报表分析的原则</w:t>
      </w:r>
    </w:p>
    <w:p>
      <w:pPr>
        <w:pStyle w:val="BodyText"/>
        <w:spacing w:before="2" w:line="254" w:lineRule="auto"/>
        <w:ind w:left="431" w:right="112" w:firstLine="633"/>
      </w:pPr>
      <w:r>
        <w:rPr>
          <w:spacing w:val="-1"/>
        </w:rPr>
        <w:t xml:space="preserve">目的明确的原则；实事求是的原则；全面分析的原则；动态分析的原则；系统分析的原则；定量分析 </w:t>
      </w:r>
      <w:r>
        <w:t>与定性分析结合的原则</w:t>
      </w:r>
    </w:p>
    <w:p>
      <w:pPr>
        <w:pStyle w:val="BodyText"/>
        <w:spacing w:before="2"/>
        <w:ind w:left="431"/>
      </w:pPr>
      <w:r>
        <w:t>二、财务报表分析的一般步骤</w:t>
      </w:r>
    </w:p>
    <w:p>
      <w:pPr>
        <w:pStyle w:val="BodyText"/>
        <w:spacing w:before="32" w:line="254" w:lineRule="auto"/>
        <w:ind w:left="431" w:right="112" w:firstLine="633"/>
      </w:pPr>
      <w:r>
        <w:rPr>
          <w:spacing w:val="-1"/>
        </w:rPr>
        <w:t xml:space="preserve">明确分析目的；设计分析程序；收集有关信息；将整体分为各个部分；研究各个部分的特殊本质；研 </w:t>
      </w:r>
      <w:r>
        <w:t>究各个部分之间的联系；得出分析结论</w:t>
      </w:r>
    </w:p>
    <w:p>
      <w:pPr>
        <w:pStyle w:val="BodyText"/>
        <w:spacing w:before="3"/>
        <w:ind w:left="431"/>
      </w:pPr>
      <w:r>
        <w:t>三、比较分析法</w:t>
      </w:r>
    </w:p>
    <w:p>
      <w:pPr>
        <w:pStyle w:val="BodyText"/>
        <w:spacing w:before="32"/>
        <w:ind w:left="1065"/>
      </w:pPr>
      <w:r>
        <w:t>（一）比较的对象：历史标准；同业标准；预算标准</w:t>
      </w:r>
    </w:p>
    <w:p>
      <w:pPr>
        <w:pStyle w:val="BodyText"/>
        <w:spacing w:before="31" w:line="254" w:lineRule="auto"/>
        <w:ind w:left="431" w:right="6448" w:firstLine="633"/>
      </w:pPr>
      <w:r>
        <w:t>（二）比较的指标：总量指标；财务比率；结构百分比四、因素分析法</w:t>
      </w:r>
    </w:p>
    <w:p>
      <w:pPr>
        <w:pStyle w:val="BodyText"/>
        <w:spacing w:before="2"/>
        <w:ind w:left="1065"/>
      </w:pPr>
      <w:r>
        <w:t>（一）因素分解法</w:t>
      </w:r>
    </w:p>
    <w:p>
      <w:pPr>
        <w:pStyle w:val="BodyText"/>
        <w:spacing w:before="32"/>
        <w:ind w:left="1065"/>
      </w:pPr>
      <w:r>
        <w:t>（二）定基替代法</w:t>
      </w:r>
    </w:p>
    <w:p>
      <w:pPr>
        <w:pStyle w:val="BodyText"/>
        <w:spacing w:before="32"/>
        <w:ind w:left="1065"/>
      </w:pPr>
      <w:r>
        <w:t>（三）连环替代法</w:t>
      </w:r>
    </w:p>
    <w:p>
      <w:pPr>
        <w:spacing w:after="0"/>
        <w:sectPr>
          <w:pgSz w:w="17860" w:h="25260"/>
          <w:pgMar w:top="1860" w:right="860" w:bottom="280" w:left="1880" w:header="708" w:footer="708"/>
          <w:pgNumType w:start="4"/>
          <w:cols w:space="708"/>
        </w:sectPr>
      </w:pPr>
    </w:p>
    <w:p>
      <w:pPr>
        <w:pStyle w:val="BodyText"/>
        <w:tabs>
          <w:tab w:val="left" w:pos="2166"/>
        </w:tabs>
        <w:spacing w:before="54" w:line="254" w:lineRule="auto"/>
        <w:ind w:left="431" w:right="9465"/>
      </w:pPr>
      <w:r>
        <w:t>第三章</w:t>
        <w:tab/>
        <w:t>财务报表分析使用的资</w:t>
      </w:r>
      <w:r>
        <w:rPr>
          <w:spacing w:val="-17"/>
        </w:rPr>
        <w:t>料</w:t>
      </w:r>
      <w:r>
        <w:t>一、财务报表的种类</w:t>
      </w:r>
    </w:p>
    <w:p>
      <w:pPr>
        <w:pStyle w:val="BodyText"/>
        <w:spacing w:before="3"/>
        <w:ind w:left="1065"/>
      </w:pPr>
      <w:r>
        <w:t>财务报表分析所使用的资料主要是财务报表，还包括其他有关的财务报告。</w:t>
      </w:r>
    </w:p>
    <w:p>
      <w:pPr>
        <w:pStyle w:val="BodyText"/>
        <w:spacing w:before="32"/>
        <w:ind w:left="1065"/>
      </w:pPr>
      <w:r>
        <w:t>（一）资产负债表及其附表</w:t>
      </w:r>
    </w:p>
    <w:p>
      <w:pPr>
        <w:pStyle w:val="BodyText"/>
        <w:spacing w:before="31"/>
        <w:ind w:left="1065"/>
      </w:pPr>
      <w:r>
        <w:t>（二）损益表及其附表</w:t>
      </w:r>
    </w:p>
    <w:p>
      <w:pPr>
        <w:pStyle w:val="BodyText"/>
        <w:spacing w:before="32"/>
        <w:ind w:left="1065"/>
      </w:pPr>
      <w:r>
        <w:t>（三）现金流量表</w:t>
      </w:r>
    </w:p>
    <w:p>
      <w:pPr>
        <w:pStyle w:val="BodyText"/>
        <w:spacing w:before="32"/>
        <w:ind w:left="1065"/>
      </w:pPr>
      <w:r>
        <w:t>（四）财务报表附注</w:t>
      </w:r>
    </w:p>
    <w:p>
      <w:pPr>
        <w:pStyle w:val="BodyText"/>
        <w:spacing w:before="31"/>
        <w:ind w:left="1065"/>
      </w:pPr>
      <w:r>
        <w:t>（五）其他财务报告</w:t>
      </w:r>
    </w:p>
    <w:p>
      <w:pPr>
        <w:pStyle w:val="BodyText"/>
        <w:spacing w:before="32"/>
        <w:ind w:left="431"/>
      </w:pPr>
      <w:r>
        <w:t>二、财务报表使用的理论和概念</w:t>
      </w:r>
    </w:p>
    <w:p>
      <w:pPr>
        <w:pStyle w:val="BodyText"/>
        <w:spacing w:before="31"/>
        <w:ind w:left="1065"/>
      </w:pPr>
      <w:r>
        <w:t>为了正确运用财务报表数据，要了解财务报表编制的假设前提和使用的主要概念。</w:t>
      </w:r>
    </w:p>
    <w:p>
      <w:pPr>
        <w:pStyle w:val="BodyText"/>
        <w:spacing w:before="32"/>
        <w:ind w:left="1065"/>
      </w:pPr>
      <w:r>
        <w:t>（一）会计目标</w:t>
      </w:r>
    </w:p>
    <w:p>
      <w:pPr>
        <w:pStyle w:val="BodyText"/>
        <w:spacing w:before="33"/>
        <w:ind w:left="1065"/>
      </w:pPr>
      <w:r>
        <w:t>（二）会计的基本假设</w:t>
      </w:r>
    </w:p>
    <w:p>
      <w:pPr>
        <w:pStyle w:val="BodyText"/>
        <w:spacing w:before="31"/>
        <w:ind w:left="1065"/>
      </w:pPr>
      <w:r>
        <w:t>（三）经济业务与会计要素</w:t>
      </w:r>
    </w:p>
    <w:p>
      <w:pPr>
        <w:pStyle w:val="BodyText"/>
        <w:spacing w:before="32"/>
        <w:ind w:left="1065"/>
      </w:pPr>
      <w:r>
        <w:t>（四）会计原则</w:t>
      </w:r>
    </w:p>
    <w:p>
      <w:pPr>
        <w:pStyle w:val="BodyText"/>
        <w:spacing w:before="31" w:line="254" w:lineRule="auto"/>
        <w:ind w:left="431" w:right="10567" w:firstLine="633"/>
      </w:pPr>
      <w:r>
        <w:t xml:space="preserve">（五）会计程序和方法  </w:t>
      </w:r>
      <w:r>
        <w:rPr>
          <w:spacing w:val="-2"/>
        </w:rPr>
        <w:t>三、财务报表编制的实务规范</w:t>
      </w:r>
    </w:p>
    <w:p>
      <w:pPr>
        <w:pStyle w:val="BodyText"/>
        <w:spacing w:before="3"/>
        <w:ind w:left="1220"/>
      </w:pPr>
      <w:r>
        <w:t>为了准确理解财务报表，要了解与编制财务报表有关的规范。</w:t>
      </w:r>
    </w:p>
    <w:p>
      <w:pPr>
        <w:pStyle w:val="BodyText"/>
        <w:spacing w:before="31"/>
        <w:ind w:left="1065"/>
      </w:pPr>
      <w:r>
        <w:t>（一）会计法</w:t>
      </w:r>
    </w:p>
    <w:p>
      <w:pPr>
        <w:pStyle w:val="BodyText"/>
        <w:spacing w:before="32"/>
        <w:ind w:left="1065"/>
      </w:pPr>
      <w:r>
        <w:t>（二）会计核算制度</w:t>
      </w:r>
    </w:p>
    <w:p>
      <w:pPr>
        <w:pStyle w:val="BodyText"/>
        <w:spacing w:before="31"/>
        <w:ind w:left="1065"/>
      </w:pPr>
      <w:r>
        <w:t>（三）上市公司的会计信息揭示制度</w:t>
      </w:r>
    </w:p>
    <w:p>
      <w:pPr>
        <w:pStyle w:val="BodyText"/>
        <w:spacing w:before="33"/>
        <w:ind w:left="1065"/>
      </w:pPr>
      <w:r>
        <w:t>（四）国际会计标准的协调</w:t>
      </w:r>
    </w:p>
    <w:p>
      <w:pPr>
        <w:pStyle w:val="BodyText"/>
        <w:spacing w:before="31" w:line="254" w:lineRule="auto"/>
        <w:ind w:left="431" w:right="10567" w:firstLine="633"/>
      </w:pPr>
      <w:r>
        <w:t>（五）会计师的职业道德四、审计报告</w:t>
      </w:r>
    </w:p>
    <w:p>
      <w:pPr>
        <w:pStyle w:val="BodyText"/>
        <w:spacing w:before="2"/>
        <w:ind w:left="1065"/>
      </w:pPr>
      <w:r>
        <w:t>审计报告与财务报表的可靠性有密切关系。</w:t>
      </w:r>
    </w:p>
    <w:p>
      <w:pPr>
        <w:pStyle w:val="BodyText"/>
        <w:spacing w:before="32"/>
        <w:ind w:left="1065"/>
      </w:pPr>
      <w:r>
        <w:t>（一）财务报表审计</w:t>
      </w:r>
    </w:p>
    <w:p>
      <w:pPr>
        <w:tabs>
          <w:tab w:val="left" w:pos="1695"/>
        </w:tabs>
        <w:spacing w:before="32" w:line="254" w:lineRule="auto"/>
        <w:ind w:left="431" w:right="10885" w:firstLine="633"/>
        <w:jc w:val="left"/>
        <w:rPr>
          <w:b/>
          <w:sz w:val="31"/>
        </w:rPr>
      </w:pPr>
      <w:r>
        <w:rPr>
          <w:sz w:val="31"/>
        </w:rPr>
        <w:t>（二）审计报告的类</w:t>
      </w:r>
      <w:r>
        <w:rPr>
          <w:spacing w:val="-18"/>
          <w:sz w:val="31"/>
        </w:rPr>
        <w:t>型</w:t>
      </w:r>
      <w:r>
        <w:rPr>
          <w:b/>
          <w:sz w:val="31"/>
        </w:rPr>
        <w:t>第二篇</w:t>
      </w:r>
      <w:r>
        <w:rPr>
          <w:b/>
          <w:spacing w:val="32"/>
          <w:sz w:val="31"/>
        </w:rPr>
        <w:t xml:space="preserve"> </w:t>
      </w:r>
      <w:r>
        <w:rPr>
          <w:b/>
          <w:sz w:val="31"/>
        </w:rPr>
        <w:t>企业财务能力分析第四章</w:t>
        <w:tab/>
        <w:t>偿债能力分析</w:t>
      </w:r>
    </w:p>
    <w:p>
      <w:pPr>
        <w:pStyle w:val="BodyText"/>
        <w:spacing w:before="43"/>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2" w:line="504" w:lineRule="exact"/>
        <w:ind w:left="1061"/>
      </w:pPr>
      <w:r>
        <w:rPr>
          <w:rFonts w:ascii="宋体" w:eastAsia="宋体" w:hint="eastAsia"/>
        </w:rPr>
        <w:t>1</w:t>
      </w:r>
      <w:r>
        <w:t>、了解短期偿债能力的含义；</w:t>
      </w:r>
    </w:p>
    <w:p>
      <w:pPr>
        <w:pStyle w:val="BodyText"/>
        <w:spacing w:line="504" w:lineRule="exact"/>
        <w:ind w:left="1065"/>
      </w:pPr>
      <w:r>
        <w:rPr>
          <w:rFonts w:ascii="宋体" w:eastAsia="宋体" w:hint="eastAsia"/>
        </w:rPr>
        <w:t>2</w:t>
      </w:r>
      <w:r>
        <w:t>、了解短期偿债能力分析的各种衡量指标；</w:t>
      </w:r>
    </w:p>
    <w:p>
      <w:pPr>
        <w:pStyle w:val="BodyText"/>
        <w:spacing w:before="31"/>
        <w:ind w:left="1065"/>
      </w:pPr>
      <w:r>
        <w:rPr>
          <w:rFonts w:ascii="宋体" w:eastAsia="宋体" w:hint="eastAsia"/>
        </w:rPr>
        <w:t>3</w:t>
      </w:r>
      <w:r>
        <w:t>、了解影响短期偿债能力的各种因素；</w:t>
      </w:r>
    </w:p>
    <w:p>
      <w:pPr>
        <w:pStyle w:val="BodyText"/>
        <w:spacing w:before="32" w:line="254" w:lineRule="auto"/>
        <w:ind w:left="431" w:right="271" w:firstLine="633"/>
      </w:pPr>
      <w:r>
        <w:rPr>
          <w:rFonts w:ascii="宋体" w:eastAsia="宋体" w:hint="eastAsia"/>
        </w:rPr>
        <w:t>4</w:t>
      </w:r>
      <w:r>
        <w:rPr>
          <w:spacing w:val="-1"/>
        </w:rPr>
        <w:t xml:space="preserve">、掌握短期偿债能力分析的基本原理和方法，包括应用短期偿债能力各比率进行析和短期偿债能力 </w:t>
      </w:r>
      <w:r>
        <w:t>同业比较分析、历史比较分析和预算比较分析。</w:t>
      </w:r>
    </w:p>
    <w:p>
      <w:pPr>
        <w:pStyle w:val="BodyText"/>
        <w:spacing w:before="42" w:line="504" w:lineRule="exact"/>
        <w:ind w:left="431"/>
        <w:rPr>
          <w:rFonts w:ascii="宋体" w:eastAsia="宋体" w:hint="eastAsia"/>
        </w:rPr>
      </w:pPr>
      <w:r>
        <w:rPr>
          <w:rFonts w:ascii="宋体" w:eastAsia="宋体" w:hint="eastAsia"/>
        </w:rPr>
        <w:t>[</w:t>
      </w:r>
      <w:r>
        <w:t>教学重点与难点</w:t>
      </w:r>
      <w:r>
        <w:rPr>
          <w:rFonts w:ascii="宋体" w:eastAsia="宋体" w:hint="eastAsia"/>
        </w:rPr>
        <w:t>]</w:t>
      </w:r>
    </w:p>
    <w:p>
      <w:pPr>
        <w:pStyle w:val="Heading2"/>
        <w:spacing w:before="0" w:line="504" w:lineRule="exact"/>
        <w:ind w:left="431" w:firstLine="0"/>
      </w:pPr>
      <w:r>
        <w:t>本章重点：</w:t>
      </w:r>
    </w:p>
    <w:p>
      <w:pPr>
        <w:spacing w:before="32" w:line="254" w:lineRule="auto"/>
        <w:ind w:left="431" w:right="8666" w:firstLine="633"/>
        <w:jc w:val="left"/>
        <w:rPr>
          <w:b/>
          <w:sz w:val="31"/>
        </w:rPr>
      </w:pPr>
      <w:r>
        <w:rPr>
          <w:spacing w:val="-1"/>
          <w:sz w:val="31"/>
        </w:rPr>
        <w:t xml:space="preserve">短期偿债能力评价指标的计算与调整； </w:t>
      </w:r>
      <w:r>
        <w:rPr>
          <w:b/>
          <w:sz w:val="31"/>
        </w:rPr>
        <w:t>本章难点：</w:t>
      </w:r>
    </w:p>
    <w:p>
      <w:pPr>
        <w:spacing w:after="0" w:line="254" w:lineRule="auto"/>
        <w:jc w:val="left"/>
        <w:rPr>
          <w:sz w:val="31"/>
        </w:rPr>
        <w:sectPr>
          <w:pgSz w:w="17860" w:h="25260"/>
          <w:pgMar w:top="1860" w:right="860" w:bottom="280" w:left="1880" w:header="708" w:footer="708"/>
          <w:pgNumType w:start="5"/>
          <w:cols w:space="708"/>
        </w:sectPr>
      </w:pPr>
    </w:p>
    <w:p>
      <w:pPr>
        <w:pStyle w:val="BodyText"/>
        <w:spacing w:before="54"/>
        <w:ind w:left="1065"/>
      </w:pPr>
      <w:r>
        <w:rPr>
          <w:rFonts w:ascii="宋体" w:eastAsia="宋体" w:hint="eastAsia"/>
        </w:rPr>
        <w:t>1</w:t>
      </w:r>
      <w:r>
        <w:t>、短期偿债能力同业比较分析、历史比较分析和预算比较分析的区别与联系</w:t>
      </w:r>
    </w:p>
    <w:p>
      <w:pPr>
        <w:pStyle w:val="BodyText"/>
        <w:spacing w:before="33" w:line="254" w:lineRule="auto"/>
        <w:ind w:left="431" w:right="9462" w:firstLine="633"/>
      </w:pPr>
      <w:r>
        <w:rPr>
          <w:rFonts w:ascii="宋体" w:eastAsia="宋体" w:hint="eastAsia"/>
        </w:rPr>
        <w:t>2</w:t>
      </w:r>
      <w:r>
        <w:t>、影响短期偿债能力的表外因素第一节 短期偿债能力的衡量</w:t>
      </w:r>
    </w:p>
    <w:p>
      <w:pPr>
        <w:pStyle w:val="BodyText"/>
        <w:spacing w:before="2" w:line="254" w:lineRule="auto"/>
        <w:ind w:left="431" w:right="11200"/>
      </w:pPr>
      <w:r>
        <w:rPr>
          <w:spacing w:val="-2"/>
        </w:rPr>
        <w:t>一、短期偿债能力的概念</w:t>
      </w:r>
      <w:r>
        <w:t>二、营运资本</w:t>
      </w:r>
    </w:p>
    <w:p>
      <w:pPr>
        <w:pStyle w:val="BodyText"/>
        <w:spacing w:before="2" w:line="254" w:lineRule="auto"/>
        <w:ind w:left="431" w:right="12784"/>
        <w:jc w:val="both"/>
      </w:pPr>
      <w:r>
        <w:rPr>
          <w:spacing w:val="-3"/>
        </w:rPr>
        <w:t>三、流动比率四、速动比率五、现金比率</w:t>
      </w:r>
    </w:p>
    <w:p>
      <w:pPr>
        <w:pStyle w:val="BodyText"/>
        <w:spacing w:before="3" w:line="254" w:lineRule="auto"/>
        <w:ind w:left="431" w:right="10729"/>
      </w:pPr>
      <w:r>
        <w:rPr>
          <w:spacing w:val="1"/>
        </w:rPr>
        <w:t>第二节 短期偿债能力的分析</w:t>
      </w:r>
      <w:r>
        <w:t>一、同业比较分析</w:t>
      </w:r>
    </w:p>
    <w:p>
      <w:pPr>
        <w:pStyle w:val="BodyText"/>
        <w:spacing w:before="3" w:line="254" w:lineRule="auto"/>
        <w:ind w:left="431" w:right="12151"/>
      </w:pPr>
      <w:r>
        <w:rPr>
          <w:spacing w:val="-3"/>
        </w:rPr>
        <w:t>二、历史比较分析三、预算比较分析</w:t>
      </w:r>
    </w:p>
    <w:p>
      <w:pPr>
        <w:spacing w:before="3" w:line="254" w:lineRule="auto"/>
        <w:ind w:left="431" w:right="9933" w:firstLine="0"/>
        <w:jc w:val="left"/>
        <w:rPr>
          <w:b/>
          <w:sz w:val="31"/>
        </w:rPr>
      </w:pPr>
      <w:r>
        <w:rPr>
          <w:spacing w:val="-2"/>
          <w:sz w:val="31"/>
        </w:rPr>
        <w:t>四、影响短期偿债能力的表外项目</w:t>
      </w:r>
      <w:r>
        <w:rPr>
          <w:b/>
          <w:sz w:val="31"/>
        </w:rPr>
        <w:t>长期偿债能力分析</w:t>
      </w:r>
    </w:p>
    <w:p>
      <w:pPr>
        <w:pStyle w:val="BodyText"/>
        <w:spacing w:before="42"/>
        <w:ind w:left="431"/>
        <w:rPr>
          <w:rFonts w:ascii="宋体" w:eastAsia="宋体" w:hint="eastAsia"/>
        </w:rPr>
      </w:pPr>
      <w:r>
        <w:rPr>
          <w:rFonts w:ascii="宋体" w:eastAsia="宋体" w:hint="eastAsia"/>
        </w:rPr>
        <w:t>[</w:t>
      </w:r>
      <w:r>
        <w:t>教学目的</w:t>
      </w:r>
      <w:r>
        <w:rPr>
          <w:rFonts w:ascii="宋体" w:eastAsia="宋体" w:hint="eastAsia"/>
        </w:rPr>
        <w:t>]</w:t>
      </w:r>
    </w:p>
    <w:p>
      <w:pPr>
        <w:pStyle w:val="ListParagraph"/>
        <w:numPr>
          <w:ilvl w:val="1"/>
          <w:numId w:val="26"/>
        </w:numPr>
        <w:tabs>
          <w:tab w:val="left" w:pos="1697"/>
        </w:tabs>
        <w:spacing w:before="32" w:after="0" w:line="504" w:lineRule="exact"/>
        <w:ind w:left="1696" w:right="0" w:hanging="477"/>
        <w:jc w:val="left"/>
        <w:rPr>
          <w:sz w:val="31"/>
        </w:rPr>
      </w:pPr>
      <w:r>
        <w:rPr>
          <w:sz w:val="31"/>
        </w:rPr>
        <w:t>了解长期偿债能力的含义；</w:t>
      </w:r>
    </w:p>
    <w:p>
      <w:pPr>
        <w:pStyle w:val="ListParagraph"/>
        <w:numPr>
          <w:ilvl w:val="1"/>
          <w:numId w:val="26"/>
        </w:numPr>
        <w:tabs>
          <w:tab w:val="left" w:pos="1697"/>
        </w:tabs>
        <w:spacing w:before="0" w:after="0" w:line="504" w:lineRule="exact"/>
        <w:ind w:left="1696" w:right="0" w:hanging="473"/>
        <w:jc w:val="left"/>
        <w:rPr>
          <w:sz w:val="31"/>
        </w:rPr>
      </w:pPr>
      <w:r>
        <w:rPr>
          <w:sz w:val="31"/>
        </w:rPr>
        <w:t>理解长期偿债能力分析的各种衡量指标；</w:t>
      </w:r>
    </w:p>
    <w:p>
      <w:pPr>
        <w:pStyle w:val="ListParagraph"/>
        <w:numPr>
          <w:ilvl w:val="1"/>
          <w:numId w:val="26"/>
        </w:numPr>
        <w:tabs>
          <w:tab w:val="left" w:pos="1697"/>
        </w:tabs>
        <w:spacing w:before="31" w:after="0" w:line="240" w:lineRule="auto"/>
        <w:ind w:left="1696" w:right="0" w:hanging="473"/>
        <w:jc w:val="left"/>
        <w:rPr>
          <w:sz w:val="31"/>
        </w:rPr>
      </w:pPr>
      <w:r>
        <w:rPr>
          <w:sz w:val="31"/>
        </w:rPr>
        <w:t>理解影响长期偿债能力的各种因素；</w:t>
      </w:r>
    </w:p>
    <w:p>
      <w:pPr>
        <w:pStyle w:val="ListParagraph"/>
        <w:numPr>
          <w:ilvl w:val="1"/>
          <w:numId w:val="26"/>
        </w:numPr>
        <w:tabs>
          <w:tab w:val="left" w:pos="1700"/>
        </w:tabs>
        <w:spacing w:before="32" w:after="0" w:line="254" w:lineRule="auto"/>
        <w:ind w:left="431" w:right="291" w:firstLine="792"/>
        <w:jc w:val="left"/>
        <w:rPr>
          <w:sz w:val="31"/>
        </w:rPr>
      </w:pPr>
      <w:r>
        <w:rPr>
          <w:spacing w:val="-1"/>
          <w:sz w:val="31"/>
        </w:rPr>
        <w:t>掌握长期偿债能力分析的基本原理和方法， 包括应用长期偿债能力各比率进行分析和影响长期</w:t>
      </w:r>
      <w:r>
        <w:rPr>
          <w:sz w:val="31"/>
        </w:rPr>
        <w:t>偿债能力的因素分析。</w:t>
      </w:r>
    </w:p>
    <w:p>
      <w:pPr>
        <w:pStyle w:val="BodyText"/>
        <w:spacing w:before="43" w:line="504" w:lineRule="exact"/>
        <w:ind w:left="431"/>
        <w:rPr>
          <w:rFonts w:ascii="宋体" w:eastAsia="宋体" w:hint="eastAsia"/>
        </w:rPr>
      </w:pPr>
      <w:r>
        <w:rPr>
          <w:rFonts w:ascii="宋体" w:eastAsia="宋体" w:hint="eastAsia"/>
        </w:rPr>
        <w:t>[</w:t>
      </w:r>
      <w:r>
        <w:rPr>
          <w:spacing w:val="-2"/>
        </w:rPr>
        <w:t>教学重点与难点</w:t>
      </w:r>
      <w:r>
        <w:rPr>
          <w:rFonts w:ascii="宋体" w:eastAsia="宋体" w:hint="eastAsia"/>
        </w:rPr>
        <w:t>]</w:t>
      </w:r>
    </w:p>
    <w:p>
      <w:pPr>
        <w:pStyle w:val="Heading2"/>
        <w:spacing w:before="0" w:line="504" w:lineRule="exact"/>
        <w:ind w:left="431" w:firstLine="0"/>
      </w:pPr>
      <w:r>
        <w:t>本章重点：</w:t>
      </w:r>
    </w:p>
    <w:p>
      <w:pPr>
        <w:pStyle w:val="BodyText"/>
        <w:spacing w:before="32" w:line="254" w:lineRule="auto"/>
        <w:ind w:left="431" w:right="5815" w:firstLine="633"/>
        <w:rPr>
          <w:b/>
        </w:rPr>
      </w:pPr>
      <w:r>
        <w:rPr>
          <w:spacing w:val="-1"/>
        </w:rPr>
        <w:t>长期偿债能力评价指标的计算和调整以及这些指标的分析。</w:t>
      </w:r>
      <w:r>
        <w:rPr>
          <w:b/>
        </w:rPr>
        <w:t>本章难点：</w:t>
      </w:r>
    </w:p>
    <w:p>
      <w:pPr>
        <w:pStyle w:val="BodyText"/>
        <w:spacing w:before="2"/>
        <w:ind w:left="1065"/>
      </w:pPr>
      <w:r>
        <w:rPr>
          <w:rFonts w:ascii="宋体" w:eastAsia="宋体" w:hint="eastAsia"/>
        </w:rPr>
        <w:t>1</w:t>
      </w:r>
      <w:r>
        <w:t>、掌握影响长期偿债能力的其他因素</w:t>
      </w:r>
    </w:p>
    <w:p>
      <w:pPr>
        <w:pStyle w:val="BodyText"/>
        <w:spacing w:before="31" w:line="254" w:lineRule="auto"/>
        <w:ind w:left="431" w:right="8828" w:firstLine="633"/>
      </w:pPr>
      <w:r>
        <w:rPr>
          <w:rFonts w:ascii="宋体" w:eastAsia="宋体" w:hint="eastAsia"/>
          <w:spacing w:val="-4"/>
        </w:rPr>
        <w:t>2</w:t>
      </w:r>
      <w:r>
        <w:t xml:space="preserve">、理解偿债能力与获利能力的关系  </w:t>
      </w:r>
      <w:r>
        <w:rPr>
          <w:spacing w:val="-1"/>
        </w:rPr>
        <w:t>第一节 利用资产负债表分析长期偿债能力</w:t>
      </w:r>
      <w:r>
        <w:t>一、长期偿债能力的概念</w:t>
      </w:r>
    </w:p>
    <w:p>
      <w:pPr>
        <w:pStyle w:val="BodyText"/>
        <w:spacing w:before="4"/>
        <w:ind w:left="431"/>
      </w:pPr>
      <w:r>
        <w:t>二、资产负债率分析</w:t>
      </w:r>
    </w:p>
    <w:p>
      <w:pPr>
        <w:pStyle w:val="BodyText"/>
        <w:spacing w:before="31"/>
        <w:ind w:left="1065"/>
      </w:pPr>
      <w:r>
        <w:t>（一）资产负债率的计算</w:t>
      </w:r>
    </w:p>
    <w:p>
      <w:pPr>
        <w:pStyle w:val="BodyText"/>
        <w:spacing w:before="33" w:line="254" w:lineRule="auto"/>
        <w:ind w:left="431" w:right="10567" w:firstLine="633"/>
      </w:pPr>
      <w:r>
        <w:t>（二）资产负债率的分析三、产权比率分析</w:t>
      </w:r>
    </w:p>
    <w:p>
      <w:pPr>
        <w:pStyle w:val="BodyText"/>
        <w:spacing w:before="2"/>
        <w:ind w:left="1065"/>
      </w:pPr>
      <w:r>
        <w:t>（一）产权比率的计算</w:t>
      </w:r>
    </w:p>
    <w:p>
      <w:pPr>
        <w:pStyle w:val="BodyText"/>
        <w:spacing w:before="31" w:line="254" w:lineRule="auto"/>
        <w:ind w:left="431" w:right="10885" w:firstLine="633"/>
      </w:pPr>
      <w:r>
        <w:t>（二）产权比率的分析四、有形净值债务率分析</w:t>
      </w:r>
    </w:p>
    <w:p>
      <w:pPr>
        <w:pStyle w:val="BodyText"/>
        <w:spacing w:before="3"/>
        <w:ind w:left="1065"/>
      </w:pPr>
      <w:r>
        <w:t>（一）有形净值债务率的计算</w:t>
      </w:r>
    </w:p>
    <w:p>
      <w:pPr>
        <w:pStyle w:val="BodyText"/>
        <w:spacing w:before="31"/>
        <w:ind w:left="1065"/>
      </w:pPr>
      <w:r>
        <w:t>（二）有形净值债务率的分析</w:t>
      </w:r>
    </w:p>
    <w:p>
      <w:pPr>
        <w:pStyle w:val="BodyText"/>
        <w:spacing w:before="32"/>
        <w:ind w:left="431"/>
      </w:pPr>
      <w:r>
        <w:t>第二节 利用利润表分析长期偿债能力</w:t>
      </w:r>
    </w:p>
    <w:p>
      <w:pPr>
        <w:spacing w:after="0"/>
        <w:sectPr>
          <w:pgSz w:w="17860" w:h="25260"/>
          <w:pgMar w:top="1860" w:right="860" w:bottom="280" w:left="1880" w:header="708" w:footer="708"/>
          <w:pgNumType w:start="6"/>
          <w:cols w:space="708"/>
        </w:sectPr>
      </w:pPr>
    </w:p>
    <w:p>
      <w:pPr>
        <w:pStyle w:val="BodyText"/>
        <w:spacing w:before="54"/>
        <w:ind w:left="431"/>
      </w:pPr>
      <w:r>
        <w:t>一、利息保障倍数分析</w:t>
      </w:r>
    </w:p>
    <w:p>
      <w:pPr>
        <w:pStyle w:val="BodyText"/>
        <w:spacing w:before="33"/>
        <w:ind w:left="431"/>
      </w:pPr>
      <w:r>
        <w:t>二、固定费用偿付能力分析</w:t>
      </w:r>
    </w:p>
    <w:p>
      <w:pPr>
        <w:pStyle w:val="BodyText"/>
        <w:spacing w:before="31" w:line="254" w:lineRule="auto"/>
        <w:ind w:left="431" w:right="8828"/>
      </w:pPr>
      <w:r>
        <w:t>第三节 影响企业长期偿债能力的其他因素一、长期资产和长期债务</w:t>
      </w:r>
    </w:p>
    <w:p>
      <w:pPr>
        <w:pStyle w:val="BodyText"/>
        <w:spacing w:before="2" w:line="254" w:lineRule="auto"/>
        <w:ind w:left="431" w:right="12469"/>
      </w:pPr>
      <w:r>
        <w:t xml:space="preserve">二、长期租赁 </w:t>
      </w:r>
      <w:r>
        <w:rPr>
          <w:spacing w:val="-3"/>
        </w:rPr>
        <w:t>三、退休金计划</w:t>
      </w:r>
      <w:r>
        <w:t>四、或有事项 五、承诺</w:t>
      </w:r>
    </w:p>
    <w:p>
      <w:pPr>
        <w:pStyle w:val="BodyText"/>
        <w:spacing w:before="5"/>
        <w:ind w:left="431"/>
      </w:pPr>
      <w:r>
        <w:t>六、金融工具</w:t>
      </w:r>
    </w:p>
    <w:p>
      <w:pPr>
        <w:pStyle w:val="Heading2"/>
        <w:spacing w:before="31"/>
        <w:ind w:left="431" w:firstLine="0"/>
      </w:pPr>
      <w:r>
        <w:t>第五章 营运能力分析</w:t>
      </w:r>
    </w:p>
    <w:p>
      <w:pPr>
        <w:pStyle w:val="BodyText"/>
        <w:spacing w:before="72"/>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3" w:line="504" w:lineRule="exact"/>
        <w:ind w:left="1061"/>
      </w:pPr>
      <w:r>
        <w:rPr>
          <w:rFonts w:ascii="宋体" w:eastAsia="宋体" w:hint="eastAsia"/>
        </w:rPr>
        <w:t>1</w:t>
      </w:r>
      <w:r>
        <w:t>、</w:t>
      </w:r>
      <w:r>
        <w:rPr>
          <w:rFonts w:ascii="宋体" w:eastAsia="宋体" w:hint="eastAsia"/>
        </w:rPr>
        <w:t>?</w:t>
      </w:r>
      <w:r>
        <w:t>了解资产运用效率的含义及其分析目的</w:t>
      </w:r>
    </w:p>
    <w:p>
      <w:pPr>
        <w:pStyle w:val="BodyText"/>
        <w:spacing w:line="504" w:lineRule="exact"/>
        <w:ind w:left="1065"/>
      </w:pPr>
      <w:r>
        <w:rPr>
          <w:rFonts w:ascii="宋体" w:eastAsia="宋体" w:hint="eastAsia"/>
        </w:rPr>
        <w:t>2</w:t>
      </w:r>
      <w:r>
        <w:t>、</w:t>
      </w:r>
      <w:r>
        <w:rPr>
          <w:rFonts w:ascii="宋体" w:eastAsia="宋体" w:hint="eastAsia"/>
        </w:rPr>
        <w:t>?</w:t>
      </w:r>
      <w:r>
        <w:t>掌握资产运用效卑的各种衡量指标</w:t>
      </w:r>
    </w:p>
    <w:p>
      <w:pPr>
        <w:pStyle w:val="BodyText"/>
        <w:spacing w:before="31"/>
        <w:ind w:left="1065"/>
      </w:pPr>
      <w:r>
        <w:rPr>
          <w:rFonts w:ascii="宋体" w:eastAsia="宋体" w:hint="eastAsia"/>
        </w:rPr>
        <w:t>3</w:t>
      </w:r>
      <w:r>
        <w:t>、 理解影响资产周转率的各种因素</w:t>
      </w:r>
    </w:p>
    <w:p>
      <w:pPr>
        <w:pStyle w:val="BodyText"/>
        <w:spacing w:before="32"/>
        <w:ind w:left="1065"/>
      </w:pPr>
      <w:r>
        <w:rPr>
          <w:rFonts w:ascii="宋体" w:eastAsia="宋体" w:hint="eastAsia"/>
        </w:rPr>
        <w:t>4</w:t>
      </w:r>
      <w:r>
        <w:t>、 掌握资产运用效率的趋势分析及其意义</w:t>
      </w:r>
    </w:p>
    <w:p>
      <w:pPr>
        <w:pStyle w:val="BodyText"/>
        <w:spacing w:before="32"/>
        <w:ind w:left="1065"/>
      </w:pPr>
      <w:r>
        <w:rPr>
          <w:rFonts w:ascii="宋体" w:eastAsia="宋体" w:hint="eastAsia"/>
        </w:rPr>
        <w:t>5</w:t>
      </w:r>
      <w:r>
        <w:t>、 掌握资产周转率的同业比较分析及其意义</w:t>
      </w:r>
    </w:p>
    <w:p>
      <w:pPr>
        <w:pStyle w:val="BodyText"/>
        <w:spacing w:before="71" w:line="504" w:lineRule="exact"/>
        <w:ind w:left="431"/>
        <w:rPr>
          <w:rFonts w:ascii="宋体" w:eastAsia="宋体" w:hint="eastAsia"/>
        </w:rPr>
      </w:pPr>
      <w:r>
        <w:rPr>
          <w:rFonts w:ascii="宋体" w:eastAsia="宋体" w:hint="eastAsia"/>
        </w:rPr>
        <w:t>[</w:t>
      </w:r>
      <w:r>
        <w:t>教学重点与难点</w:t>
      </w:r>
      <w:r>
        <w:rPr>
          <w:rFonts w:ascii="宋体" w:eastAsia="宋体" w:hint="eastAsia"/>
        </w:rPr>
        <w:t>]</w:t>
      </w:r>
    </w:p>
    <w:p>
      <w:pPr>
        <w:pStyle w:val="Heading2"/>
        <w:spacing w:before="0" w:line="504" w:lineRule="exact"/>
        <w:ind w:left="431" w:firstLine="0"/>
      </w:pPr>
      <w:r>
        <w:t>本章重点：</w:t>
      </w:r>
    </w:p>
    <w:p>
      <w:pPr>
        <w:pStyle w:val="BodyText"/>
        <w:spacing w:before="32"/>
        <w:ind w:left="1065"/>
      </w:pPr>
      <w:r>
        <w:rPr>
          <w:rFonts w:ascii="宋体" w:eastAsia="宋体" w:hint="eastAsia"/>
        </w:rPr>
        <w:t>1</w:t>
      </w:r>
      <w:r>
        <w:t>．了解资产运用效率的含义及其分析目的</w:t>
      </w:r>
    </w:p>
    <w:p>
      <w:pPr>
        <w:pStyle w:val="BodyText"/>
        <w:spacing w:before="32"/>
        <w:ind w:left="1065"/>
      </w:pPr>
      <w:r>
        <w:rPr>
          <w:rFonts w:ascii="宋体" w:eastAsia="宋体" w:hint="eastAsia"/>
        </w:rPr>
        <w:t>2</w:t>
      </w:r>
      <w:r>
        <w:t>、 掌握资产运用效卑的各种衡量指标</w:t>
      </w:r>
    </w:p>
    <w:p>
      <w:pPr>
        <w:pStyle w:val="BodyText"/>
        <w:spacing w:before="32"/>
        <w:ind w:left="1065"/>
      </w:pPr>
      <w:r>
        <w:rPr>
          <w:rFonts w:ascii="宋体" w:eastAsia="宋体" w:hint="eastAsia"/>
        </w:rPr>
        <w:t>3</w:t>
      </w:r>
      <w:r>
        <w:t>、 理解影响资产周转率的各种因素</w:t>
      </w:r>
    </w:p>
    <w:p>
      <w:pPr>
        <w:pStyle w:val="BodyText"/>
        <w:spacing w:before="31"/>
        <w:ind w:left="1065"/>
      </w:pPr>
      <w:r>
        <w:rPr>
          <w:rFonts w:ascii="宋体" w:eastAsia="宋体" w:hint="eastAsia"/>
        </w:rPr>
        <w:t>4</w:t>
      </w:r>
      <w:r>
        <w:t>、 掌握资产运用效率的趋势分析及其意义</w:t>
      </w:r>
    </w:p>
    <w:p>
      <w:pPr>
        <w:pStyle w:val="BodyText"/>
        <w:spacing w:before="32" w:line="254" w:lineRule="auto"/>
        <w:ind w:left="431" w:right="7719" w:firstLine="633"/>
        <w:rPr>
          <w:b/>
        </w:rPr>
      </w:pPr>
      <w:r>
        <w:rPr>
          <w:rFonts w:ascii="宋体" w:eastAsia="宋体" w:hint="eastAsia"/>
        </w:rPr>
        <w:t>5</w:t>
      </w:r>
      <w:r>
        <w:t>、 掌握资产周转率的同业比较分析及其意义</w:t>
      </w:r>
      <w:r>
        <w:rPr>
          <w:b/>
        </w:rPr>
        <w:t>本章难点：</w:t>
      </w:r>
    </w:p>
    <w:p>
      <w:pPr>
        <w:pStyle w:val="ListParagraph"/>
        <w:numPr>
          <w:ilvl w:val="0"/>
          <w:numId w:val="23"/>
        </w:numPr>
        <w:tabs>
          <w:tab w:val="left" w:pos="1542"/>
        </w:tabs>
        <w:spacing w:before="2" w:after="0" w:line="254" w:lineRule="auto"/>
        <w:ind w:left="431" w:right="271" w:firstLine="633"/>
        <w:jc w:val="left"/>
        <w:rPr>
          <w:sz w:val="31"/>
        </w:rPr>
      </w:pPr>
      <w:r>
        <w:rPr>
          <w:spacing w:val="-1"/>
          <w:sz w:val="31"/>
        </w:rPr>
        <w:t>资产运用效率的各种衡量指标，了解它们的含义，掌握它们的计算，并且应理解指标计算中应注</w:t>
      </w:r>
      <w:r>
        <w:rPr>
          <w:sz w:val="31"/>
        </w:rPr>
        <w:t>意的各种问题。</w:t>
      </w:r>
    </w:p>
    <w:p>
      <w:pPr>
        <w:pStyle w:val="ListParagraph"/>
        <w:numPr>
          <w:ilvl w:val="0"/>
          <w:numId w:val="23"/>
        </w:numPr>
        <w:tabs>
          <w:tab w:val="left" w:pos="1538"/>
        </w:tabs>
        <w:spacing w:before="2" w:after="0" w:line="240" w:lineRule="auto"/>
        <w:ind w:left="1538" w:right="0" w:hanging="473"/>
        <w:jc w:val="left"/>
        <w:rPr>
          <w:sz w:val="31"/>
        </w:rPr>
      </w:pPr>
      <w:r>
        <w:rPr>
          <w:sz w:val="31"/>
        </w:rPr>
        <w:t>理解资产运用效率的影响因素是改善和提高资产运用效率的前提和基础</w:t>
      </w:r>
    </w:p>
    <w:p>
      <w:pPr>
        <w:pStyle w:val="ListParagraph"/>
        <w:numPr>
          <w:ilvl w:val="0"/>
          <w:numId w:val="23"/>
        </w:numPr>
        <w:tabs>
          <w:tab w:val="left" w:pos="1538"/>
        </w:tabs>
        <w:spacing w:before="32" w:after="0" w:line="254" w:lineRule="auto"/>
        <w:ind w:left="431" w:right="6927" w:firstLine="633"/>
        <w:jc w:val="left"/>
        <w:rPr>
          <w:sz w:val="31"/>
        </w:rPr>
      </w:pPr>
      <w:r>
        <w:rPr>
          <w:spacing w:val="-1"/>
          <w:sz w:val="31"/>
        </w:rPr>
        <w:t>评价资产运用效率的趋势分析和同业分析方法。</w:t>
      </w:r>
      <w:r>
        <w:rPr>
          <w:sz w:val="31"/>
        </w:rPr>
        <w:t>第一节 资产运用效率的衡量</w:t>
      </w:r>
    </w:p>
    <w:p>
      <w:pPr>
        <w:pStyle w:val="BodyText"/>
        <w:spacing w:before="2"/>
        <w:ind w:left="431"/>
      </w:pPr>
      <w:r>
        <w:t>一、资产运用效率的概念</w:t>
      </w:r>
    </w:p>
    <w:p>
      <w:pPr>
        <w:pStyle w:val="BodyText"/>
        <w:spacing w:before="33" w:line="254" w:lineRule="auto"/>
        <w:ind w:left="431" w:right="6133" w:firstLine="633"/>
      </w:pPr>
      <w:r>
        <w:rPr>
          <w:spacing w:val="-1"/>
        </w:rPr>
        <w:t>资产运用效率，是指营业净收入与营运资产的比例关系。</w:t>
      </w:r>
      <w:r>
        <w:t>二、资产运用效率比率</w:t>
      </w:r>
    </w:p>
    <w:p>
      <w:pPr>
        <w:pStyle w:val="BodyText"/>
        <w:spacing w:before="2"/>
        <w:ind w:left="1065"/>
      </w:pPr>
      <w:r>
        <w:t>（一）现金周转率</w:t>
      </w:r>
    </w:p>
    <w:p>
      <w:pPr>
        <w:pStyle w:val="BodyText"/>
        <w:spacing w:before="31"/>
        <w:ind w:left="1065"/>
      </w:pPr>
      <w:r>
        <w:t>（二）应收账款周转率</w:t>
      </w:r>
    </w:p>
    <w:p>
      <w:pPr>
        <w:pStyle w:val="BodyText"/>
        <w:spacing w:before="32"/>
        <w:ind w:left="1065"/>
      </w:pPr>
      <w:r>
        <w:t>（三）存货周转率</w:t>
      </w:r>
    </w:p>
    <w:p>
      <w:pPr>
        <w:pStyle w:val="BodyText"/>
        <w:spacing w:before="32"/>
        <w:ind w:left="1065"/>
      </w:pPr>
      <w:r>
        <w:t>（四）营运资产周转率</w:t>
      </w:r>
    </w:p>
    <w:p>
      <w:pPr>
        <w:pStyle w:val="BodyText"/>
        <w:spacing w:before="31"/>
        <w:ind w:left="1065"/>
      </w:pPr>
      <w:r>
        <w:t>（五）固定资产周转率</w:t>
      </w:r>
    </w:p>
    <w:p>
      <w:pPr>
        <w:pStyle w:val="BodyText"/>
        <w:spacing w:before="32"/>
        <w:ind w:left="1065"/>
      </w:pPr>
      <w:r>
        <w:t>（六）其他资产周转率</w:t>
      </w:r>
    </w:p>
    <w:p>
      <w:pPr>
        <w:spacing w:after="0"/>
        <w:sectPr>
          <w:pgSz w:w="17860" w:h="25260"/>
          <w:pgMar w:top="1860" w:right="860" w:bottom="280" w:left="1880" w:header="708" w:footer="708"/>
          <w:pgNumType w:start="7"/>
          <w:cols w:space="708"/>
        </w:sectPr>
      </w:pPr>
    </w:p>
    <w:p>
      <w:pPr>
        <w:pStyle w:val="BodyText"/>
        <w:spacing w:before="54"/>
        <w:ind w:left="1065"/>
      </w:pPr>
      <w:r>
        <w:t>（七）总资产周转率</w:t>
      </w:r>
    </w:p>
    <w:p>
      <w:pPr>
        <w:pStyle w:val="BodyText"/>
        <w:spacing w:before="33"/>
        <w:ind w:left="431"/>
      </w:pPr>
      <w:r>
        <w:t>第二节 资产运用效率的分析</w:t>
      </w:r>
    </w:p>
    <w:p>
      <w:pPr>
        <w:pStyle w:val="BodyText"/>
        <w:spacing w:before="31"/>
        <w:ind w:left="431"/>
      </w:pPr>
      <w:r>
        <w:t>一、影响总资产周转率的因素分析</w:t>
      </w:r>
    </w:p>
    <w:p>
      <w:pPr>
        <w:spacing w:before="32" w:line="254" w:lineRule="auto"/>
        <w:ind w:left="431" w:right="8983" w:firstLine="0"/>
        <w:jc w:val="left"/>
        <w:rPr>
          <w:b/>
          <w:sz w:val="31"/>
        </w:rPr>
      </w:pPr>
      <w:r>
        <w:rPr>
          <w:sz w:val="31"/>
        </w:rPr>
        <w:t>二、资产周转率对投资报酬率的影响分析</w:t>
      </w:r>
      <w:r>
        <w:rPr>
          <w:b/>
          <w:sz w:val="31"/>
        </w:rPr>
        <w:t>第六章 获利能力分析</w:t>
      </w:r>
    </w:p>
    <w:p>
      <w:pPr>
        <w:pStyle w:val="BodyText"/>
        <w:spacing w:before="42"/>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2" w:line="504" w:lineRule="exact"/>
        <w:ind w:left="1061"/>
      </w:pPr>
      <w:r>
        <w:rPr>
          <w:rFonts w:ascii="宋体" w:eastAsia="宋体" w:hint="eastAsia"/>
        </w:rPr>
        <w:t>1</w:t>
      </w:r>
      <w:r>
        <w:t>、了解获利能力分析的含义及其分析前提</w:t>
      </w:r>
    </w:p>
    <w:p>
      <w:pPr>
        <w:pStyle w:val="BodyText"/>
        <w:spacing w:line="504" w:lineRule="exact"/>
        <w:ind w:left="1065"/>
      </w:pPr>
      <w:r>
        <w:rPr>
          <w:rFonts w:ascii="宋体" w:eastAsia="宋体" w:hint="eastAsia"/>
        </w:rPr>
        <w:t>2</w:t>
      </w:r>
      <w:r>
        <w:t>、 掌握评价企业获利能力的各种指标的计算</w:t>
      </w:r>
    </w:p>
    <w:p>
      <w:pPr>
        <w:pStyle w:val="BodyText"/>
        <w:spacing w:before="31"/>
        <w:ind w:left="1065"/>
      </w:pPr>
      <w:r>
        <w:rPr>
          <w:rFonts w:ascii="宋体" w:eastAsia="宋体" w:hint="eastAsia"/>
        </w:rPr>
        <w:t>3</w:t>
      </w:r>
      <w:r>
        <w:t>、 理解销售毛利的影响因素</w:t>
      </w:r>
    </w:p>
    <w:p>
      <w:pPr>
        <w:pStyle w:val="BodyText"/>
        <w:spacing w:before="32"/>
        <w:ind w:left="1065"/>
      </w:pPr>
      <w:r>
        <w:rPr>
          <w:rFonts w:ascii="宋体" w:eastAsia="宋体" w:hint="eastAsia"/>
        </w:rPr>
        <w:t>4</w:t>
      </w:r>
      <w:r>
        <w:t>、 掌握单一品种和多品种的销售毛利变动分析</w:t>
      </w:r>
    </w:p>
    <w:p>
      <w:pPr>
        <w:pStyle w:val="BodyText"/>
        <w:spacing w:before="32"/>
        <w:ind w:left="1065"/>
      </w:pPr>
      <w:r>
        <w:rPr>
          <w:rFonts w:ascii="宋体" w:eastAsia="宋体" w:hint="eastAsia"/>
        </w:rPr>
        <w:t>5</w:t>
      </w:r>
      <w:r>
        <w:t>、 掌握营业利润率的影响因素及其比较分析</w:t>
      </w:r>
    </w:p>
    <w:p>
      <w:pPr>
        <w:pStyle w:val="BodyText"/>
        <w:spacing w:before="32"/>
        <w:ind w:left="1065"/>
      </w:pPr>
      <w:r>
        <w:rPr>
          <w:rFonts w:ascii="宋体" w:eastAsia="宋体" w:hint="eastAsia"/>
        </w:rPr>
        <w:t>6</w:t>
      </w:r>
      <w:r>
        <w:t>、 掌握总资产收益率的趋势分析及其意义</w:t>
      </w:r>
    </w:p>
    <w:p>
      <w:pPr>
        <w:pStyle w:val="BodyText"/>
        <w:spacing w:before="32"/>
        <w:ind w:left="1065"/>
      </w:pPr>
      <w:r>
        <w:rPr>
          <w:rFonts w:ascii="宋体" w:eastAsia="宋体" w:hint="eastAsia"/>
          <w:spacing w:val="-4"/>
        </w:rPr>
        <w:t>7</w:t>
      </w:r>
      <w:r>
        <w:t>、   了解长期资本收益率的同业比较分析</w:t>
      </w:r>
    </w:p>
    <w:p>
      <w:pPr>
        <w:pStyle w:val="BodyText"/>
        <w:spacing w:before="31"/>
        <w:ind w:left="1065"/>
      </w:pPr>
      <w:r>
        <w:rPr>
          <w:rFonts w:ascii="宋体" w:eastAsia="宋体" w:hint="eastAsia"/>
          <w:spacing w:val="-4"/>
        </w:rPr>
        <w:t>8</w:t>
      </w:r>
      <w:r>
        <w:t>、   了解分部报告和中期报告分析的意义</w:t>
      </w:r>
    </w:p>
    <w:p>
      <w:pPr>
        <w:pStyle w:val="BodyText"/>
        <w:spacing w:before="72" w:line="504" w:lineRule="exact"/>
        <w:ind w:left="431"/>
        <w:rPr>
          <w:rFonts w:ascii="宋体" w:eastAsia="宋体" w:hint="eastAsia"/>
        </w:rPr>
      </w:pPr>
      <w:r>
        <w:rPr>
          <w:rFonts w:ascii="宋体" w:eastAsia="宋体" w:hint="eastAsia"/>
        </w:rPr>
        <w:t>[</w:t>
      </w:r>
      <w:r>
        <w:t>教学重点与难点</w:t>
      </w:r>
      <w:r>
        <w:rPr>
          <w:rFonts w:ascii="宋体" w:eastAsia="宋体" w:hint="eastAsia"/>
        </w:rPr>
        <w:t>]</w:t>
      </w:r>
    </w:p>
    <w:p>
      <w:pPr>
        <w:pStyle w:val="Heading2"/>
        <w:spacing w:before="0" w:line="504" w:lineRule="exact"/>
        <w:ind w:left="431" w:firstLine="0"/>
      </w:pPr>
      <w:r>
        <w:t>本章重点：</w:t>
      </w:r>
    </w:p>
    <w:p>
      <w:pPr>
        <w:pStyle w:val="ListParagraph"/>
        <w:numPr>
          <w:ilvl w:val="0"/>
          <w:numId w:val="27"/>
        </w:numPr>
        <w:tabs>
          <w:tab w:val="left" w:pos="1538"/>
        </w:tabs>
        <w:spacing w:before="32" w:after="0" w:line="240" w:lineRule="auto"/>
        <w:ind w:left="1538" w:right="0" w:hanging="473"/>
        <w:jc w:val="left"/>
        <w:rPr>
          <w:sz w:val="31"/>
        </w:rPr>
      </w:pPr>
      <w:r>
        <w:rPr>
          <w:sz w:val="31"/>
        </w:rPr>
        <w:t>销售毛利的分析， 尤其是对其变动影响因素的分析，这是提高企业获利能力的基础。</w:t>
      </w:r>
    </w:p>
    <w:p>
      <w:pPr>
        <w:pStyle w:val="ListParagraph"/>
        <w:numPr>
          <w:ilvl w:val="0"/>
          <w:numId w:val="27"/>
        </w:numPr>
        <w:tabs>
          <w:tab w:val="left" w:pos="1538"/>
        </w:tabs>
        <w:spacing w:before="31" w:after="0" w:line="240" w:lineRule="auto"/>
        <w:ind w:left="1538" w:right="0" w:hanging="473"/>
        <w:jc w:val="left"/>
        <w:rPr>
          <w:sz w:val="31"/>
        </w:rPr>
      </w:pPr>
      <w:r>
        <w:rPr>
          <w:sz w:val="31"/>
        </w:rPr>
        <w:t>经营杠杆对营业利润的变动影响。</w:t>
      </w:r>
    </w:p>
    <w:p>
      <w:pPr>
        <w:pStyle w:val="ListParagraph"/>
        <w:numPr>
          <w:ilvl w:val="0"/>
          <w:numId w:val="27"/>
        </w:numPr>
        <w:tabs>
          <w:tab w:val="left" w:pos="1538"/>
        </w:tabs>
        <w:spacing w:before="32" w:after="0" w:line="254" w:lineRule="auto"/>
        <w:ind w:left="431" w:right="295" w:firstLine="633"/>
        <w:jc w:val="left"/>
        <w:rPr>
          <w:sz w:val="31"/>
        </w:rPr>
      </w:pPr>
      <w:r>
        <w:rPr>
          <w:spacing w:val="-4"/>
          <w:sz w:val="31"/>
        </w:rPr>
        <w:t>总资产收益率是综合性最强的获利能力指标，通过对的分析该指标全    面了解企业经营状况及整体</w:t>
      </w:r>
      <w:r>
        <w:rPr>
          <w:sz w:val="31"/>
        </w:rPr>
        <w:t>获利能力。</w:t>
      </w:r>
    </w:p>
    <w:p>
      <w:pPr>
        <w:pStyle w:val="Heading2"/>
        <w:spacing w:before="3"/>
        <w:ind w:left="431" w:firstLine="0"/>
      </w:pPr>
      <w:r>
        <w:t>本章难点：</w:t>
      </w:r>
    </w:p>
    <w:p>
      <w:pPr>
        <w:pStyle w:val="BodyText"/>
        <w:spacing w:before="31" w:line="254" w:lineRule="auto"/>
        <w:ind w:left="431" w:right="234" w:firstLine="633"/>
      </w:pPr>
      <w:r>
        <w:t>为了更确切地反映企业的获利能力状况，  不同的获利能力指标中收益的概念不尽相同，应该注意结合指标需求选择恰当的收益额。</w:t>
      </w:r>
    </w:p>
    <w:p>
      <w:pPr>
        <w:pStyle w:val="BodyText"/>
        <w:spacing w:before="3" w:line="254" w:lineRule="auto"/>
        <w:ind w:left="431" w:right="11364"/>
      </w:pPr>
      <w:r>
        <w:t>第一节 销售利润率分析一、销售毛利分析</w:t>
      </w:r>
    </w:p>
    <w:p>
      <w:pPr>
        <w:pStyle w:val="BodyText"/>
        <w:spacing w:before="2"/>
        <w:ind w:left="1065"/>
      </w:pPr>
      <w:r>
        <w:t>（一）毛利的计算</w:t>
      </w:r>
    </w:p>
    <w:p>
      <w:pPr>
        <w:pStyle w:val="BodyText"/>
        <w:spacing w:before="31"/>
        <w:ind w:left="1065"/>
      </w:pPr>
      <w:r>
        <w:t>（二）影响毛利变动的因素</w:t>
      </w:r>
    </w:p>
    <w:p>
      <w:pPr>
        <w:pStyle w:val="BodyText"/>
        <w:spacing w:before="32"/>
        <w:ind w:left="1065"/>
      </w:pPr>
      <w:r>
        <w:t>（三）单一产品毛利变动分析</w:t>
      </w:r>
    </w:p>
    <w:p>
      <w:pPr>
        <w:pStyle w:val="BodyText"/>
        <w:spacing w:before="32" w:line="254" w:lineRule="auto"/>
        <w:ind w:left="431" w:right="9933" w:firstLine="633"/>
      </w:pPr>
      <w:r>
        <w:t>（四）多种产品毛利变动分析二、销售净利率分析</w:t>
      </w:r>
    </w:p>
    <w:p>
      <w:pPr>
        <w:pStyle w:val="BodyText"/>
        <w:spacing w:before="3"/>
        <w:ind w:left="1065"/>
      </w:pPr>
      <w:r>
        <w:t>（一）销售净利率的计算</w:t>
      </w:r>
    </w:p>
    <w:p>
      <w:pPr>
        <w:pStyle w:val="BodyText"/>
        <w:spacing w:before="31"/>
        <w:ind w:left="1065"/>
      </w:pPr>
      <w:r>
        <w:t>（二）影响销售净利率的因素</w:t>
      </w:r>
    </w:p>
    <w:p>
      <w:pPr>
        <w:pStyle w:val="BodyText"/>
        <w:spacing w:before="32"/>
        <w:ind w:left="1065"/>
      </w:pPr>
      <w:r>
        <w:t>（三）经营杠杆</w:t>
      </w:r>
    </w:p>
    <w:p>
      <w:pPr>
        <w:pStyle w:val="BodyText"/>
        <w:spacing w:before="31" w:line="254" w:lineRule="auto"/>
        <w:ind w:left="431" w:right="9301" w:firstLine="633"/>
      </w:pPr>
      <w:r>
        <w:t>（四）销售净利率分析：同业分析第二节 资产收益率分析</w:t>
      </w:r>
    </w:p>
    <w:p>
      <w:pPr>
        <w:pStyle w:val="BodyText"/>
        <w:spacing w:before="3"/>
        <w:ind w:left="431"/>
      </w:pPr>
      <w:r>
        <w:t>一、总资产收益率分析</w:t>
      </w:r>
    </w:p>
    <w:p>
      <w:pPr>
        <w:pStyle w:val="BodyText"/>
        <w:spacing w:before="31"/>
        <w:ind w:left="1065"/>
      </w:pPr>
      <w:r>
        <w:t>（一）总资产收益率的计算</w:t>
      </w:r>
    </w:p>
    <w:p>
      <w:pPr>
        <w:pStyle w:val="BodyText"/>
        <w:spacing w:before="32"/>
        <w:ind w:left="1065"/>
      </w:pPr>
      <w:r>
        <w:t>（二）影响总资产收益率的因素</w:t>
      </w:r>
    </w:p>
    <w:p>
      <w:pPr>
        <w:spacing w:after="0"/>
        <w:sectPr>
          <w:pgSz w:w="17860" w:h="25260"/>
          <w:pgMar w:top="1860" w:right="860" w:bottom="280" w:left="1880" w:header="708" w:footer="708"/>
          <w:pgNumType w:start="8"/>
          <w:cols w:space="708"/>
        </w:sectPr>
      </w:pPr>
    </w:p>
    <w:p>
      <w:pPr>
        <w:pStyle w:val="BodyText"/>
        <w:spacing w:before="54" w:line="254" w:lineRule="auto"/>
        <w:ind w:left="431" w:right="8666" w:firstLine="633"/>
      </w:pPr>
      <w:r>
        <w:t>（三）总资产收益率的分析：变动分析二、长期资本收益率分析</w:t>
      </w:r>
    </w:p>
    <w:p>
      <w:pPr>
        <w:pStyle w:val="BodyText"/>
        <w:spacing w:before="3"/>
        <w:ind w:left="1065"/>
      </w:pPr>
      <w:r>
        <w:t>（一）长期资本收益率的计算</w:t>
      </w:r>
    </w:p>
    <w:p>
      <w:pPr>
        <w:pStyle w:val="BodyText"/>
        <w:spacing w:before="32"/>
        <w:ind w:left="1065"/>
      </w:pPr>
      <w:r>
        <w:t>（二）影响长期资本收益率的因素</w:t>
      </w:r>
    </w:p>
    <w:p>
      <w:pPr>
        <w:pStyle w:val="BodyText"/>
        <w:spacing w:before="31" w:line="254" w:lineRule="auto"/>
        <w:ind w:left="431" w:right="8666" w:firstLine="633"/>
      </w:pPr>
      <w:r>
        <w:t>（三）长期资本收益率分析：同业分析三、分部报告和中期报告分析</w:t>
      </w:r>
    </w:p>
    <w:p>
      <w:pPr>
        <w:pStyle w:val="BodyText"/>
        <w:spacing w:before="3"/>
        <w:ind w:left="1065"/>
      </w:pPr>
      <w:r>
        <w:t>（一）分部报告分析</w:t>
      </w:r>
    </w:p>
    <w:p>
      <w:pPr>
        <w:tabs>
          <w:tab w:val="left" w:pos="1695"/>
        </w:tabs>
        <w:spacing w:before="31" w:line="264" w:lineRule="auto"/>
        <w:ind w:left="431" w:right="10887" w:firstLine="633"/>
        <w:jc w:val="left"/>
        <w:rPr>
          <w:rFonts w:ascii="宋体" w:eastAsia="宋体" w:hint="eastAsia"/>
          <w:sz w:val="31"/>
        </w:rPr>
      </w:pPr>
      <w:r>
        <w:rPr>
          <w:sz w:val="31"/>
        </w:rPr>
        <w:t xml:space="preserve">（二）中期报告分析 </w:t>
      </w:r>
      <w:r>
        <w:rPr>
          <w:b/>
          <w:sz w:val="31"/>
        </w:rPr>
        <w:t>第七章</w:t>
        <w:tab/>
        <w:t>财务状况综合分</w:t>
      </w:r>
      <w:r>
        <w:rPr>
          <w:b/>
          <w:spacing w:val="-17"/>
          <w:sz w:val="31"/>
        </w:rPr>
        <w:t>析</w:t>
      </w:r>
      <w:r>
        <w:rPr>
          <w:rFonts w:ascii="宋体" w:eastAsia="宋体" w:hint="eastAsia"/>
          <w:sz w:val="31"/>
        </w:rPr>
        <w:t>[</w:t>
      </w:r>
      <w:r>
        <w:rPr>
          <w:sz w:val="31"/>
        </w:rPr>
        <w:t>教学目</w:t>
      </w:r>
      <w:r>
        <w:rPr>
          <w:spacing w:val="-4"/>
          <w:sz w:val="31"/>
        </w:rPr>
        <w:t>的</w:t>
      </w:r>
      <w:r>
        <w:rPr>
          <w:rFonts w:ascii="宋体" w:eastAsia="宋体" w:hint="eastAsia"/>
          <w:sz w:val="31"/>
        </w:rPr>
        <w:t>]</w:t>
      </w:r>
    </w:p>
    <w:p>
      <w:pPr>
        <w:pStyle w:val="BodyText"/>
        <w:spacing w:line="487" w:lineRule="exact"/>
        <w:ind w:left="1061"/>
      </w:pPr>
      <w:r>
        <w:rPr>
          <w:rFonts w:ascii="宋体" w:eastAsia="宋体" w:hint="eastAsia"/>
        </w:rPr>
        <w:t>1</w:t>
      </w:r>
      <w:r>
        <w:t>、 了解杜邦分析的含义及其分析前提</w:t>
      </w:r>
    </w:p>
    <w:p>
      <w:pPr>
        <w:pStyle w:val="BodyText"/>
        <w:spacing w:line="505" w:lineRule="exact"/>
        <w:ind w:left="1065"/>
      </w:pPr>
      <w:r>
        <w:rPr>
          <w:rFonts w:ascii="宋体" w:eastAsia="宋体" w:hint="eastAsia"/>
        </w:rPr>
        <w:t>2</w:t>
      </w:r>
      <w:r>
        <w:t>、 掌握杜邦分析指标分解原理</w:t>
      </w:r>
    </w:p>
    <w:p>
      <w:pPr>
        <w:pStyle w:val="BodyText"/>
        <w:spacing w:before="32"/>
        <w:ind w:left="1065"/>
      </w:pPr>
      <w:r>
        <w:rPr>
          <w:rFonts w:ascii="宋体" w:eastAsia="宋体" w:hint="eastAsia"/>
        </w:rPr>
        <w:t>3</w:t>
      </w:r>
      <w:r>
        <w:t>、 理解沃尔评分法的含义</w:t>
      </w:r>
    </w:p>
    <w:p>
      <w:pPr>
        <w:pStyle w:val="BodyText"/>
        <w:spacing w:before="31"/>
        <w:ind w:left="1065"/>
      </w:pPr>
      <w:r>
        <w:rPr>
          <w:rFonts w:ascii="宋体" w:eastAsia="宋体" w:hint="eastAsia"/>
        </w:rPr>
        <w:t>4</w:t>
      </w:r>
      <w:r>
        <w:t>、 掌握沃尔评分法的计算程序</w:t>
      </w:r>
    </w:p>
    <w:p>
      <w:pPr>
        <w:pStyle w:val="BodyText"/>
        <w:spacing w:before="32"/>
        <w:ind w:left="1065"/>
      </w:pPr>
      <w:r>
        <w:rPr>
          <w:rFonts w:ascii="宋体" w:eastAsia="宋体" w:hint="eastAsia"/>
          <w:spacing w:val="-4"/>
        </w:rPr>
        <w:t>5</w:t>
      </w:r>
      <w:r>
        <w:t>、   掌握经济增加值的含义及计算公式</w:t>
      </w:r>
    </w:p>
    <w:p>
      <w:pPr>
        <w:pStyle w:val="BodyText"/>
        <w:spacing w:before="32"/>
        <w:ind w:left="1065"/>
      </w:pPr>
      <w:r>
        <w:rPr>
          <w:rFonts w:ascii="宋体" w:eastAsia="宋体" w:hint="eastAsia"/>
          <w:spacing w:val="-4"/>
        </w:rPr>
        <w:t>6</w:t>
      </w:r>
      <w:r>
        <w:t>、   掌握经济增加值计算需调整的项目</w:t>
      </w:r>
    </w:p>
    <w:p>
      <w:pPr>
        <w:pStyle w:val="BodyText"/>
        <w:spacing w:before="71" w:line="504" w:lineRule="exact"/>
        <w:ind w:left="431"/>
        <w:rPr>
          <w:rFonts w:ascii="宋体" w:eastAsia="宋体" w:hint="eastAsia"/>
        </w:rPr>
      </w:pPr>
      <w:r>
        <w:rPr>
          <w:rFonts w:ascii="宋体" w:eastAsia="宋体" w:hint="eastAsia"/>
        </w:rPr>
        <w:t>[</w:t>
      </w:r>
      <w:r>
        <w:t>教学重点与难点</w:t>
      </w:r>
      <w:r>
        <w:rPr>
          <w:rFonts w:ascii="宋体" w:eastAsia="宋体" w:hint="eastAsia"/>
        </w:rPr>
        <w:t>]</w:t>
      </w:r>
    </w:p>
    <w:p>
      <w:pPr>
        <w:pStyle w:val="Heading2"/>
        <w:spacing w:before="0" w:line="504" w:lineRule="exact"/>
        <w:ind w:left="431" w:firstLine="0"/>
      </w:pPr>
      <w:r>
        <w:t>本章重点：</w:t>
      </w:r>
    </w:p>
    <w:p>
      <w:pPr>
        <w:pStyle w:val="ListParagraph"/>
        <w:numPr>
          <w:ilvl w:val="0"/>
          <w:numId w:val="28"/>
        </w:numPr>
        <w:tabs>
          <w:tab w:val="left" w:pos="1538"/>
        </w:tabs>
        <w:spacing w:before="32" w:after="0" w:line="240" w:lineRule="auto"/>
        <w:ind w:left="1538" w:right="0" w:hanging="473"/>
        <w:jc w:val="left"/>
        <w:rPr>
          <w:sz w:val="31"/>
        </w:rPr>
      </w:pPr>
      <w:r>
        <w:rPr>
          <w:sz w:val="31"/>
        </w:rPr>
        <w:t>杜邦分析指标分解原理。</w:t>
      </w:r>
    </w:p>
    <w:p>
      <w:pPr>
        <w:pStyle w:val="ListParagraph"/>
        <w:numPr>
          <w:ilvl w:val="0"/>
          <w:numId w:val="28"/>
        </w:numPr>
        <w:tabs>
          <w:tab w:val="left" w:pos="1538"/>
        </w:tabs>
        <w:spacing w:before="32" w:after="0" w:line="240" w:lineRule="auto"/>
        <w:ind w:left="1538" w:right="0" w:hanging="473"/>
        <w:jc w:val="left"/>
        <w:rPr>
          <w:sz w:val="31"/>
        </w:rPr>
      </w:pPr>
      <w:r>
        <w:rPr>
          <w:sz w:val="31"/>
        </w:rPr>
        <w:t>沃尔评分法的计算程序。</w:t>
      </w:r>
    </w:p>
    <w:p>
      <w:pPr>
        <w:pStyle w:val="ListParagraph"/>
        <w:numPr>
          <w:ilvl w:val="0"/>
          <w:numId w:val="28"/>
        </w:numPr>
        <w:tabs>
          <w:tab w:val="left" w:pos="1538"/>
        </w:tabs>
        <w:spacing w:before="32" w:after="0" w:line="254" w:lineRule="auto"/>
        <w:ind w:left="431" w:right="4393" w:firstLine="633"/>
        <w:jc w:val="left"/>
        <w:rPr>
          <w:b/>
          <w:sz w:val="31"/>
        </w:rPr>
      </w:pPr>
      <w:r>
        <w:rPr>
          <w:spacing w:val="-1"/>
          <w:sz w:val="31"/>
        </w:rPr>
        <w:t>经济增加值的含义、计算公式及经济增加值计算会计项目的调整。</w:t>
      </w:r>
      <w:r>
        <w:rPr>
          <w:b/>
          <w:sz w:val="31"/>
        </w:rPr>
        <w:t>本章难点：</w:t>
      </w:r>
    </w:p>
    <w:p>
      <w:pPr>
        <w:pStyle w:val="BodyText"/>
        <w:spacing w:before="2" w:line="254" w:lineRule="auto"/>
        <w:ind w:left="431" w:right="4864" w:firstLine="633"/>
      </w:pPr>
      <w:r>
        <w:t>经济增加值的含义、计算公式及经济增加值计算会计项目的调整。第一节 杜邦分析</w:t>
      </w:r>
    </w:p>
    <w:p>
      <w:pPr>
        <w:pStyle w:val="BodyText"/>
        <w:spacing w:before="2" w:line="254" w:lineRule="auto"/>
        <w:ind w:left="431" w:right="9301"/>
      </w:pPr>
      <w:r>
        <w:t xml:space="preserve">一、分析的思路                                      </w:t>
      </w:r>
      <w:r>
        <w:rPr>
          <w:spacing w:val="-2"/>
        </w:rPr>
        <w:t>“一个中心，三个基本点，六大要素”</w:t>
      </w:r>
    </w:p>
    <w:p>
      <w:pPr>
        <w:pStyle w:val="BodyText"/>
        <w:spacing w:before="2" w:line="254" w:lineRule="auto"/>
        <w:ind w:left="748" w:right="8666"/>
      </w:pPr>
      <w:r>
        <w:t>一个中心：股东权益报酬率（经营目标） 三个基本点：</w:t>
      </w:r>
    </w:p>
    <w:p>
      <w:pPr>
        <w:pStyle w:val="BodyText"/>
        <w:spacing w:before="3"/>
        <w:ind w:left="1220"/>
      </w:pPr>
      <w:r>
        <w:t>净利率（成本费用的控制效果）</w:t>
      </w:r>
    </w:p>
    <w:p>
      <w:pPr>
        <w:pStyle w:val="BodyText"/>
        <w:spacing w:before="31" w:line="254" w:lineRule="auto"/>
        <w:ind w:left="1220" w:right="8196"/>
      </w:pPr>
      <w:r>
        <w:t>总资产周转率（资产的配置与利用效率） 权益乘数（负债的利用程度）</w:t>
      </w:r>
    </w:p>
    <w:p>
      <w:pPr>
        <w:pStyle w:val="BodyText"/>
        <w:spacing w:before="3"/>
        <w:ind w:left="748"/>
      </w:pPr>
      <w:r>
        <w:t>六大要素：</w:t>
      </w:r>
    </w:p>
    <w:p>
      <w:pPr>
        <w:pStyle w:val="BodyText"/>
        <w:spacing w:before="32" w:line="254" w:lineRule="auto"/>
        <w:ind w:left="748" w:right="10884"/>
      </w:pPr>
      <w:r>
        <w:t>资产、负债、所有者权益收入、费用、利润</w:t>
      </w:r>
    </w:p>
    <w:p>
      <w:pPr>
        <w:pStyle w:val="BodyText"/>
        <w:spacing w:before="2"/>
        <w:ind w:left="431"/>
      </w:pPr>
      <w:r>
        <w:t>二、指标分解原理</w:t>
      </w:r>
    </w:p>
    <w:p>
      <w:pPr>
        <w:pStyle w:val="BodyText"/>
        <w:spacing w:before="32"/>
        <w:ind w:left="971"/>
      </w:pPr>
      <w:r>
        <w:t>①销售净利率反映盈利能力；</w:t>
      </w:r>
    </w:p>
    <w:p>
      <w:pPr>
        <w:pStyle w:val="BodyText"/>
        <w:spacing w:before="31" w:line="254" w:lineRule="auto"/>
        <w:ind w:left="971" w:right="206"/>
      </w:pPr>
      <w:r>
        <w:t>②资产周转率反映资产使用效率，可再细分为几个指标（存货、应收帐款周转率等）；</w:t>
      </w:r>
      <w:r>
        <w:rPr>
          <w:spacing w:val="-3"/>
        </w:rPr>
        <w:t xml:space="preserve">资产构成存量 </w:t>
      </w:r>
      <w:r>
        <w:t>是否有问题。</w:t>
      </w:r>
    </w:p>
    <w:p>
      <w:pPr>
        <w:spacing w:after="0" w:line="254" w:lineRule="auto"/>
        <w:sectPr>
          <w:pgSz w:w="17860" w:h="25260"/>
          <w:pgMar w:top="1860" w:right="860" w:bottom="280" w:left="1880" w:header="708" w:footer="708"/>
          <w:pgNumType w:start="9"/>
          <w:cols w:space="708"/>
        </w:sectPr>
      </w:pPr>
    </w:p>
    <w:p>
      <w:pPr>
        <w:pStyle w:val="BodyText"/>
        <w:spacing w:before="54" w:line="254" w:lineRule="auto"/>
        <w:ind w:left="431" w:right="5275" w:firstLine="540"/>
      </w:pPr>
      <w:r>
        <w:t>③权益乘数的高低，反映负债程度，负债程度上升，风险提高。三、杜邦财务分析体系的应用</w:t>
      </w:r>
    </w:p>
    <w:p>
      <w:pPr>
        <w:pStyle w:val="BodyText"/>
        <w:tabs>
          <w:tab w:val="left" w:pos="1850"/>
        </w:tabs>
        <w:spacing w:before="3" w:line="254" w:lineRule="auto"/>
        <w:ind w:left="431" w:right="10734"/>
      </w:pPr>
      <w:r>
        <w:t>第二节</w:t>
        <w:tab/>
        <w:t>沃尔的综合评分</w:t>
      </w:r>
      <w:r>
        <w:rPr>
          <w:spacing w:val="-19"/>
        </w:rPr>
        <w:t>法</w:t>
      </w:r>
      <w:r>
        <w:t>一、综合评价的原理</w:t>
      </w:r>
    </w:p>
    <w:p>
      <w:pPr>
        <w:pStyle w:val="BodyText"/>
        <w:spacing w:before="2"/>
        <w:ind w:left="971"/>
      </w:pPr>
      <w:r>
        <w:t>1、指标的选取</w:t>
      </w:r>
    </w:p>
    <w:p>
      <w:pPr>
        <w:pStyle w:val="BodyText"/>
        <w:spacing w:before="32"/>
        <w:ind w:left="971"/>
      </w:pPr>
      <w:r>
        <w:t>2.根据各项财务比率的重要程度，确定其各项财务比率的权重。</w:t>
      </w:r>
    </w:p>
    <w:p>
      <w:pPr>
        <w:pStyle w:val="BodyText"/>
        <w:spacing w:before="32"/>
        <w:ind w:left="971"/>
      </w:pPr>
      <w:r>
        <w:rPr>
          <w:spacing w:val="-1"/>
        </w:rPr>
        <w:t>3</w:t>
      </w:r>
      <w:r>
        <w:t>、确定各项财务比率的标准值。</w:t>
      </w:r>
    </w:p>
    <w:p>
      <w:pPr>
        <w:pStyle w:val="BodyText"/>
        <w:spacing w:before="31"/>
        <w:ind w:left="971"/>
      </w:pPr>
      <w:r>
        <w:rPr>
          <w:spacing w:val="-1"/>
        </w:rPr>
        <w:t>4</w:t>
      </w:r>
      <w:r>
        <w:t>、计算各项财务比率的实际值。</w:t>
      </w:r>
    </w:p>
    <w:p>
      <w:pPr>
        <w:pStyle w:val="BodyText"/>
        <w:spacing w:before="32"/>
        <w:ind w:left="971"/>
      </w:pPr>
      <w:r>
        <w:t>5、计算出各项财务比率实际值与标准值的比率。</w:t>
      </w:r>
    </w:p>
    <w:p>
      <w:pPr>
        <w:pStyle w:val="BodyText"/>
        <w:spacing w:before="31"/>
        <w:ind w:left="971"/>
      </w:pPr>
      <w:r>
        <w:t>6、计算出各项财务比率的实际得分。</w:t>
      </w:r>
    </w:p>
    <w:p>
      <w:pPr>
        <w:pStyle w:val="BodyText"/>
        <w:tabs>
          <w:tab w:val="left" w:pos="1695"/>
        </w:tabs>
        <w:spacing w:before="32" w:line="254" w:lineRule="auto"/>
        <w:ind w:left="431" w:right="11133" w:firstLine="540"/>
      </w:pPr>
      <w:r>
        <w:t>7、计算综合得分。  二、沃尔评分法的应用  第三节</w:t>
        <w:tab/>
        <w:t>经济增加</w:t>
      </w:r>
      <w:r>
        <w:rPr>
          <w:spacing w:val="68"/>
        </w:rPr>
        <w:t>值</w:t>
      </w:r>
      <w:r>
        <w:rPr>
          <w:spacing w:val="-6"/>
        </w:rPr>
        <w:t>EVA</w:t>
      </w:r>
    </w:p>
    <w:p>
      <w:pPr>
        <w:pStyle w:val="BodyText"/>
        <w:spacing w:before="4"/>
        <w:ind w:left="431"/>
      </w:pPr>
      <w:r>
        <w:t>一、经济增加值价值管理体系简介</w:t>
      </w:r>
    </w:p>
    <w:p>
      <w:pPr>
        <w:pStyle w:val="BodyText"/>
        <w:spacing w:before="32"/>
        <w:ind w:left="1051"/>
      </w:pPr>
      <w:r>
        <w:t>1、好企业的判断标准</w:t>
      </w:r>
    </w:p>
    <w:p>
      <w:pPr>
        <w:pStyle w:val="BodyText"/>
        <w:spacing w:before="32"/>
        <w:ind w:left="1065"/>
      </w:pPr>
      <w:r>
        <w:t>2、.经济增加值的概念</w:t>
      </w:r>
    </w:p>
    <w:p>
      <w:pPr>
        <w:pStyle w:val="BodyText"/>
        <w:spacing w:before="31" w:line="254" w:lineRule="auto"/>
        <w:ind w:left="431" w:right="10885" w:firstLine="633"/>
        <w:jc w:val="both"/>
      </w:pPr>
      <w:r>
        <w:t>3、.经济增加值的应用二、经济增加值的计算方法计算公式：</w:t>
      </w:r>
    </w:p>
    <w:p>
      <w:pPr>
        <w:pStyle w:val="BodyText"/>
        <w:spacing w:before="3"/>
        <w:ind w:left="1061"/>
      </w:pPr>
      <w:r>
        <w:t>EVA=税后净营业利润-资本成本</w:t>
      </w:r>
    </w:p>
    <w:p>
      <w:pPr>
        <w:pStyle w:val="BodyText"/>
        <w:spacing w:before="33"/>
        <w:ind w:left="1537"/>
      </w:pPr>
      <w:r>
        <w:t>其中：资本成本=资本占用×加权平均资本成本率</w:t>
      </w:r>
    </w:p>
    <w:p>
      <w:pPr>
        <w:pStyle w:val="BodyText"/>
        <w:spacing w:before="31"/>
        <w:ind w:left="1537"/>
      </w:pPr>
      <w:r>
        <w:t>加权资本平均成本率=（股权资本/全部资本占用）×股权资本成本率+（债务资本/全部资本占用）</w:t>
      </w:r>
    </w:p>
    <w:p>
      <w:pPr>
        <w:pStyle w:val="BodyText"/>
        <w:spacing w:before="32"/>
        <w:ind w:left="431"/>
      </w:pPr>
      <w:r>
        <w:t>×债务资本成本率（税后）</w:t>
      </w:r>
    </w:p>
    <w:p>
      <w:pPr>
        <w:pStyle w:val="BodyText"/>
        <w:spacing w:before="31"/>
        <w:ind w:left="431"/>
      </w:pPr>
      <w:r>
        <w:t>三、经济增加值计算会计调整项目</w:t>
      </w:r>
    </w:p>
    <w:p>
      <w:pPr>
        <w:pStyle w:val="BodyText"/>
        <w:spacing w:before="32"/>
        <w:ind w:left="741"/>
      </w:pPr>
      <w:r>
        <w:t>1、长期费用支出资本化。</w:t>
      </w:r>
    </w:p>
    <w:p>
      <w:pPr>
        <w:pStyle w:val="BodyText"/>
        <w:spacing w:before="32"/>
        <w:ind w:left="741"/>
      </w:pPr>
      <w:r>
        <w:t>2、从冲销计提到现金标准。</w:t>
      </w:r>
    </w:p>
    <w:p>
      <w:pPr>
        <w:pStyle w:val="BodyText"/>
        <w:spacing w:before="31"/>
        <w:ind w:left="741"/>
      </w:pPr>
      <w:r>
        <w:t>3、营业外收支。</w:t>
      </w:r>
    </w:p>
    <w:p>
      <w:pPr>
        <w:pStyle w:val="BodyText"/>
        <w:spacing w:before="32" w:line="475" w:lineRule="exact"/>
        <w:ind w:left="741"/>
      </w:pPr>
      <w:r>
        <w:t>4、非经常性项目。</w:t>
      </w:r>
    </w:p>
    <w:p>
      <w:pPr>
        <w:tabs>
          <w:tab w:val="left" w:pos="1875"/>
        </w:tabs>
        <w:spacing w:before="3" w:line="218" w:lineRule="auto"/>
        <w:ind w:left="431" w:right="9462" w:firstLine="0"/>
        <w:jc w:val="left"/>
        <w:rPr>
          <w:b/>
          <w:sz w:val="36"/>
        </w:rPr>
      </w:pPr>
      <w:r>
        <w:rPr>
          <w:b/>
          <w:sz w:val="36"/>
        </w:rPr>
        <w:t>第</w:t>
      </w:r>
      <w:r>
        <w:rPr>
          <w:b/>
          <w:spacing w:val="1"/>
          <w:sz w:val="36"/>
        </w:rPr>
        <w:t xml:space="preserve"> </w:t>
      </w:r>
      <w:r>
        <w:rPr>
          <w:rFonts w:ascii="宋体" w:eastAsia="宋体" w:hint="eastAsia"/>
          <w:b/>
          <w:sz w:val="36"/>
        </w:rPr>
        <w:t>3</w:t>
      </w:r>
      <w:r>
        <w:rPr>
          <w:rFonts w:ascii="宋体" w:eastAsia="宋体" w:hint="eastAsia"/>
          <w:b/>
          <w:spacing w:val="-93"/>
          <w:sz w:val="36"/>
        </w:rPr>
        <w:t xml:space="preserve"> </w:t>
      </w:r>
      <w:r>
        <w:rPr>
          <w:b/>
          <w:sz w:val="36"/>
        </w:rPr>
        <w:t>篇</w:t>
      </w:r>
      <w:r>
        <w:rPr>
          <w:b/>
          <w:spacing w:val="86"/>
          <w:sz w:val="36"/>
        </w:rPr>
        <w:t xml:space="preserve"> </w:t>
      </w:r>
      <w:r>
        <w:rPr>
          <w:b/>
          <w:sz w:val="36"/>
        </w:rPr>
        <w:t>财务报表分析的外部应</w:t>
      </w:r>
      <w:r>
        <w:rPr>
          <w:b/>
          <w:spacing w:val="-16"/>
          <w:sz w:val="36"/>
        </w:rPr>
        <w:t>用</w:t>
      </w:r>
      <w:r>
        <w:rPr>
          <w:b/>
          <w:sz w:val="36"/>
        </w:rPr>
        <w:t>第八章</w:t>
        <w:tab/>
        <w:t>公司发展战略分析</w:t>
      </w:r>
    </w:p>
    <w:p>
      <w:pPr>
        <w:pStyle w:val="BodyText"/>
        <w:spacing w:before="108"/>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2" w:line="504" w:lineRule="exact"/>
        <w:ind w:left="1061"/>
      </w:pPr>
      <w:r>
        <w:rPr>
          <w:rFonts w:ascii="宋体" w:eastAsia="宋体" w:hint="eastAsia"/>
        </w:rPr>
        <w:t>1</w:t>
      </w:r>
      <w:r>
        <w:t>、了解公司战略分析的基本框架；</w:t>
      </w:r>
    </w:p>
    <w:p>
      <w:pPr>
        <w:pStyle w:val="BodyText"/>
        <w:spacing w:line="504" w:lineRule="exact"/>
        <w:ind w:left="1065"/>
      </w:pPr>
      <w:r>
        <w:rPr>
          <w:rFonts w:ascii="宋体" w:eastAsia="宋体" w:hint="eastAsia"/>
        </w:rPr>
        <w:t>2</w:t>
      </w:r>
      <w:r>
        <w:t>、掌握行业分析的基本工具；</w:t>
      </w:r>
    </w:p>
    <w:p>
      <w:pPr>
        <w:pStyle w:val="BodyText"/>
        <w:spacing w:before="32"/>
        <w:ind w:left="1065"/>
      </w:pPr>
      <w:r>
        <w:rPr>
          <w:rFonts w:ascii="宋体" w:eastAsia="宋体" w:hint="eastAsia"/>
        </w:rPr>
        <w:t>3</w:t>
      </w:r>
      <w:r>
        <w:t>、掌握竞争战略分析的基本工具；</w:t>
      </w:r>
    </w:p>
    <w:p>
      <w:pPr>
        <w:pStyle w:val="BodyText"/>
        <w:spacing w:before="31" w:line="273" w:lineRule="auto"/>
        <w:ind w:left="431" w:right="8828" w:firstLine="633"/>
        <w:rPr>
          <w:rFonts w:ascii="宋体" w:eastAsia="宋体" w:hint="eastAsia"/>
        </w:rPr>
      </w:pPr>
      <w:r>
        <w:rPr>
          <w:rFonts w:ascii="宋体" w:eastAsia="宋体" w:hint="eastAsia"/>
        </w:rPr>
        <w:t>4</w:t>
      </w:r>
      <w:r>
        <w:t>、理解公司战略对财务结果的影响。</w:t>
      </w:r>
      <w:r>
        <w:rPr>
          <w:rFonts w:ascii="宋体" w:eastAsia="宋体" w:hint="eastAsia"/>
        </w:rPr>
        <w:t>[</w:t>
      </w:r>
      <w:r>
        <w:t>教学重点与难点</w:t>
      </w:r>
      <w:r>
        <w:rPr>
          <w:rFonts w:ascii="宋体" w:eastAsia="宋体" w:hint="eastAsia"/>
        </w:rPr>
        <w:t>]</w:t>
      </w:r>
    </w:p>
    <w:p>
      <w:pPr>
        <w:pStyle w:val="BodyText"/>
        <w:spacing w:line="429" w:lineRule="exact"/>
        <w:ind w:left="431"/>
      </w:pPr>
      <w:r>
        <w:t>本章重点：</w:t>
      </w:r>
    </w:p>
    <w:p>
      <w:pPr>
        <w:pStyle w:val="BodyText"/>
        <w:spacing w:before="32"/>
        <w:ind w:left="1065"/>
      </w:pPr>
      <w:r>
        <w:t>竞争战略分析的基本工具；</w:t>
      </w:r>
    </w:p>
    <w:p>
      <w:pPr>
        <w:spacing w:after="0"/>
        <w:sectPr>
          <w:pgSz w:w="17860" w:h="25260"/>
          <w:pgMar w:top="1860" w:right="860" w:bottom="280" w:left="1880" w:header="708" w:footer="708"/>
          <w:pgNumType w:start="10"/>
          <w:cols w:space="708"/>
        </w:sectPr>
      </w:pPr>
    </w:p>
    <w:p>
      <w:pPr>
        <w:pStyle w:val="BodyText"/>
        <w:spacing w:before="54"/>
        <w:ind w:left="431"/>
      </w:pPr>
      <w:r>
        <w:t>本章难点：</w:t>
      </w:r>
    </w:p>
    <w:p>
      <w:pPr>
        <w:pStyle w:val="BodyText"/>
        <w:spacing w:before="33"/>
        <w:ind w:left="1065"/>
      </w:pPr>
      <w:r>
        <w:rPr>
          <w:rFonts w:ascii="宋体" w:eastAsia="宋体" w:hint="eastAsia"/>
        </w:rPr>
        <w:t>1</w:t>
      </w:r>
      <w:r>
        <w:t>、竞争战略分析的基本工具</w:t>
      </w:r>
    </w:p>
    <w:p>
      <w:pPr>
        <w:pStyle w:val="BodyText"/>
        <w:spacing w:before="31"/>
        <w:ind w:left="1065"/>
      </w:pPr>
      <w:r>
        <w:rPr>
          <w:rFonts w:ascii="宋体" w:eastAsia="宋体" w:hint="eastAsia"/>
        </w:rPr>
        <w:t>2</w:t>
      </w:r>
      <w:r>
        <w:t>、公司战略对财务结果的影响</w:t>
      </w:r>
    </w:p>
    <w:p>
      <w:pPr>
        <w:pStyle w:val="Heading2"/>
        <w:numPr>
          <w:ilvl w:val="1"/>
          <w:numId w:val="20"/>
        </w:numPr>
        <w:tabs>
          <w:tab w:val="left" w:pos="1223"/>
          <w:tab w:val="left" w:pos="1224"/>
        </w:tabs>
        <w:spacing w:before="72" w:after="0" w:line="240" w:lineRule="auto"/>
        <w:ind w:left="1223" w:right="0" w:hanging="793"/>
        <w:jc w:val="left"/>
      </w:pPr>
      <w:r>
        <w:t>行业分析</w:t>
      </w:r>
    </w:p>
    <w:p>
      <w:pPr>
        <w:pStyle w:val="ListParagraph"/>
        <w:numPr>
          <w:ilvl w:val="2"/>
          <w:numId w:val="20"/>
        </w:numPr>
        <w:tabs>
          <w:tab w:val="left" w:pos="1536"/>
          <w:tab w:val="left" w:pos="1537"/>
        </w:tabs>
        <w:spacing w:before="32" w:after="0" w:line="240" w:lineRule="auto"/>
        <w:ind w:left="1537" w:right="0" w:hanging="1106"/>
        <w:jc w:val="left"/>
        <w:rPr>
          <w:sz w:val="31"/>
        </w:rPr>
      </w:pPr>
      <w:r>
        <w:rPr>
          <w:sz w:val="31"/>
        </w:rPr>
        <w:t>实际的和潜在的竞争情况</w:t>
      </w:r>
    </w:p>
    <w:p>
      <w:pPr>
        <w:pStyle w:val="ListParagraph"/>
        <w:numPr>
          <w:ilvl w:val="2"/>
          <w:numId w:val="20"/>
        </w:numPr>
        <w:tabs>
          <w:tab w:val="left" w:pos="1536"/>
          <w:tab w:val="left" w:pos="1537"/>
        </w:tabs>
        <w:spacing w:before="31" w:after="0" w:line="240" w:lineRule="auto"/>
        <w:ind w:left="1537" w:right="0" w:hanging="1106"/>
        <w:jc w:val="left"/>
        <w:rPr>
          <w:sz w:val="31"/>
        </w:rPr>
      </w:pPr>
      <w:r>
        <w:rPr>
          <w:sz w:val="31"/>
        </w:rPr>
        <w:t>买方和卖方市场的谈判能力</w:t>
      </w:r>
    </w:p>
    <w:p>
      <w:pPr>
        <w:pStyle w:val="ListParagraph"/>
        <w:numPr>
          <w:ilvl w:val="2"/>
          <w:numId w:val="20"/>
        </w:numPr>
        <w:tabs>
          <w:tab w:val="left" w:pos="1536"/>
          <w:tab w:val="left" w:pos="1537"/>
        </w:tabs>
        <w:spacing w:before="32" w:after="0" w:line="240" w:lineRule="auto"/>
        <w:ind w:left="1537" w:right="0" w:hanging="1106"/>
        <w:jc w:val="left"/>
        <w:rPr>
          <w:sz w:val="31"/>
        </w:rPr>
      </w:pPr>
      <w:r>
        <w:rPr>
          <w:sz w:val="31"/>
        </w:rPr>
        <w:t>行业分析的应用举例：中国移动通信行业的应用</w:t>
      </w:r>
    </w:p>
    <w:p>
      <w:pPr>
        <w:pStyle w:val="Heading2"/>
        <w:numPr>
          <w:ilvl w:val="1"/>
          <w:numId w:val="20"/>
        </w:numPr>
        <w:tabs>
          <w:tab w:val="left" w:pos="1223"/>
          <w:tab w:val="left" w:pos="1224"/>
        </w:tabs>
        <w:spacing w:before="32" w:after="0" w:line="240" w:lineRule="auto"/>
        <w:ind w:left="1223" w:right="0" w:hanging="793"/>
        <w:jc w:val="left"/>
      </w:pPr>
      <w:r>
        <w:t>竞争战略分析</w:t>
      </w:r>
    </w:p>
    <w:p>
      <w:pPr>
        <w:pStyle w:val="ListParagraph"/>
        <w:numPr>
          <w:ilvl w:val="2"/>
          <w:numId w:val="20"/>
        </w:numPr>
        <w:tabs>
          <w:tab w:val="left" w:pos="1536"/>
          <w:tab w:val="left" w:pos="1537"/>
        </w:tabs>
        <w:spacing w:before="31" w:after="0" w:line="240" w:lineRule="auto"/>
        <w:ind w:left="1537" w:right="0" w:hanging="1106"/>
        <w:jc w:val="left"/>
        <w:rPr>
          <w:sz w:val="31"/>
        </w:rPr>
      </w:pPr>
      <w:r>
        <w:rPr>
          <w:sz w:val="31"/>
        </w:rPr>
        <w:t>竞争优势的来源</w:t>
      </w:r>
    </w:p>
    <w:p>
      <w:pPr>
        <w:pStyle w:val="ListParagraph"/>
        <w:numPr>
          <w:ilvl w:val="2"/>
          <w:numId w:val="20"/>
        </w:numPr>
        <w:tabs>
          <w:tab w:val="left" w:pos="1536"/>
          <w:tab w:val="left" w:pos="1537"/>
        </w:tabs>
        <w:spacing w:before="32" w:after="0" w:line="240" w:lineRule="auto"/>
        <w:ind w:left="1537" w:right="0" w:hanging="1106"/>
        <w:jc w:val="left"/>
        <w:rPr>
          <w:sz w:val="31"/>
        </w:rPr>
      </w:pPr>
      <w:r>
        <w:rPr>
          <w:sz w:val="31"/>
        </w:rPr>
        <w:t>竞争优势的取得和保持</w:t>
      </w:r>
    </w:p>
    <w:p>
      <w:pPr>
        <w:pStyle w:val="ListParagraph"/>
        <w:numPr>
          <w:ilvl w:val="2"/>
          <w:numId w:val="20"/>
        </w:numPr>
        <w:tabs>
          <w:tab w:val="left" w:pos="1536"/>
          <w:tab w:val="left" w:pos="1537"/>
        </w:tabs>
        <w:spacing w:before="31" w:after="0" w:line="240" w:lineRule="auto"/>
        <w:ind w:left="1537" w:right="0" w:hanging="1106"/>
        <w:jc w:val="left"/>
        <w:rPr>
          <w:sz w:val="31"/>
        </w:rPr>
      </w:pPr>
      <w:r>
        <w:rPr>
          <w:sz w:val="31"/>
        </w:rPr>
        <w:t>竞争战略分析的应用：苹果公司的差异化竞争战略</w:t>
      </w:r>
    </w:p>
    <w:p>
      <w:pPr>
        <w:pStyle w:val="ListParagraph"/>
        <w:numPr>
          <w:ilvl w:val="1"/>
          <w:numId w:val="20"/>
        </w:numPr>
        <w:tabs>
          <w:tab w:val="left" w:pos="1223"/>
          <w:tab w:val="left" w:pos="1224"/>
        </w:tabs>
        <w:spacing w:before="33" w:after="0" w:line="455" w:lineRule="exact"/>
        <w:ind w:left="1223" w:right="0" w:hanging="793"/>
        <w:jc w:val="left"/>
        <w:rPr>
          <w:b/>
          <w:sz w:val="31"/>
        </w:rPr>
      </w:pPr>
      <w:r>
        <w:rPr>
          <w:b/>
          <w:sz w:val="31"/>
        </w:rPr>
        <w:t>公司发展战略对财务报表的影响</w:t>
      </w:r>
    </w:p>
    <w:p>
      <w:pPr>
        <w:spacing w:before="0" w:line="512" w:lineRule="exact"/>
        <w:ind w:left="431" w:right="0" w:firstLine="0"/>
        <w:jc w:val="left"/>
        <w:rPr>
          <w:b/>
          <w:sz w:val="36"/>
        </w:rPr>
      </w:pPr>
      <w:r>
        <w:rPr>
          <w:b/>
          <w:sz w:val="36"/>
        </w:rPr>
        <w:t>第四篇 财务报表分析的内部应用</w:t>
      </w:r>
    </w:p>
    <w:p>
      <w:pPr>
        <w:tabs>
          <w:tab w:val="left" w:pos="2235"/>
        </w:tabs>
        <w:spacing w:before="0" w:line="565" w:lineRule="exact"/>
        <w:ind w:left="431" w:right="0" w:firstLine="0"/>
        <w:jc w:val="left"/>
        <w:rPr>
          <w:b/>
          <w:sz w:val="36"/>
        </w:rPr>
      </w:pPr>
      <w:r>
        <w:rPr>
          <w:b/>
          <w:sz w:val="36"/>
        </w:rPr>
        <w:t>第十叁章</w:t>
        <w:tab/>
        <w:t>基于利润的业绩驱动因素分析</w:t>
      </w:r>
    </w:p>
    <w:p>
      <w:pPr>
        <w:pStyle w:val="BodyText"/>
        <w:spacing w:before="88"/>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2" w:line="504" w:lineRule="exact"/>
        <w:ind w:left="1061"/>
      </w:pPr>
      <w:r>
        <w:rPr>
          <w:rFonts w:ascii="宋体" w:eastAsia="宋体" w:hint="eastAsia"/>
        </w:rPr>
        <w:t>1</w:t>
      </w:r>
      <w:r>
        <w:t>、掌握成本的定义与成本分类方法；</w:t>
      </w:r>
    </w:p>
    <w:p>
      <w:pPr>
        <w:pStyle w:val="BodyText"/>
        <w:spacing w:line="504" w:lineRule="exact"/>
        <w:ind w:left="1065"/>
      </w:pPr>
      <w:r>
        <w:rPr>
          <w:rFonts w:ascii="宋体" w:eastAsia="宋体" w:hint="eastAsia"/>
        </w:rPr>
        <w:t>2</w:t>
      </w:r>
      <w:r>
        <w:t>、理解固定成本、变动成本与各种混合成本的性态；</w:t>
      </w:r>
    </w:p>
    <w:p>
      <w:pPr>
        <w:pStyle w:val="BodyText"/>
        <w:spacing w:before="32"/>
        <w:ind w:left="1065"/>
      </w:pPr>
      <w:r>
        <w:rPr>
          <w:rFonts w:ascii="宋体" w:eastAsia="宋体" w:hint="eastAsia"/>
        </w:rPr>
        <w:t>3</w:t>
      </w:r>
      <w:r>
        <w:t>、了解销售收入的一般计算公式以及销售单价、销售量的影响因素；</w:t>
      </w:r>
    </w:p>
    <w:p>
      <w:pPr>
        <w:pStyle w:val="BodyText"/>
        <w:spacing w:before="71"/>
        <w:ind w:left="1040"/>
      </w:pPr>
      <w:r>
        <w:rPr>
          <w:rFonts w:ascii="宋体" w:eastAsia="宋体" w:hint="eastAsia"/>
        </w:rPr>
        <w:t>4</w:t>
      </w:r>
      <w:r>
        <w:t>、了解本</w:t>
      </w:r>
      <w:r>
        <w:rPr>
          <w:rFonts w:ascii="宋体" w:eastAsia="宋体" w:hint="eastAsia"/>
        </w:rPr>
        <w:t>-</w:t>
      </w:r>
      <w:r>
        <w:t>量</w:t>
      </w:r>
      <w:r>
        <w:rPr>
          <w:rFonts w:ascii="宋体" w:eastAsia="宋体" w:hint="eastAsia"/>
        </w:rPr>
        <w:t>-</w:t>
      </w:r>
      <w:r>
        <w:t>利分析法的三种基本形式；</w:t>
      </w:r>
    </w:p>
    <w:p>
      <w:pPr>
        <w:pStyle w:val="BodyText"/>
        <w:spacing w:before="39" w:line="235" w:lineRule="auto"/>
        <w:ind w:left="431" w:right="296" w:firstLine="608"/>
      </w:pPr>
      <w:r>
        <w:rPr>
          <w:rFonts w:ascii="宋体" w:eastAsia="宋体" w:hint="eastAsia"/>
        </w:rPr>
        <w:t>5</w:t>
      </w:r>
      <w:r>
        <w:t>、掌握本</w:t>
      </w:r>
      <w:r>
        <w:rPr>
          <w:rFonts w:ascii="宋体" w:eastAsia="宋体" w:hint="eastAsia"/>
        </w:rPr>
        <w:t>-</w:t>
      </w:r>
      <w:r>
        <w:t>量</w:t>
      </w:r>
      <w:r>
        <w:rPr>
          <w:rFonts w:ascii="宋体" w:eastAsia="宋体" w:hint="eastAsia"/>
        </w:rPr>
        <w:t>-</w:t>
      </w:r>
      <w:r>
        <w:rPr>
          <w:spacing w:val="-1"/>
        </w:rPr>
        <w:t xml:space="preserve">利分析法和连环替代法在盈亏临界点分析、目标利润分析及敏感性分析中的应用，理 </w:t>
      </w:r>
      <w:r>
        <w:t>解企业利润的影响因素及其对利润的决定机制。</w:t>
      </w:r>
    </w:p>
    <w:p>
      <w:pPr>
        <w:pStyle w:val="BodyText"/>
        <w:spacing w:before="77" w:line="504" w:lineRule="exact"/>
        <w:ind w:left="431"/>
        <w:rPr>
          <w:rFonts w:ascii="宋体" w:eastAsia="宋体" w:hint="eastAsia"/>
        </w:rPr>
      </w:pPr>
      <w:r>
        <w:rPr>
          <w:rFonts w:ascii="宋体" w:eastAsia="宋体" w:hint="eastAsia"/>
        </w:rPr>
        <w:t>[</w:t>
      </w:r>
      <w:r>
        <w:t>教学重点与难点</w:t>
      </w:r>
      <w:r>
        <w:rPr>
          <w:rFonts w:ascii="宋体" w:eastAsia="宋体" w:hint="eastAsia"/>
        </w:rPr>
        <w:t>]</w:t>
      </w:r>
    </w:p>
    <w:p>
      <w:pPr>
        <w:pStyle w:val="BodyText"/>
        <w:spacing w:line="504" w:lineRule="exact"/>
        <w:ind w:left="431"/>
      </w:pPr>
      <w:r>
        <w:t>本章重点：</w:t>
      </w:r>
    </w:p>
    <w:p>
      <w:pPr>
        <w:pStyle w:val="BodyText"/>
        <w:spacing w:before="32" w:line="254" w:lineRule="auto"/>
        <w:ind w:left="431" w:right="7717" w:firstLine="633"/>
      </w:pPr>
      <w:r>
        <w:rPr>
          <w:spacing w:val="-1"/>
        </w:rPr>
        <w:t xml:space="preserve">固定成本、变动成本与各种混合成本的性态； </w:t>
      </w:r>
      <w:r>
        <w:t>本章难点：</w:t>
      </w:r>
    </w:p>
    <w:p>
      <w:pPr>
        <w:pStyle w:val="BodyText"/>
        <w:spacing w:before="2"/>
        <w:ind w:left="1065"/>
      </w:pPr>
      <w:r>
        <w:rPr>
          <w:rFonts w:ascii="宋体" w:eastAsia="宋体" w:hint="eastAsia"/>
        </w:rPr>
        <w:t>1</w:t>
      </w:r>
      <w:r>
        <w:t>、销售收入的一般计算公式以及销售单价、销售量的影响因素</w:t>
      </w:r>
    </w:p>
    <w:p>
      <w:pPr>
        <w:pStyle w:val="BodyText"/>
        <w:spacing w:before="31"/>
        <w:ind w:left="1065"/>
      </w:pPr>
      <w:r>
        <w:rPr>
          <w:rFonts w:ascii="宋体" w:eastAsia="宋体" w:hint="eastAsia"/>
        </w:rPr>
        <w:t>2</w:t>
      </w:r>
      <w:r>
        <w:t>、本</w:t>
      </w:r>
      <w:r>
        <w:rPr>
          <w:rFonts w:ascii="宋体" w:eastAsia="宋体" w:hint="eastAsia"/>
        </w:rPr>
        <w:t>-</w:t>
      </w:r>
      <w:r>
        <w:t>量</w:t>
      </w:r>
      <w:r>
        <w:rPr>
          <w:rFonts w:ascii="宋体" w:eastAsia="宋体" w:hint="eastAsia"/>
        </w:rPr>
        <w:t>-</w:t>
      </w:r>
      <w:r>
        <w:t>利分析法和连环替代法在盈亏临界点分析、目标利润分析及敏感性分析中的应用</w:t>
      </w:r>
    </w:p>
    <w:p>
      <w:pPr>
        <w:pStyle w:val="Heading2"/>
        <w:numPr>
          <w:ilvl w:val="1"/>
          <w:numId w:val="19"/>
        </w:numPr>
        <w:tabs>
          <w:tab w:val="left" w:pos="1382"/>
          <w:tab w:val="left" w:pos="1383"/>
        </w:tabs>
        <w:spacing w:before="72" w:after="0" w:line="240" w:lineRule="auto"/>
        <w:ind w:left="1382" w:right="0" w:hanging="952"/>
        <w:jc w:val="left"/>
      </w:pPr>
      <w:r>
        <w:t>基于利润的业绩驱动分析框架</w:t>
      </w:r>
    </w:p>
    <w:p>
      <w:pPr>
        <w:pStyle w:val="ListParagraph"/>
        <w:numPr>
          <w:ilvl w:val="1"/>
          <w:numId w:val="19"/>
        </w:numPr>
        <w:tabs>
          <w:tab w:val="left" w:pos="1382"/>
          <w:tab w:val="left" w:pos="1383"/>
        </w:tabs>
        <w:spacing w:before="32" w:after="0" w:line="240" w:lineRule="auto"/>
        <w:ind w:left="1382" w:right="0" w:hanging="952"/>
        <w:jc w:val="left"/>
        <w:rPr>
          <w:b/>
          <w:sz w:val="31"/>
        </w:rPr>
      </w:pPr>
      <w:r>
        <w:rPr>
          <w:b/>
          <w:sz w:val="31"/>
        </w:rPr>
        <w:t>业务成本分析</w:t>
      </w:r>
    </w:p>
    <w:p>
      <w:pPr>
        <w:pStyle w:val="ListParagraph"/>
        <w:numPr>
          <w:ilvl w:val="2"/>
          <w:numId w:val="19"/>
        </w:numPr>
        <w:tabs>
          <w:tab w:val="left" w:pos="1695"/>
          <w:tab w:val="left" w:pos="1696"/>
        </w:tabs>
        <w:spacing w:before="31" w:after="0" w:line="240" w:lineRule="auto"/>
        <w:ind w:left="1695" w:right="0" w:hanging="1265"/>
        <w:jc w:val="left"/>
        <w:rPr>
          <w:sz w:val="31"/>
        </w:rPr>
      </w:pPr>
      <w:r>
        <w:rPr>
          <w:sz w:val="31"/>
        </w:rPr>
        <w:t>成本界定与分类</w:t>
      </w:r>
    </w:p>
    <w:p>
      <w:pPr>
        <w:pStyle w:val="ListParagraph"/>
        <w:numPr>
          <w:ilvl w:val="2"/>
          <w:numId w:val="19"/>
        </w:numPr>
        <w:tabs>
          <w:tab w:val="left" w:pos="1695"/>
          <w:tab w:val="left" w:pos="1696"/>
        </w:tabs>
        <w:spacing w:before="33" w:after="0" w:line="240" w:lineRule="auto"/>
        <w:ind w:left="1695" w:right="0" w:hanging="1265"/>
        <w:jc w:val="left"/>
        <w:rPr>
          <w:sz w:val="31"/>
        </w:rPr>
      </w:pPr>
      <w:r>
        <w:rPr>
          <w:sz w:val="31"/>
        </w:rPr>
        <w:t>固定成本</w:t>
      </w:r>
    </w:p>
    <w:p>
      <w:pPr>
        <w:pStyle w:val="ListParagraph"/>
        <w:numPr>
          <w:ilvl w:val="2"/>
          <w:numId w:val="19"/>
        </w:numPr>
        <w:tabs>
          <w:tab w:val="left" w:pos="1695"/>
          <w:tab w:val="left" w:pos="1696"/>
        </w:tabs>
        <w:spacing w:before="31" w:after="0" w:line="240" w:lineRule="auto"/>
        <w:ind w:left="1695" w:right="0" w:hanging="1265"/>
        <w:jc w:val="left"/>
        <w:rPr>
          <w:sz w:val="31"/>
        </w:rPr>
      </w:pPr>
      <w:r>
        <w:rPr>
          <w:sz w:val="31"/>
        </w:rPr>
        <w:t>变动成本</w:t>
      </w:r>
    </w:p>
    <w:p>
      <w:pPr>
        <w:pStyle w:val="ListParagraph"/>
        <w:numPr>
          <w:ilvl w:val="2"/>
          <w:numId w:val="19"/>
        </w:numPr>
        <w:tabs>
          <w:tab w:val="left" w:pos="1695"/>
          <w:tab w:val="left" w:pos="1696"/>
        </w:tabs>
        <w:spacing w:before="32" w:after="0" w:line="240" w:lineRule="auto"/>
        <w:ind w:left="1695" w:right="0" w:hanging="1265"/>
        <w:jc w:val="left"/>
        <w:rPr>
          <w:sz w:val="31"/>
        </w:rPr>
      </w:pPr>
      <w:r>
        <w:rPr>
          <w:sz w:val="31"/>
        </w:rPr>
        <w:t>混合成本</w:t>
      </w:r>
    </w:p>
    <w:p>
      <w:pPr>
        <w:pStyle w:val="Heading2"/>
        <w:numPr>
          <w:ilvl w:val="1"/>
          <w:numId w:val="19"/>
        </w:numPr>
        <w:tabs>
          <w:tab w:val="left" w:pos="1382"/>
          <w:tab w:val="left" w:pos="1383"/>
        </w:tabs>
        <w:spacing w:before="32" w:after="0" w:line="240" w:lineRule="auto"/>
        <w:ind w:left="1382" w:right="0" w:hanging="952"/>
        <w:jc w:val="left"/>
      </w:pPr>
      <w:r>
        <w:t>销售收入分析</w:t>
      </w:r>
    </w:p>
    <w:p>
      <w:pPr>
        <w:pStyle w:val="ListParagraph"/>
        <w:numPr>
          <w:ilvl w:val="2"/>
          <w:numId w:val="19"/>
        </w:numPr>
        <w:tabs>
          <w:tab w:val="left" w:pos="1695"/>
          <w:tab w:val="left" w:pos="1696"/>
        </w:tabs>
        <w:spacing w:before="31" w:after="0" w:line="240" w:lineRule="auto"/>
        <w:ind w:left="1695" w:right="0" w:hanging="1265"/>
        <w:jc w:val="left"/>
        <w:rPr>
          <w:sz w:val="31"/>
        </w:rPr>
      </w:pPr>
      <w:r>
        <w:rPr>
          <w:sz w:val="31"/>
        </w:rPr>
        <w:t>销售价格</w:t>
      </w:r>
    </w:p>
    <w:p>
      <w:pPr>
        <w:pStyle w:val="ListParagraph"/>
        <w:numPr>
          <w:ilvl w:val="2"/>
          <w:numId w:val="19"/>
        </w:numPr>
        <w:tabs>
          <w:tab w:val="left" w:pos="1695"/>
          <w:tab w:val="left" w:pos="1696"/>
        </w:tabs>
        <w:spacing w:before="32" w:after="0" w:line="240" w:lineRule="auto"/>
        <w:ind w:left="1695" w:right="0" w:hanging="1265"/>
        <w:jc w:val="left"/>
        <w:rPr>
          <w:sz w:val="31"/>
        </w:rPr>
      </w:pPr>
      <w:r>
        <w:rPr>
          <w:sz w:val="31"/>
        </w:rPr>
        <w:t>销售数量</w:t>
      </w:r>
    </w:p>
    <w:p>
      <w:pPr>
        <w:pStyle w:val="ListParagraph"/>
        <w:numPr>
          <w:ilvl w:val="2"/>
          <w:numId w:val="19"/>
        </w:numPr>
        <w:tabs>
          <w:tab w:val="left" w:pos="1695"/>
          <w:tab w:val="left" w:pos="1696"/>
        </w:tabs>
        <w:spacing w:before="31" w:after="0" w:line="240" w:lineRule="auto"/>
        <w:ind w:left="1695" w:right="0" w:hanging="1265"/>
        <w:jc w:val="left"/>
        <w:rPr>
          <w:sz w:val="31"/>
        </w:rPr>
      </w:pPr>
      <w:r>
        <w:rPr>
          <w:sz w:val="31"/>
        </w:rPr>
        <w:t>产品种类</w:t>
      </w:r>
    </w:p>
    <w:p>
      <w:pPr>
        <w:pStyle w:val="Heading2"/>
        <w:numPr>
          <w:ilvl w:val="1"/>
          <w:numId w:val="19"/>
        </w:numPr>
        <w:tabs>
          <w:tab w:val="left" w:pos="1382"/>
          <w:tab w:val="left" w:pos="1383"/>
        </w:tabs>
        <w:spacing w:before="32" w:after="0" w:line="240" w:lineRule="auto"/>
        <w:ind w:left="1382" w:right="0" w:hanging="952"/>
        <w:jc w:val="left"/>
      </w:pPr>
      <w:r>
        <w:t>产品利润及其影响因素分析</w:t>
      </w:r>
    </w:p>
    <w:p>
      <w:pPr>
        <w:spacing w:after="0" w:line="240" w:lineRule="auto"/>
        <w:jc w:val="left"/>
        <w:sectPr>
          <w:pgSz w:w="17860" w:h="25260"/>
          <w:pgMar w:top="1860" w:right="860" w:bottom="280" w:left="1880" w:header="708" w:footer="708"/>
          <w:pgNumType w:start="11"/>
          <w:cols w:space="708"/>
        </w:sectPr>
      </w:pPr>
    </w:p>
    <w:p>
      <w:pPr>
        <w:pStyle w:val="ListParagraph"/>
        <w:numPr>
          <w:ilvl w:val="2"/>
          <w:numId w:val="19"/>
        </w:numPr>
        <w:tabs>
          <w:tab w:val="left" w:pos="1695"/>
          <w:tab w:val="left" w:pos="1696"/>
        </w:tabs>
        <w:spacing w:before="55" w:after="0" w:line="240" w:lineRule="auto"/>
        <w:ind w:left="1695" w:right="0" w:hanging="1265"/>
        <w:jc w:val="left"/>
        <w:rPr>
          <w:sz w:val="31"/>
        </w:rPr>
      </w:pPr>
      <w:r>
        <w:rPr>
          <w:spacing w:val="-4"/>
          <w:sz w:val="31"/>
        </w:rPr>
        <w:t>本</w:t>
      </w:r>
      <w:r>
        <w:rPr>
          <w:rFonts w:ascii="宋体" w:eastAsia="宋体" w:hint="eastAsia"/>
          <w:sz w:val="31"/>
        </w:rPr>
        <w:t>-</w:t>
      </w:r>
      <w:r>
        <w:rPr>
          <w:sz w:val="31"/>
        </w:rPr>
        <w:t>量</w:t>
      </w:r>
      <w:r>
        <w:rPr>
          <w:rFonts w:ascii="宋体" w:eastAsia="宋体" w:hint="eastAsia"/>
          <w:spacing w:val="-4"/>
          <w:sz w:val="31"/>
        </w:rPr>
        <w:t>-</w:t>
      </w:r>
      <w:r>
        <w:rPr>
          <w:sz w:val="31"/>
        </w:rPr>
        <w:t>利分析法与盈亏临界点分析</w:t>
      </w:r>
    </w:p>
    <w:p>
      <w:pPr>
        <w:pStyle w:val="ListParagraph"/>
        <w:numPr>
          <w:ilvl w:val="2"/>
          <w:numId w:val="19"/>
        </w:numPr>
        <w:tabs>
          <w:tab w:val="left" w:pos="1695"/>
          <w:tab w:val="left" w:pos="1696"/>
        </w:tabs>
        <w:spacing w:before="32" w:after="0" w:line="240" w:lineRule="auto"/>
        <w:ind w:left="1695" w:right="0" w:hanging="1265"/>
        <w:jc w:val="left"/>
        <w:rPr>
          <w:sz w:val="31"/>
        </w:rPr>
      </w:pPr>
      <w:r>
        <w:rPr>
          <w:sz w:val="31"/>
        </w:rPr>
        <w:t>目标利润及其影响因素分析</w:t>
      </w:r>
    </w:p>
    <w:p>
      <w:pPr>
        <w:pStyle w:val="ListParagraph"/>
        <w:numPr>
          <w:ilvl w:val="2"/>
          <w:numId w:val="19"/>
        </w:numPr>
        <w:tabs>
          <w:tab w:val="left" w:pos="1695"/>
          <w:tab w:val="left" w:pos="1696"/>
        </w:tabs>
        <w:spacing w:before="32" w:after="0" w:line="455" w:lineRule="exact"/>
        <w:ind w:left="1695" w:right="0" w:hanging="1265"/>
        <w:jc w:val="left"/>
        <w:rPr>
          <w:sz w:val="31"/>
        </w:rPr>
      </w:pPr>
      <w:r>
        <w:rPr>
          <w:sz w:val="31"/>
        </w:rPr>
        <w:t>敏感性分析</w:t>
      </w:r>
    </w:p>
    <w:p>
      <w:pPr>
        <w:tabs>
          <w:tab w:val="left" w:pos="2235"/>
        </w:tabs>
        <w:spacing w:before="0" w:line="537" w:lineRule="exact"/>
        <w:ind w:left="431" w:right="0" w:firstLine="0"/>
        <w:jc w:val="left"/>
        <w:rPr>
          <w:b/>
          <w:sz w:val="36"/>
        </w:rPr>
      </w:pPr>
      <w:r>
        <w:rPr>
          <w:b/>
          <w:sz w:val="36"/>
        </w:rPr>
        <w:t>第十四章</w:t>
        <w:tab/>
        <w:t>基于经济增加值的业绩驱动因素分析</w:t>
      </w:r>
    </w:p>
    <w:p>
      <w:pPr>
        <w:pStyle w:val="BodyText"/>
        <w:spacing w:before="88"/>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2" w:line="504" w:lineRule="exact"/>
        <w:ind w:left="1061"/>
      </w:pPr>
      <w:r>
        <w:rPr>
          <w:rFonts w:ascii="宋体" w:eastAsia="宋体" w:hint="eastAsia"/>
        </w:rPr>
        <w:t>1</w:t>
      </w:r>
      <w:r>
        <w:rPr>
          <w:spacing w:val="25"/>
        </w:rPr>
        <w:t>、了解</w:t>
      </w:r>
      <w:r>
        <w:rPr>
          <w:rFonts w:ascii="宋体" w:eastAsia="宋体" w:hint="eastAsia"/>
        </w:rPr>
        <w:t>EVA</w:t>
      </w:r>
      <w:r>
        <w:rPr>
          <w:rFonts w:ascii="宋体" w:eastAsia="宋体" w:hint="eastAsia"/>
          <w:spacing w:val="-76"/>
        </w:rPr>
        <w:t xml:space="preserve"> </w:t>
      </w:r>
      <w:r>
        <w:t>与会计利润在管理者业绩评价、企业价值评估上的联系与区别；</w:t>
      </w:r>
    </w:p>
    <w:p>
      <w:pPr>
        <w:pStyle w:val="BodyText"/>
        <w:spacing w:line="504" w:lineRule="exact"/>
        <w:ind w:left="1065"/>
      </w:pPr>
      <w:r>
        <w:rPr>
          <w:rFonts w:ascii="宋体" w:eastAsia="宋体" w:hint="eastAsia"/>
          <w:spacing w:val="-4"/>
        </w:rPr>
        <w:t>2</w:t>
      </w:r>
      <w:r>
        <w:rPr>
          <w:spacing w:val="25"/>
        </w:rPr>
        <w:t>、掌握</w:t>
      </w:r>
      <w:r>
        <w:rPr>
          <w:rFonts w:ascii="宋体" w:eastAsia="宋体" w:hint="eastAsia"/>
        </w:rPr>
        <w:t>EVA</w:t>
      </w:r>
      <w:r>
        <w:rPr>
          <w:rFonts w:ascii="宋体" w:eastAsia="宋体" w:hint="eastAsia"/>
          <w:spacing w:val="-77"/>
        </w:rPr>
        <w:t xml:space="preserve"> </w:t>
      </w:r>
      <w:r>
        <w:rPr>
          <w:spacing w:val="4"/>
        </w:rPr>
        <w:t>的计算方法与应用原理，理解</w:t>
      </w:r>
      <w:r>
        <w:rPr>
          <w:rFonts w:ascii="宋体" w:eastAsia="宋体" w:hint="eastAsia"/>
        </w:rPr>
        <w:t>EVA</w:t>
      </w:r>
      <w:r>
        <w:rPr>
          <w:rFonts w:ascii="宋体" w:eastAsia="宋体" w:hint="eastAsia"/>
          <w:spacing w:val="-76"/>
        </w:rPr>
        <w:t xml:space="preserve"> </w:t>
      </w:r>
      <w:r>
        <w:t>计算中的会计调整原理；</w:t>
      </w:r>
    </w:p>
    <w:p>
      <w:pPr>
        <w:pStyle w:val="BodyText"/>
        <w:spacing w:before="31"/>
        <w:ind w:left="1065"/>
      </w:pPr>
      <w:r>
        <w:rPr>
          <w:rFonts w:ascii="宋体" w:eastAsia="宋体" w:hint="eastAsia"/>
        </w:rPr>
        <w:t>3</w:t>
      </w:r>
      <w:r>
        <w:t>、能够运用可获取数据计算出</w:t>
      </w:r>
      <w:r>
        <w:rPr>
          <w:rFonts w:ascii="宋体" w:eastAsia="宋体" w:hint="eastAsia"/>
        </w:rPr>
        <w:t>EVA</w:t>
      </w:r>
      <w:r>
        <w:t>，据此进行管理者业绩评价；</w:t>
      </w:r>
    </w:p>
    <w:p>
      <w:pPr>
        <w:pStyle w:val="BodyText"/>
        <w:spacing w:before="32" w:line="273" w:lineRule="auto"/>
        <w:ind w:left="431" w:right="5686" w:firstLine="633"/>
        <w:rPr>
          <w:rFonts w:ascii="宋体" w:eastAsia="宋体" w:hint="eastAsia"/>
        </w:rPr>
      </w:pPr>
      <w:r>
        <w:rPr>
          <w:rFonts w:ascii="宋体" w:eastAsia="宋体" w:hint="eastAsia"/>
          <w:spacing w:val="-4"/>
        </w:rPr>
        <w:t>4</w:t>
      </w:r>
      <w:r>
        <w:rPr>
          <w:spacing w:val="4"/>
        </w:rPr>
        <w:t>、能够运用可获取数据发掘</w:t>
      </w:r>
      <w:r>
        <w:rPr>
          <w:rFonts w:ascii="宋体" w:eastAsia="宋体" w:hint="eastAsia"/>
        </w:rPr>
        <w:t>EVA</w:t>
      </w:r>
      <w:r>
        <w:rPr>
          <w:rFonts w:ascii="宋体" w:eastAsia="宋体" w:hint="eastAsia"/>
          <w:spacing w:val="59"/>
        </w:rPr>
        <w:t xml:space="preserve"> </w:t>
      </w:r>
      <w:r>
        <w:rPr>
          <w:spacing w:val="-2"/>
        </w:rPr>
        <w:t>增减变动的主要影响因素。</w:t>
      </w:r>
      <w:r>
        <w:rPr>
          <w:rFonts w:ascii="宋体" w:eastAsia="宋体" w:hint="eastAsia"/>
        </w:rPr>
        <w:t>[</w:t>
      </w:r>
      <w:r>
        <w:rPr>
          <w:spacing w:val="-2"/>
        </w:rPr>
        <w:t>教学重点与难点</w:t>
      </w:r>
      <w:r>
        <w:rPr>
          <w:rFonts w:ascii="宋体" w:eastAsia="宋体" w:hint="eastAsia"/>
        </w:rPr>
        <w:t>]</w:t>
      </w:r>
    </w:p>
    <w:p>
      <w:pPr>
        <w:pStyle w:val="BodyText"/>
        <w:spacing w:line="429" w:lineRule="exact"/>
        <w:ind w:left="431"/>
      </w:pPr>
      <w:r>
        <w:t>本章重点：</w:t>
      </w:r>
    </w:p>
    <w:p>
      <w:pPr>
        <w:pStyle w:val="BodyText"/>
        <w:spacing w:before="32" w:line="254" w:lineRule="auto"/>
        <w:ind w:left="431" w:right="5288" w:firstLine="633"/>
      </w:pPr>
      <w:r>
        <w:rPr>
          <w:rFonts w:ascii="宋体" w:eastAsia="宋体" w:hint="eastAsia"/>
        </w:rPr>
        <w:t>EVA</w:t>
      </w:r>
      <w:r>
        <w:rPr>
          <w:rFonts w:ascii="宋体" w:eastAsia="宋体" w:hint="eastAsia"/>
          <w:spacing w:val="1"/>
        </w:rPr>
        <w:t xml:space="preserve"> </w:t>
      </w:r>
      <w:r>
        <w:rPr>
          <w:spacing w:val="4"/>
        </w:rPr>
        <w:t>的计算方法与应用原理，理解</w:t>
      </w:r>
      <w:r>
        <w:rPr>
          <w:rFonts w:ascii="宋体" w:eastAsia="宋体" w:hint="eastAsia"/>
        </w:rPr>
        <w:t>EVA</w:t>
      </w:r>
      <w:r>
        <w:rPr>
          <w:rFonts w:ascii="宋体" w:eastAsia="宋体" w:hint="eastAsia"/>
          <w:spacing w:val="1"/>
        </w:rPr>
        <w:t xml:space="preserve"> </w:t>
      </w:r>
      <w:r>
        <w:rPr>
          <w:spacing w:val="-2"/>
        </w:rPr>
        <w:t xml:space="preserve">计算中的会计调整原理； </w:t>
      </w:r>
      <w:r>
        <w:t>本章难点：</w:t>
      </w:r>
    </w:p>
    <w:p>
      <w:pPr>
        <w:pStyle w:val="BodyText"/>
        <w:spacing w:before="2"/>
        <w:ind w:left="1065"/>
      </w:pPr>
      <w:r>
        <w:rPr>
          <w:rFonts w:ascii="宋体" w:eastAsia="宋体" w:hint="eastAsia"/>
        </w:rPr>
        <w:t>1</w:t>
      </w:r>
      <w:r>
        <w:t>、运用可获取数据计算出</w:t>
      </w:r>
      <w:r>
        <w:rPr>
          <w:rFonts w:ascii="宋体" w:eastAsia="宋体" w:hint="eastAsia"/>
        </w:rPr>
        <w:t>EVA</w:t>
      </w:r>
      <w:r>
        <w:t>，据此进行管理者业绩评价</w:t>
      </w:r>
    </w:p>
    <w:p>
      <w:pPr>
        <w:pStyle w:val="BodyText"/>
        <w:spacing w:before="32"/>
        <w:ind w:left="1065"/>
      </w:pPr>
      <w:r>
        <w:rPr>
          <w:rFonts w:ascii="宋体" w:eastAsia="宋体" w:hint="eastAsia"/>
          <w:spacing w:val="-4"/>
        </w:rPr>
        <w:t>2</w:t>
      </w:r>
      <w:r>
        <w:t>、</w:t>
      </w:r>
      <w:r>
        <w:rPr>
          <w:rFonts w:ascii="宋体" w:eastAsia="宋体" w:hint="eastAsia"/>
        </w:rPr>
        <w:t>EVA</w:t>
      </w:r>
      <w:r>
        <w:rPr>
          <w:rFonts w:ascii="宋体" w:eastAsia="宋体" w:hint="eastAsia"/>
          <w:spacing w:val="-80"/>
        </w:rPr>
        <w:t xml:space="preserve"> </w:t>
      </w:r>
      <w:r>
        <w:t>的计算方法与应用原理</w:t>
      </w:r>
    </w:p>
    <w:p>
      <w:pPr>
        <w:pStyle w:val="Heading2"/>
        <w:numPr>
          <w:ilvl w:val="1"/>
          <w:numId w:val="18"/>
        </w:numPr>
        <w:tabs>
          <w:tab w:val="left" w:pos="1382"/>
          <w:tab w:val="left" w:pos="1383"/>
        </w:tabs>
        <w:spacing w:before="72" w:after="0" w:line="240" w:lineRule="auto"/>
        <w:ind w:left="1382" w:right="0" w:hanging="952"/>
        <w:jc w:val="left"/>
      </w:pPr>
      <w:r>
        <w:t>经济增加值概述</w:t>
      </w:r>
    </w:p>
    <w:p>
      <w:pPr>
        <w:pStyle w:val="ListParagraph"/>
        <w:numPr>
          <w:ilvl w:val="2"/>
          <w:numId w:val="18"/>
        </w:numPr>
        <w:tabs>
          <w:tab w:val="left" w:pos="1695"/>
          <w:tab w:val="left" w:pos="1696"/>
        </w:tabs>
        <w:spacing w:before="31" w:after="0" w:line="240" w:lineRule="auto"/>
        <w:ind w:left="1695" w:right="0" w:hanging="1265"/>
        <w:jc w:val="left"/>
        <w:rPr>
          <w:sz w:val="31"/>
        </w:rPr>
      </w:pPr>
      <w:r>
        <w:rPr>
          <w:sz w:val="31"/>
        </w:rPr>
        <w:t>经济增加值的起源与发展现状</w:t>
      </w:r>
    </w:p>
    <w:p>
      <w:pPr>
        <w:pStyle w:val="ListParagraph"/>
        <w:numPr>
          <w:ilvl w:val="2"/>
          <w:numId w:val="18"/>
        </w:numPr>
        <w:tabs>
          <w:tab w:val="left" w:pos="1695"/>
          <w:tab w:val="left" w:pos="1696"/>
        </w:tabs>
        <w:spacing w:before="32" w:after="0" w:line="240" w:lineRule="auto"/>
        <w:ind w:left="1695" w:right="0" w:hanging="1265"/>
        <w:jc w:val="left"/>
        <w:rPr>
          <w:sz w:val="31"/>
        </w:rPr>
      </w:pPr>
      <w:r>
        <w:rPr>
          <w:sz w:val="31"/>
        </w:rPr>
        <w:t>经济增加值的含义</w:t>
      </w:r>
    </w:p>
    <w:p>
      <w:pPr>
        <w:pStyle w:val="Heading2"/>
        <w:numPr>
          <w:ilvl w:val="1"/>
          <w:numId w:val="18"/>
        </w:numPr>
        <w:tabs>
          <w:tab w:val="left" w:pos="1382"/>
          <w:tab w:val="left" w:pos="1383"/>
        </w:tabs>
        <w:spacing w:before="32" w:after="0" w:line="240" w:lineRule="auto"/>
        <w:ind w:left="1382" w:right="0" w:hanging="952"/>
        <w:jc w:val="left"/>
      </w:pPr>
      <w:r>
        <w:t>经济增加值的计算原理与方法</w:t>
      </w:r>
    </w:p>
    <w:p>
      <w:pPr>
        <w:pStyle w:val="ListParagraph"/>
        <w:numPr>
          <w:ilvl w:val="2"/>
          <w:numId w:val="18"/>
        </w:numPr>
        <w:tabs>
          <w:tab w:val="left" w:pos="1695"/>
          <w:tab w:val="left" w:pos="1696"/>
        </w:tabs>
        <w:spacing w:before="31" w:after="0" w:line="240" w:lineRule="auto"/>
        <w:ind w:left="1695" w:right="0" w:hanging="1265"/>
        <w:jc w:val="left"/>
        <w:rPr>
          <w:sz w:val="31"/>
        </w:rPr>
      </w:pPr>
      <w:r>
        <w:rPr>
          <w:sz w:val="31"/>
        </w:rPr>
        <w:t>经济增加值的计算原理</w:t>
      </w:r>
    </w:p>
    <w:p>
      <w:pPr>
        <w:pStyle w:val="ListParagraph"/>
        <w:numPr>
          <w:ilvl w:val="2"/>
          <w:numId w:val="18"/>
        </w:numPr>
        <w:tabs>
          <w:tab w:val="left" w:pos="1695"/>
          <w:tab w:val="left" w:pos="1696"/>
        </w:tabs>
        <w:spacing w:before="32" w:after="0" w:line="240" w:lineRule="auto"/>
        <w:ind w:left="1695" w:right="0" w:hanging="1265"/>
        <w:jc w:val="left"/>
        <w:rPr>
          <w:sz w:val="31"/>
        </w:rPr>
      </w:pPr>
      <w:r>
        <w:rPr>
          <w:spacing w:val="-2"/>
          <w:sz w:val="31"/>
        </w:rPr>
        <w:t xml:space="preserve">国资委 </w:t>
      </w:r>
      <w:r>
        <w:rPr>
          <w:rFonts w:ascii="宋体" w:eastAsia="宋体" w:hint="eastAsia"/>
          <w:sz w:val="31"/>
        </w:rPr>
        <w:t>2012</w:t>
      </w:r>
      <w:r>
        <w:rPr>
          <w:rFonts w:ascii="宋体" w:eastAsia="宋体" w:hint="eastAsia"/>
          <w:spacing w:val="-79"/>
          <w:sz w:val="31"/>
        </w:rPr>
        <w:t xml:space="preserve"> </w:t>
      </w:r>
      <w:r>
        <w:rPr>
          <w:spacing w:val="9"/>
          <w:sz w:val="31"/>
        </w:rPr>
        <w:t>年《办法》中的</w:t>
      </w:r>
      <w:r>
        <w:rPr>
          <w:rFonts w:ascii="宋体" w:eastAsia="宋体" w:hint="eastAsia"/>
          <w:sz w:val="31"/>
        </w:rPr>
        <w:t>EVA</w:t>
      </w:r>
      <w:r>
        <w:rPr>
          <w:rFonts w:ascii="宋体" w:eastAsia="宋体" w:hint="eastAsia"/>
          <w:spacing w:val="-79"/>
          <w:sz w:val="31"/>
        </w:rPr>
        <w:t xml:space="preserve"> </w:t>
      </w:r>
      <w:r>
        <w:rPr>
          <w:sz w:val="31"/>
        </w:rPr>
        <w:t>计算方法</w:t>
      </w:r>
    </w:p>
    <w:p>
      <w:pPr>
        <w:pStyle w:val="ListParagraph"/>
        <w:numPr>
          <w:ilvl w:val="2"/>
          <w:numId w:val="18"/>
        </w:numPr>
        <w:tabs>
          <w:tab w:val="left" w:pos="1695"/>
          <w:tab w:val="left" w:pos="1696"/>
        </w:tabs>
        <w:spacing w:before="32" w:after="0" w:line="240" w:lineRule="auto"/>
        <w:ind w:left="1695" w:right="0" w:hanging="1265"/>
        <w:jc w:val="left"/>
        <w:rPr>
          <w:sz w:val="31"/>
        </w:rPr>
      </w:pPr>
      <w:r>
        <w:rPr>
          <w:sz w:val="31"/>
        </w:rPr>
        <w:t>经济增加值的应用原理</w:t>
      </w:r>
    </w:p>
    <w:p>
      <w:pPr>
        <w:pStyle w:val="ListParagraph"/>
        <w:numPr>
          <w:ilvl w:val="2"/>
          <w:numId w:val="18"/>
        </w:numPr>
        <w:tabs>
          <w:tab w:val="left" w:pos="1695"/>
          <w:tab w:val="left" w:pos="1696"/>
        </w:tabs>
        <w:spacing w:before="32" w:after="0" w:line="240" w:lineRule="auto"/>
        <w:ind w:left="1695" w:right="0" w:hanging="1265"/>
        <w:jc w:val="left"/>
        <w:rPr>
          <w:sz w:val="31"/>
        </w:rPr>
      </w:pPr>
      <w:r>
        <w:rPr>
          <w:sz w:val="31"/>
        </w:rPr>
        <w:t>经济增加值在企业业绩评价中的应用</w:t>
      </w:r>
    </w:p>
    <w:p>
      <w:pPr>
        <w:pStyle w:val="Heading2"/>
        <w:numPr>
          <w:ilvl w:val="1"/>
          <w:numId w:val="18"/>
        </w:numPr>
        <w:tabs>
          <w:tab w:val="left" w:pos="1382"/>
          <w:tab w:val="left" w:pos="1383"/>
        </w:tabs>
        <w:spacing w:before="31" w:after="0" w:line="240" w:lineRule="auto"/>
        <w:ind w:left="1382" w:right="0" w:hanging="952"/>
        <w:jc w:val="left"/>
      </w:pPr>
      <w:r>
        <w:t>经济增加值的增减变动原因分析</w:t>
      </w:r>
    </w:p>
    <w:p>
      <w:pPr>
        <w:pStyle w:val="ListParagraph"/>
        <w:numPr>
          <w:ilvl w:val="2"/>
          <w:numId w:val="18"/>
        </w:numPr>
        <w:tabs>
          <w:tab w:val="left" w:pos="1695"/>
          <w:tab w:val="left" w:pos="1696"/>
        </w:tabs>
        <w:spacing w:before="32" w:after="0" w:line="240" w:lineRule="auto"/>
        <w:ind w:left="1695" w:right="0" w:hanging="1265"/>
        <w:jc w:val="left"/>
        <w:rPr>
          <w:sz w:val="31"/>
        </w:rPr>
      </w:pPr>
      <w:r>
        <w:rPr>
          <w:sz w:val="31"/>
        </w:rPr>
        <w:t>经济增加值与企业业绩评价</w:t>
      </w:r>
    </w:p>
    <w:p>
      <w:pPr>
        <w:pStyle w:val="ListParagraph"/>
        <w:numPr>
          <w:ilvl w:val="2"/>
          <w:numId w:val="18"/>
        </w:numPr>
        <w:tabs>
          <w:tab w:val="left" w:pos="1695"/>
          <w:tab w:val="left" w:pos="1696"/>
        </w:tabs>
        <w:spacing w:before="31" w:after="0" w:line="240" w:lineRule="auto"/>
        <w:ind w:left="1695" w:right="0" w:hanging="1265"/>
        <w:jc w:val="left"/>
        <w:rPr>
          <w:sz w:val="31"/>
        </w:rPr>
      </w:pPr>
      <w:r>
        <w:rPr>
          <w:sz w:val="31"/>
        </w:rPr>
        <w:t>经济增加值的驱动因素分析</w:t>
      </w:r>
    </w:p>
    <w:p>
      <w:pPr>
        <w:pStyle w:val="Heading2"/>
        <w:numPr>
          <w:ilvl w:val="1"/>
          <w:numId w:val="18"/>
        </w:numPr>
        <w:tabs>
          <w:tab w:val="left" w:pos="1382"/>
          <w:tab w:val="left" w:pos="1383"/>
        </w:tabs>
        <w:spacing w:before="32" w:after="0" w:line="240" w:lineRule="auto"/>
        <w:ind w:left="1382" w:right="0" w:hanging="952"/>
        <w:jc w:val="left"/>
      </w:pPr>
      <w:r>
        <w:t>经济增加值的有点与缺点</w:t>
      </w:r>
    </w:p>
    <w:p>
      <w:pPr>
        <w:pStyle w:val="BodyText"/>
        <w:tabs>
          <w:tab w:val="left" w:pos="1378"/>
        </w:tabs>
        <w:spacing w:before="32"/>
        <w:ind w:left="431"/>
      </w:pPr>
      <w:r>
        <w:rPr>
          <w:rFonts w:ascii="宋体" w:eastAsia="宋体" w:hint="eastAsia"/>
        </w:rPr>
        <w:t>14.1</w:t>
        <w:tab/>
      </w:r>
      <w:r>
        <w:t>经济增加值的优势</w:t>
      </w:r>
    </w:p>
    <w:p>
      <w:pPr>
        <w:pStyle w:val="BodyText"/>
        <w:tabs>
          <w:tab w:val="left" w:pos="1695"/>
        </w:tabs>
        <w:spacing w:before="31" w:line="455" w:lineRule="exact"/>
        <w:ind w:left="431"/>
      </w:pPr>
      <w:r>
        <w:rPr>
          <w:rFonts w:ascii="宋体" w:eastAsia="宋体" w:hint="eastAsia"/>
        </w:rPr>
        <w:t>14.4.2</w:t>
        <w:tab/>
      </w:r>
      <w:r>
        <w:t>经济增加值的缺陷</w:t>
      </w:r>
    </w:p>
    <w:p>
      <w:pPr>
        <w:tabs>
          <w:tab w:val="left" w:pos="2235"/>
        </w:tabs>
        <w:spacing w:before="0" w:line="537" w:lineRule="exact"/>
        <w:ind w:left="431" w:right="0" w:firstLine="0"/>
        <w:jc w:val="left"/>
        <w:rPr>
          <w:b/>
          <w:sz w:val="36"/>
        </w:rPr>
      </w:pPr>
      <w:r>
        <w:rPr>
          <w:b/>
          <w:sz w:val="36"/>
        </w:rPr>
        <w:t>第十五章</w:t>
        <w:tab/>
        <w:t>基于战略的业绩驱动因素分析</w:t>
      </w:r>
    </w:p>
    <w:p>
      <w:pPr>
        <w:pStyle w:val="BodyText"/>
        <w:spacing w:before="89"/>
        <w:ind w:left="431"/>
        <w:rPr>
          <w:rFonts w:ascii="宋体" w:eastAsia="宋体" w:hint="eastAsia"/>
        </w:rPr>
      </w:pPr>
      <w:r>
        <w:rPr>
          <w:rFonts w:ascii="宋体" w:eastAsia="宋体" w:hint="eastAsia"/>
        </w:rPr>
        <w:t>[</w:t>
      </w:r>
      <w:r>
        <w:t>教学目的</w:t>
      </w:r>
      <w:r>
        <w:rPr>
          <w:rFonts w:ascii="宋体" w:eastAsia="宋体" w:hint="eastAsia"/>
        </w:rPr>
        <w:t>]</w:t>
      </w:r>
    </w:p>
    <w:p>
      <w:pPr>
        <w:pStyle w:val="BodyText"/>
        <w:spacing w:before="32" w:line="504" w:lineRule="exact"/>
        <w:ind w:left="1061"/>
      </w:pPr>
      <w:r>
        <w:rPr>
          <w:rFonts w:ascii="宋体" w:eastAsia="宋体" w:hint="eastAsia"/>
        </w:rPr>
        <w:t>1</w:t>
      </w:r>
      <w:r>
        <w:t>、能够运用战略地图描述企业的战略；</w:t>
      </w:r>
    </w:p>
    <w:p>
      <w:pPr>
        <w:pStyle w:val="BodyText"/>
        <w:spacing w:line="504" w:lineRule="exact"/>
        <w:ind w:left="1065"/>
      </w:pPr>
      <w:r>
        <w:rPr>
          <w:rFonts w:ascii="宋体" w:eastAsia="宋体" w:hint="eastAsia"/>
        </w:rPr>
        <w:t>2</w:t>
      </w:r>
      <w:r>
        <w:t>、掌握应用平衡计分卡衡量企业战略的方法；</w:t>
      </w:r>
    </w:p>
    <w:p>
      <w:pPr>
        <w:pStyle w:val="BodyText"/>
        <w:spacing w:before="32" w:line="273" w:lineRule="auto"/>
        <w:ind w:left="431" w:right="8196" w:firstLine="633"/>
        <w:rPr>
          <w:rFonts w:ascii="宋体" w:eastAsia="宋体" w:hint="eastAsia"/>
        </w:rPr>
      </w:pPr>
      <w:r>
        <w:rPr>
          <w:rFonts w:ascii="宋体" w:eastAsia="宋体" w:hint="eastAsia"/>
        </w:rPr>
        <w:t>3</w:t>
      </w:r>
      <w:r>
        <w:t>、了解基于战略的业绩驱动结构和因素。</w:t>
      </w:r>
      <w:r>
        <w:rPr>
          <w:rFonts w:ascii="宋体" w:eastAsia="宋体" w:hint="eastAsia"/>
        </w:rPr>
        <w:t>[</w:t>
      </w:r>
      <w:r>
        <w:t>教学重点与难点</w:t>
      </w:r>
      <w:r>
        <w:rPr>
          <w:rFonts w:ascii="宋体" w:eastAsia="宋体" w:hint="eastAsia"/>
        </w:rPr>
        <w:t>]</w:t>
      </w:r>
    </w:p>
    <w:p>
      <w:pPr>
        <w:pStyle w:val="BodyText"/>
        <w:spacing w:line="429" w:lineRule="exact"/>
        <w:ind w:left="431"/>
      </w:pPr>
      <w:r>
        <w:t>本章重点：</w:t>
      </w:r>
    </w:p>
    <w:p>
      <w:pPr>
        <w:pStyle w:val="BodyText"/>
        <w:spacing w:before="31" w:line="254" w:lineRule="auto"/>
        <w:ind w:left="431" w:right="8666" w:firstLine="633"/>
      </w:pPr>
      <w:r>
        <w:rPr>
          <w:spacing w:val="-1"/>
        </w:rPr>
        <w:t xml:space="preserve">应用平衡计分卡衡量企业战略的方法； </w:t>
      </w:r>
      <w:r>
        <w:t>本章难点：</w:t>
      </w:r>
    </w:p>
    <w:p>
      <w:pPr>
        <w:spacing w:after="0" w:line="254" w:lineRule="auto"/>
        <w:sectPr>
          <w:pgSz w:w="17860" w:h="25260"/>
          <w:pgMar w:top="1900" w:right="860" w:bottom="280" w:left="1880" w:header="708" w:footer="708"/>
          <w:pgNumType w:start="12"/>
          <w:cols w:space="708"/>
        </w:sectPr>
      </w:pPr>
    </w:p>
    <w:p>
      <w:pPr>
        <w:pStyle w:val="BodyText"/>
        <w:spacing w:before="54"/>
        <w:ind w:left="1065"/>
      </w:pPr>
      <w:r>
        <w:rPr>
          <w:rFonts w:ascii="宋体" w:eastAsia="宋体" w:hint="eastAsia"/>
        </w:rPr>
        <w:t>1</w:t>
      </w:r>
      <w:r>
        <w:t>、运用战略地图描述企业的战略</w:t>
      </w:r>
    </w:p>
    <w:p>
      <w:pPr>
        <w:pStyle w:val="BodyText"/>
        <w:spacing w:before="33"/>
        <w:ind w:left="1065"/>
      </w:pPr>
      <w:r>
        <w:rPr>
          <w:rFonts w:ascii="宋体" w:eastAsia="宋体" w:hint="eastAsia"/>
        </w:rPr>
        <w:t>2</w:t>
      </w:r>
      <w:r>
        <w:t>、应用平衡计分卡衡量企业战略的方法</w:t>
      </w:r>
    </w:p>
    <w:p>
      <w:pPr>
        <w:pStyle w:val="Heading2"/>
        <w:numPr>
          <w:ilvl w:val="1"/>
          <w:numId w:val="17"/>
        </w:numPr>
        <w:tabs>
          <w:tab w:val="left" w:pos="1382"/>
          <w:tab w:val="left" w:pos="1383"/>
        </w:tabs>
        <w:spacing w:before="72" w:after="0" w:line="240" w:lineRule="auto"/>
        <w:ind w:left="1382" w:right="0" w:hanging="952"/>
        <w:jc w:val="left"/>
      </w:pPr>
      <w:r>
        <w:rPr>
          <w:spacing w:val="-1"/>
        </w:rPr>
        <w:t>业绩导向下的战略体系</w:t>
      </w:r>
      <w:r>
        <w:rPr>
          <w:rFonts w:ascii="幼圆" w:eastAsia="幼圆" w:hAnsi="幼圆" w:hint="eastAsia"/>
        </w:rPr>
        <w:t>—</w:t>
      </w:r>
      <w:r>
        <w:t>战略地图</w:t>
      </w:r>
    </w:p>
    <w:p>
      <w:pPr>
        <w:pStyle w:val="ListParagraph"/>
        <w:numPr>
          <w:ilvl w:val="2"/>
          <w:numId w:val="17"/>
        </w:numPr>
        <w:tabs>
          <w:tab w:val="left" w:pos="1695"/>
          <w:tab w:val="left" w:pos="1696"/>
        </w:tabs>
        <w:spacing w:before="31" w:after="0" w:line="240" w:lineRule="auto"/>
        <w:ind w:left="1695" w:right="0" w:hanging="1265"/>
        <w:jc w:val="left"/>
        <w:rPr>
          <w:sz w:val="31"/>
        </w:rPr>
      </w:pPr>
      <w:r>
        <w:rPr>
          <w:sz w:val="31"/>
        </w:rPr>
        <w:t>战略地图的内容结构</w:t>
      </w:r>
    </w:p>
    <w:p>
      <w:pPr>
        <w:pStyle w:val="ListParagraph"/>
        <w:numPr>
          <w:ilvl w:val="2"/>
          <w:numId w:val="17"/>
        </w:numPr>
        <w:tabs>
          <w:tab w:val="left" w:pos="1695"/>
          <w:tab w:val="left" w:pos="1696"/>
        </w:tabs>
        <w:spacing w:before="32" w:after="0" w:line="240" w:lineRule="auto"/>
        <w:ind w:left="1695" w:right="0" w:hanging="1265"/>
        <w:jc w:val="left"/>
        <w:rPr>
          <w:sz w:val="31"/>
        </w:rPr>
      </w:pPr>
      <w:r>
        <w:rPr>
          <w:sz w:val="31"/>
        </w:rPr>
        <w:t>战略地图的建立原则</w:t>
      </w:r>
    </w:p>
    <w:p>
      <w:pPr>
        <w:pStyle w:val="ListParagraph"/>
        <w:numPr>
          <w:ilvl w:val="2"/>
          <w:numId w:val="17"/>
        </w:numPr>
        <w:tabs>
          <w:tab w:val="left" w:pos="1695"/>
          <w:tab w:val="left" w:pos="1696"/>
        </w:tabs>
        <w:spacing w:before="31" w:after="0" w:line="240" w:lineRule="auto"/>
        <w:ind w:left="1695" w:right="0" w:hanging="1265"/>
        <w:jc w:val="left"/>
        <w:rPr>
          <w:sz w:val="31"/>
        </w:rPr>
      </w:pPr>
      <w:r>
        <w:rPr>
          <w:sz w:val="31"/>
        </w:rPr>
        <w:t>战略地图的绘制步骤</w:t>
      </w:r>
    </w:p>
    <w:p>
      <w:pPr>
        <w:pStyle w:val="Heading2"/>
        <w:numPr>
          <w:ilvl w:val="1"/>
          <w:numId w:val="17"/>
        </w:numPr>
        <w:tabs>
          <w:tab w:val="left" w:pos="1382"/>
          <w:tab w:val="left" w:pos="1383"/>
        </w:tabs>
        <w:spacing w:before="32" w:after="0" w:line="240" w:lineRule="auto"/>
        <w:ind w:left="1382" w:right="0" w:hanging="952"/>
        <w:jc w:val="left"/>
      </w:pPr>
      <w:r>
        <w:t>基于战略的业绩驱动结构与因素</w:t>
      </w:r>
    </w:p>
    <w:p>
      <w:pPr>
        <w:pStyle w:val="ListParagraph"/>
        <w:numPr>
          <w:ilvl w:val="2"/>
          <w:numId w:val="17"/>
        </w:numPr>
        <w:tabs>
          <w:tab w:val="left" w:pos="1695"/>
          <w:tab w:val="left" w:pos="1696"/>
        </w:tabs>
        <w:spacing w:before="32" w:after="0" w:line="240" w:lineRule="auto"/>
        <w:ind w:left="1695" w:right="0" w:hanging="1265"/>
        <w:jc w:val="left"/>
        <w:rPr>
          <w:sz w:val="31"/>
        </w:rPr>
      </w:pPr>
      <w:r>
        <w:rPr>
          <w:sz w:val="31"/>
        </w:rPr>
        <w:t>基于战略的业绩驱动结构</w:t>
      </w:r>
    </w:p>
    <w:p>
      <w:pPr>
        <w:pStyle w:val="ListParagraph"/>
        <w:numPr>
          <w:ilvl w:val="2"/>
          <w:numId w:val="17"/>
        </w:numPr>
        <w:tabs>
          <w:tab w:val="left" w:pos="1695"/>
          <w:tab w:val="left" w:pos="1696"/>
        </w:tabs>
        <w:spacing w:before="31" w:after="0" w:line="240" w:lineRule="auto"/>
        <w:ind w:left="1695" w:right="0" w:hanging="1265"/>
        <w:jc w:val="left"/>
        <w:rPr>
          <w:sz w:val="31"/>
        </w:rPr>
      </w:pPr>
      <w:r>
        <w:rPr>
          <w:sz w:val="31"/>
        </w:rPr>
        <w:t>基于战略的业绩驱动因素</w:t>
      </w:r>
    </w:p>
    <w:p>
      <w:pPr>
        <w:pStyle w:val="Heading2"/>
        <w:numPr>
          <w:ilvl w:val="1"/>
          <w:numId w:val="17"/>
        </w:numPr>
        <w:tabs>
          <w:tab w:val="left" w:pos="1382"/>
          <w:tab w:val="left" w:pos="1383"/>
        </w:tabs>
        <w:spacing w:before="32" w:after="0" w:line="240" w:lineRule="auto"/>
        <w:ind w:left="1382" w:right="0" w:hanging="952"/>
        <w:jc w:val="left"/>
      </w:pPr>
      <w:r>
        <w:t>基于战略的业绩驱动平台</w:t>
      </w:r>
    </w:p>
    <w:p>
      <w:pPr>
        <w:pStyle w:val="ListParagraph"/>
        <w:numPr>
          <w:ilvl w:val="2"/>
          <w:numId w:val="17"/>
        </w:numPr>
        <w:tabs>
          <w:tab w:val="left" w:pos="1695"/>
          <w:tab w:val="left" w:pos="1696"/>
        </w:tabs>
        <w:spacing w:before="31" w:after="0" w:line="240" w:lineRule="auto"/>
        <w:ind w:left="1695" w:right="0" w:hanging="1265"/>
        <w:jc w:val="left"/>
        <w:rPr>
          <w:sz w:val="31"/>
        </w:rPr>
      </w:pPr>
      <w:r>
        <w:rPr>
          <w:sz w:val="31"/>
        </w:rPr>
        <w:t>战略中心型组织的原则</w:t>
      </w:r>
    </w:p>
    <w:p>
      <w:pPr>
        <w:pStyle w:val="ListParagraph"/>
        <w:numPr>
          <w:ilvl w:val="2"/>
          <w:numId w:val="17"/>
        </w:numPr>
        <w:tabs>
          <w:tab w:val="left" w:pos="1695"/>
          <w:tab w:val="left" w:pos="1696"/>
        </w:tabs>
        <w:spacing w:before="33" w:after="0" w:line="499" w:lineRule="exact"/>
        <w:ind w:left="1695" w:right="0" w:hanging="1265"/>
        <w:jc w:val="left"/>
        <w:rPr>
          <w:sz w:val="31"/>
        </w:rPr>
      </w:pPr>
      <w:r>
        <w:rPr>
          <w:sz w:val="31"/>
        </w:rPr>
        <w:t>战略中心型组织模型</w:t>
      </w:r>
    </w:p>
    <w:p>
      <w:pPr>
        <w:spacing w:before="0" w:line="452" w:lineRule="exact"/>
        <w:ind w:left="608" w:right="0" w:firstLine="0"/>
        <w:jc w:val="left"/>
        <w:rPr>
          <w:rFonts w:ascii="黑体" w:eastAsia="黑体" w:hint="eastAsia"/>
          <w:b/>
          <w:sz w:val="36"/>
        </w:rPr>
      </w:pPr>
      <w:r>
        <w:rPr>
          <w:rFonts w:ascii="黑体" w:eastAsia="黑体" w:hint="eastAsia"/>
          <w:b/>
          <w:sz w:val="36"/>
        </w:rPr>
        <w:t>四、课程学时分配</w:t>
      </w: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12"/>
        <w:rPr>
          <w:rFonts w:ascii="黑体"/>
          <w:b/>
          <w:sz w:val="18"/>
        </w:rPr>
      </w:pPr>
    </w:p>
    <w:tbl>
      <w:tblPr>
        <w:tblStyle w:val="TableNormal0"/>
        <w:tblW w:w="0" w:type="auto"/>
        <w:jc w:val="left"/>
        <w:tblInd w:w="9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56"/>
        <w:gridCol w:w="4252"/>
        <w:gridCol w:w="1165"/>
        <w:gridCol w:w="1154"/>
        <w:gridCol w:w="1228"/>
        <w:gridCol w:w="758"/>
      </w:tblGrid>
      <w:tr>
        <w:tblPrEx>
          <w:tblW w:w="0" w:type="auto"/>
          <w:jc w:val="left"/>
          <w:tblInd w:w="9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47"/>
          <w:jc w:val="left"/>
        </w:trPr>
        <w:tc>
          <w:tcPr>
            <w:tcW w:w="4808" w:type="dxa"/>
            <w:gridSpan w:val="2"/>
          </w:tcPr>
          <w:p>
            <w:pPr>
              <w:pStyle w:val="TableParagraph"/>
              <w:jc w:val="left"/>
              <w:rPr>
                <w:rFonts w:ascii="Times New Roman"/>
                <w:sz w:val="30"/>
              </w:rPr>
            </w:pPr>
          </w:p>
        </w:tc>
        <w:tc>
          <w:tcPr>
            <w:tcW w:w="1165" w:type="dxa"/>
          </w:tcPr>
          <w:p>
            <w:pPr>
              <w:pStyle w:val="TableParagraph"/>
              <w:spacing w:line="474" w:lineRule="exact"/>
              <w:ind w:left="372"/>
              <w:jc w:val="left"/>
              <w:rPr>
                <w:rFonts w:ascii="华文宋体" w:eastAsia="华文宋体" w:hint="eastAsia"/>
                <w:sz w:val="31"/>
              </w:rPr>
            </w:pPr>
            <w:r>
              <w:rPr>
                <w:rFonts w:ascii="华文宋体" w:eastAsia="华文宋体" w:hint="eastAsia"/>
                <w:w w:val="102"/>
                <w:sz w:val="31"/>
              </w:rPr>
              <w:t>时</w:t>
            </w:r>
          </w:p>
        </w:tc>
        <w:tc>
          <w:tcPr>
            <w:tcW w:w="1154" w:type="dxa"/>
          </w:tcPr>
          <w:p>
            <w:pPr>
              <w:pStyle w:val="TableParagraph"/>
              <w:spacing w:line="304" w:lineRule="exact"/>
              <w:ind w:left="228" w:right="264"/>
              <w:rPr>
                <w:rFonts w:ascii="华文宋体" w:eastAsia="华文宋体" w:hint="eastAsia"/>
                <w:b/>
                <w:sz w:val="31"/>
              </w:rPr>
            </w:pPr>
            <w:r>
              <w:rPr>
                <w:rFonts w:ascii="华文宋体" w:eastAsia="华文宋体" w:hint="eastAsia"/>
                <w:b/>
                <w:sz w:val="31"/>
              </w:rPr>
              <w:t>讲授</w:t>
            </w:r>
          </w:p>
        </w:tc>
        <w:tc>
          <w:tcPr>
            <w:tcW w:w="1228" w:type="dxa"/>
          </w:tcPr>
          <w:p>
            <w:pPr>
              <w:pStyle w:val="TableParagraph"/>
              <w:spacing w:line="304" w:lineRule="exact"/>
              <w:ind w:left="274" w:right="293"/>
              <w:rPr>
                <w:rFonts w:ascii="华文宋体" w:eastAsia="华文宋体" w:hint="eastAsia"/>
                <w:b/>
                <w:sz w:val="31"/>
              </w:rPr>
            </w:pPr>
            <w:r>
              <w:rPr>
                <w:rFonts w:ascii="华文宋体" w:eastAsia="华文宋体" w:hint="eastAsia"/>
                <w:b/>
                <w:sz w:val="31"/>
              </w:rPr>
              <w:t>讨论</w:t>
            </w:r>
          </w:p>
        </w:tc>
        <w:tc>
          <w:tcPr>
            <w:tcW w:w="758" w:type="dxa"/>
          </w:tcPr>
          <w:p>
            <w:pPr>
              <w:pStyle w:val="TableParagraph"/>
              <w:spacing w:line="304" w:lineRule="exact"/>
              <w:ind w:left="314" w:right="-202"/>
              <w:rPr>
                <w:rFonts w:ascii="华文宋体" w:eastAsia="华文宋体" w:hint="eastAsia"/>
                <w:b/>
                <w:sz w:val="31"/>
              </w:rPr>
            </w:pPr>
            <w:r>
              <w:rPr>
                <w:rFonts w:ascii="华文宋体" w:eastAsia="华文宋体" w:hint="eastAsia"/>
                <w:b/>
                <w:sz w:val="31"/>
              </w:rPr>
              <w:t>实验</w:t>
            </w:r>
          </w:p>
        </w:tc>
      </w:tr>
      <w:tr>
        <w:tblPrEx>
          <w:tblW w:w="0" w:type="auto"/>
          <w:jc w:val="left"/>
          <w:tblInd w:w="987" w:type="dxa"/>
          <w:tblLayout w:type="fixed"/>
          <w:tblCellMar>
            <w:top w:w="0" w:type="dxa"/>
            <w:left w:w="0" w:type="dxa"/>
            <w:bottom w:w="0" w:type="dxa"/>
            <w:right w:w="0" w:type="dxa"/>
          </w:tblCellMar>
          <w:tblLook w:val="01E0"/>
        </w:tblPrEx>
        <w:trPr>
          <w:trHeight w:val="691"/>
          <w:jc w:val="left"/>
        </w:trPr>
        <w:tc>
          <w:tcPr>
            <w:tcW w:w="556" w:type="dxa"/>
          </w:tcPr>
          <w:p>
            <w:pPr>
              <w:pStyle w:val="TableParagraph"/>
              <w:spacing w:before="259"/>
              <w:ind w:left="50"/>
              <w:jc w:val="left"/>
              <w:rPr>
                <w:rFonts w:ascii="宋体"/>
                <w:sz w:val="31"/>
              </w:rPr>
            </w:pPr>
            <w:r>
              <w:rPr>
                <w:rFonts w:ascii="宋体"/>
                <w:w w:val="102"/>
                <w:sz w:val="31"/>
              </w:rPr>
              <w:t>1</w:t>
            </w:r>
          </w:p>
        </w:tc>
        <w:tc>
          <w:tcPr>
            <w:tcW w:w="4252" w:type="dxa"/>
          </w:tcPr>
          <w:p>
            <w:pPr>
              <w:pStyle w:val="TableParagraph"/>
              <w:spacing w:before="200" w:line="471" w:lineRule="exact"/>
              <w:ind w:left="401"/>
              <w:jc w:val="left"/>
              <w:rPr>
                <w:rFonts w:ascii="华文宋体" w:eastAsia="华文宋体" w:hint="eastAsia"/>
                <w:sz w:val="31"/>
              </w:rPr>
            </w:pPr>
            <w:r>
              <w:rPr>
                <w:rFonts w:ascii="华文宋体" w:eastAsia="华文宋体" w:hint="eastAsia"/>
                <w:sz w:val="31"/>
              </w:rPr>
              <w:t>第二章财务报表分析概述</w:t>
            </w:r>
          </w:p>
        </w:tc>
        <w:tc>
          <w:tcPr>
            <w:tcW w:w="1165" w:type="dxa"/>
          </w:tcPr>
          <w:p>
            <w:pPr>
              <w:pStyle w:val="TableParagraph"/>
              <w:spacing w:before="259"/>
              <w:ind w:left="365"/>
              <w:jc w:val="left"/>
              <w:rPr>
                <w:rFonts w:ascii="宋体"/>
                <w:sz w:val="31"/>
              </w:rPr>
            </w:pPr>
            <w:r>
              <w:rPr>
                <w:rFonts w:ascii="宋体"/>
                <w:w w:val="102"/>
                <w:sz w:val="31"/>
              </w:rPr>
              <w:t>2</w:t>
            </w:r>
          </w:p>
        </w:tc>
        <w:tc>
          <w:tcPr>
            <w:tcW w:w="1154" w:type="dxa"/>
          </w:tcPr>
          <w:p>
            <w:pPr>
              <w:pStyle w:val="TableParagraph"/>
              <w:spacing w:before="262"/>
              <w:ind w:right="43"/>
              <w:rPr>
                <w:rFonts w:ascii="宋体"/>
                <w:sz w:val="31"/>
              </w:rPr>
            </w:pPr>
            <w:r>
              <w:rPr>
                <w:rFonts w:ascii="宋体"/>
                <w:w w:val="102"/>
                <w:sz w:val="31"/>
              </w:rPr>
              <w:t>2</w:t>
            </w:r>
          </w:p>
        </w:tc>
        <w:tc>
          <w:tcPr>
            <w:tcW w:w="1228" w:type="dxa"/>
          </w:tcPr>
          <w:p>
            <w:pPr>
              <w:pStyle w:val="TableParagraph"/>
              <w:jc w:val="left"/>
              <w:rPr>
                <w:rFonts w:ascii="Times New Roman"/>
                <w:sz w:val="30"/>
              </w:rPr>
            </w:pPr>
          </w:p>
        </w:tc>
        <w:tc>
          <w:tcPr>
            <w:tcW w:w="758" w:type="dxa"/>
          </w:tcPr>
          <w:p>
            <w:pPr>
              <w:pStyle w:val="TableParagraph"/>
              <w:jc w:val="left"/>
              <w:rPr>
                <w:rFonts w:ascii="Times New Roman"/>
                <w:sz w:val="30"/>
              </w:rPr>
            </w:pPr>
          </w:p>
        </w:tc>
      </w:tr>
      <w:tr>
        <w:tblPrEx>
          <w:tblW w:w="0" w:type="auto"/>
          <w:jc w:val="left"/>
          <w:tblInd w:w="987" w:type="dxa"/>
          <w:tblLayout w:type="fixed"/>
          <w:tblCellMar>
            <w:top w:w="0" w:type="dxa"/>
            <w:left w:w="0" w:type="dxa"/>
            <w:bottom w:w="0" w:type="dxa"/>
            <w:right w:w="0" w:type="dxa"/>
          </w:tblCellMar>
          <w:tblLook w:val="01E0"/>
        </w:tblPrEx>
        <w:trPr>
          <w:trHeight w:val="509"/>
          <w:jc w:val="left"/>
        </w:trPr>
        <w:tc>
          <w:tcPr>
            <w:tcW w:w="556" w:type="dxa"/>
          </w:tcPr>
          <w:p>
            <w:pPr>
              <w:pStyle w:val="TableParagraph"/>
              <w:spacing w:before="68"/>
              <w:ind w:left="50"/>
              <w:jc w:val="left"/>
              <w:rPr>
                <w:rFonts w:ascii="宋体"/>
                <w:sz w:val="31"/>
              </w:rPr>
            </w:pPr>
            <w:r>
              <w:rPr>
                <w:rFonts w:ascii="宋体"/>
                <w:w w:val="102"/>
                <w:sz w:val="31"/>
              </w:rPr>
              <w:t>2</w:t>
            </w:r>
          </w:p>
        </w:tc>
        <w:tc>
          <w:tcPr>
            <w:tcW w:w="4252" w:type="dxa"/>
          </w:tcPr>
          <w:p>
            <w:pPr>
              <w:pStyle w:val="TableParagraph"/>
              <w:spacing w:before="9" w:line="480" w:lineRule="exact"/>
              <w:ind w:left="346"/>
              <w:jc w:val="left"/>
              <w:rPr>
                <w:rFonts w:ascii="华文宋体" w:eastAsia="华文宋体" w:hint="eastAsia"/>
                <w:sz w:val="31"/>
              </w:rPr>
            </w:pPr>
            <w:r>
              <w:rPr>
                <w:rFonts w:ascii="华文宋体" w:eastAsia="华文宋体" w:hint="eastAsia"/>
                <w:sz w:val="31"/>
              </w:rPr>
              <w:t>第三章财务报表分析技术</w:t>
            </w:r>
          </w:p>
        </w:tc>
        <w:tc>
          <w:tcPr>
            <w:tcW w:w="1165" w:type="dxa"/>
          </w:tcPr>
          <w:p>
            <w:pPr>
              <w:pStyle w:val="TableParagraph"/>
              <w:spacing w:before="68"/>
              <w:ind w:left="365"/>
              <w:jc w:val="left"/>
              <w:rPr>
                <w:rFonts w:ascii="宋体"/>
                <w:sz w:val="31"/>
              </w:rPr>
            </w:pPr>
            <w:r>
              <w:rPr>
                <w:rFonts w:ascii="宋体"/>
                <w:w w:val="102"/>
                <w:sz w:val="31"/>
              </w:rPr>
              <w:t>2</w:t>
            </w:r>
          </w:p>
        </w:tc>
        <w:tc>
          <w:tcPr>
            <w:tcW w:w="1154" w:type="dxa"/>
          </w:tcPr>
          <w:p>
            <w:pPr>
              <w:pStyle w:val="TableParagraph"/>
              <w:spacing w:before="71"/>
              <w:ind w:right="43"/>
              <w:rPr>
                <w:rFonts w:ascii="宋体"/>
                <w:sz w:val="31"/>
              </w:rPr>
            </w:pPr>
            <w:r>
              <w:rPr>
                <w:rFonts w:ascii="宋体"/>
                <w:w w:val="102"/>
                <w:sz w:val="31"/>
              </w:rPr>
              <w:t>2</w:t>
            </w:r>
          </w:p>
        </w:tc>
        <w:tc>
          <w:tcPr>
            <w:tcW w:w="1228" w:type="dxa"/>
          </w:tcPr>
          <w:p>
            <w:pPr>
              <w:pStyle w:val="TableParagraph"/>
              <w:jc w:val="left"/>
              <w:rPr>
                <w:rFonts w:ascii="Times New Roman"/>
                <w:sz w:val="30"/>
              </w:rPr>
            </w:pPr>
          </w:p>
        </w:tc>
        <w:tc>
          <w:tcPr>
            <w:tcW w:w="758" w:type="dxa"/>
          </w:tcPr>
          <w:p>
            <w:pPr>
              <w:pStyle w:val="TableParagraph"/>
              <w:jc w:val="left"/>
              <w:rPr>
                <w:rFonts w:ascii="Times New Roman"/>
                <w:sz w:val="30"/>
              </w:rPr>
            </w:pPr>
          </w:p>
        </w:tc>
      </w:tr>
      <w:tr>
        <w:tblPrEx>
          <w:tblW w:w="0" w:type="auto"/>
          <w:jc w:val="left"/>
          <w:tblInd w:w="987" w:type="dxa"/>
          <w:tblLayout w:type="fixed"/>
          <w:tblCellMar>
            <w:top w:w="0" w:type="dxa"/>
            <w:left w:w="0" w:type="dxa"/>
            <w:bottom w:w="0" w:type="dxa"/>
            <w:right w:w="0" w:type="dxa"/>
          </w:tblCellMar>
          <w:tblLook w:val="01E0"/>
        </w:tblPrEx>
        <w:trPr>
          <w:trHeight w:val="542"/>
          <w:jc w:val="left"/>
        </w:trPr>
        <w:tc>
          <w:tcPr>
            <w:tcW w:w="556" w:type="dxa"/>
          </w:tcPr>
          <w:p>
            <w:pPr>
              <w:pStyle w:val="TableParagraph"/>
              <w:spacing w:before="77"/>
              <w:ind w:left="50"/>
              <w:jc w:val="left"/>
              <w:rPr>
                <w:rFonts w:ascii="宋体"/>
                <w:sz w:val="31"/>
              </w:rPr>
            </w:pPr>
            <w:r>
              <w:rPr>
                <w:rFonts w:ascii="宋体"/>
                <w:w w:val="102"/>
                <w:sz w:val="31"/>
              </w:rPr>
              <w:t>3</w:t>
            </w:r>
          </w:p>
        </w:tc>
        <w:tc>
          <w:tcPr>
            <w:tcW w:w="4252" w:type="dxa"/>
          </w:tcPr>
          <w:p>
            <w:pPr>
              <w:pStyle w:val="TableParagraph"/>
              <w:spacing w:before="18" w:line="504" w:lineRule="exact"/>
              <w:ind w:left="346"/>
              <w:jc w:val="left"/>
              <w:rPr>
                <w:rFonts w:ascii="华文宋体" w:eastAsia="华文宋体" w:hint="eastAsia"/>
                <w:sz w:val="31"/>
              </w:rPr>
            </w:pPr>
            <w:r>
              <w:rPr>
                <w:rFonts w:ascii="华文宋体" w:eastAsia="华文宋体" w:hint="eastAsia"/>
                <w:sz w:val="31"/>
              </w:rPr>
              <w:t>第四章偿债能力分析</w:t>
            </w:r>
          </w:p>
        </w:tc>
        <w:tc>
          <w:tcPr>
            <w:tcW w:w="1165" w:type="dxa"/>
          </w:tcPr>
          <w:p>
            <w:pPr>
              <w:pStyle w:val="TableParagraph"/>
              <w:spacing w:before="77"/>
              <w:ind w:left="365"/>
              <w:jc w:val="left"/>
              <w:rPr>
                <w:rFonts w:ascii="宋体"/>
                <w:sz w:val="31"/>
              </w:rPr>
            </w:pPr>
            <w:r>
              <w:rPr>
                <w:rFonts w:ascii="宋体"/>
                <w:w w:val="102"/>
                <w:sz w:val="31"/>
              </w:rPr>
              <w:t>7</w:t>
            </w:r>
          </w:p>
        </w:tc>
        <w:tc>
          <w:tcPr>
            <w:tcW w:w="1154" w:type="dxa"/>
          </w:tcPr>
          <w:p>
            <w:pPr>
              <w:pStyle w:val="TableParagraph"/>
              <w:spacing w:before="80"/>
              <w:ind w:right="43"/>
              <w:rPr>
                <w:rFonts w:ascii="宋体"/>
                <w:sz w:val="31"/>
              </w:rPr>
            </w:pPr>
            <w:r>
              <w:rPr>
                <w:rFonts w:ascii="宋体"/>
                <w:w w:val="102"/>
                <w:sz w:val="31"/>
              </w:rPr>
              <w:t>2</w:t>
            </w:r>
          </w:p>
        </w:tc>
        <w:tc>
          <w:tcPr>
            <w:tcW w:w="1228" w:type="dxa"/>
          </w:tcPr>
          <w:p>
            <w:pPr>
              <w:pStyle w:val="TableParagraph"/>
              <w:spacing w:before="44"/>
              <w:ind w:right="27"/>
              <w:rPr>
                <w:rFonts w:ascii="宋体"/>
                <w:sz w:val="31"/>
              </w:rPr>
            </w:pPr>
            <w:r>
              <w:rPr>
                <w:rFonts w:ascii="宋体"/>
                <w:w w:val="102"/>
                <w:sz w:val="31"/>
              </w:rPr>
              <w:t>1</w:t>
            </w:r>
          </w:p>
        </w:tc>
        <w:tc>
          <w:tcPr>
            <w:tcW w:w="758" w:type="dxa"/>
          </w:tcPr>
          <w:p>
            <w:pPr>
              <w:pStyle w:val="TableParagraph"/>
              <w:spacing w:before="80"/>
              <w:ind w:left="497"/>
              <w:rPr>
                <w:rFonts w:ascii="宋体"/>
                <w:sz w:val="31"/>
              </w:rPr>
            </w:pPr>
            <w:r>
              <w:rPr>
                <w:rFonts w:ascii="宋体"/>
                <w:w w:val="102"/>
                <w:sz w:val="31"/>
              </w:rPr>
              <w:t>4</w:t>
            </w:r>
          </w:p>
        </w:tc>
      </w:tr>
      <w:tr>
        <w:tblPrEx>
          <w:tblW w:w="0" w:type="auto"/>
          <w:jc w:val="left"/>
          <w:tblInd w:w="987" w:type="dxa"/>
          <w:tblLayout w:type="fixed"/>
          <w:tblCellMar>
            <w:top w:w="0" w:type="dxa"/>
            <w:left w:w="0" w:type="dxa"/>
            <w:bottom w:w="0" w:type="dxa"/>
            <w:right w:w="0" w:type="dxa"/>
          </w:tblCellMar>
          <w:tblLook w:val="01E0"/>
        </w:tblPrEx>
        <w:trPr>
          <w:trHeight w:val="567"/>
          <w:jc w:val="left"/>
        </w:trPr>
        <w:tc>
          <w:tcPr>
            <w:tcW w:w="556" w:type="dxa"/>
          </w:tcPr>
          <w:p>
            <w:pPr>
              <w:pStyle w:val="TableParagraph"/>
              <w:spacing w:before="100"/>
              <w:ind w:left="50"/>
              <w:jc w:val="left"/>
              <w:rPr>
                <w:rFonts w:ascii="宋体"/>
                <w:sz w:val="31"/>
              </w:rPr>
            </w:pPr>
            <w:r>
              <w:rPr>
                <w:rFonts w:ascii="宋体"/>
                <w:w w:val="102"/>
                <w:sz w:val="31"/>
              </w:rPr>
              <w:t>4</w:t>
            </w:r>
          </w:p>
        </w:tc>
        <w:tc>
          <w:tcPr>
            <w:tcW w:w="4252" w:type="dxa"/>
          </w:tcPr>
          <w:p>
            <w:pPr>
              <w:pStyle w:val="TableParagraph"/>
              <w:spacing w:before="42" w:line="505" w:lineRule="exact"/>
              <w:ind w:left="346"/>
              <w:jc w:val="left"/>
              <w:rPr>
                <w:rFonts w:ascii="华文宋体" w:eastAsia="华文宋体" w:hint="eastAsia"/>
                <w:sz w:val="31"/>
              </w:rPr>
            </w:pPr>
            <w:r>
              <w:rPr>
                <w:rFonts w:ascii="华文宋体" w:eastAsia="华文宋体" w:hint="eastAsia"/>
                <w:sz w:val="31"/>
              </w:rPr>
              <w:t>第五章营运能力分析</w:t>
            </w:r>
          </w:p>
        </w:tc>
        <w:tc>
          <w:tcPr>
            <w:tcW w:w="1165" w:type="dxa"/>
          </w:tcPr>
          <w:p>
            <w:pPr>
              <w:pStyle w:val="TableParagraph"/>
              <w:spacing w:before="100"/>
              <w:ind w:left="365"/>
              <w:jc w:val="left"/>
              <w:rPr>
                <w:rFonts w:ascii="宋体"/>
                <w:sz w:val="31"/>
              </w:rPr>
            </w:pPr>
            <w:r>
              <w:rPr>
                <w:rFonts w:ascii="宋体"/>
                <w:w w:val="102"/>
                <w:sz w:val="31"/>
              </w:rPr>
              <w:t>7</w:t>
            </w:r>
          </w:p>
        </w:tc>
        <w:tc>
          <w:tcPr>
            <w:tcW w:w="1154" w:type="dxa"/>
          </w:tcPr>
          <w:p>
            <w:pPr>
              <w:pStyle w:val="TableParagraph"/>
              <w:spacing w:before="100"/>
              <w:ind w:right="43"/>
              <w:rPr>
                <w:rFonts w:ascii="宋体"/>
                <w:sz w:val="31"/>
              </w:rPr>
            </w:pPr>
            <w:r>
              <w:rPr>
                <w:rFonts w:ascii="宋体"/>
                <w:w w:val="102"/>
                <w:sz w:val="31"/>
              </w:rPr>
              <w:t>2</w:t>
            </w:r>
          </w:p>
        </w:tc>
        <w:tc>
          <w:tcPr>
            <w:tcW w:w="1228" w:type="dxa"/>
          </w:tcPr>
          <w:p>
            <w:pPr>
              <w:pStyle w:val="TableParagraph"/>
              <w:spacing w:before="57"/>
              <w:ind w:right="27"/>
              <w:rPr>
                <w:rFonts w:ascii="宋体"/>
                <w:sz w:val="31"/>
              </w:rPr>
            </w:pPr>
            <w:r>
              <w:rPr>
                <w:rFonts w:ascii="宋体"/>
                <w:w w:val="102"/>
                <w:sz w:val="31"/>
              </w:rPr>
              <w:t>1</w:t>
            </w:r>
          </w:p>
        </w:tc>
        <w:tc>
          <w:tcPr>
            <w:tcW w:w="758" w:type="dxa"/>
          </w:tcPr>
          <w:p>
            <w:pPr>
              <w:pStyle w:val="TableParagraph"/>
              <w:spacing w:before="100"/>
              <w:ind w:left="497"/>
              <w:rPr>
                <w:rFonts w:ascii="宋体"/>
                <w:sz w:val="31"/>
              </w:rPr>
            </w:pPr>
            <w:r>
              <w:rPr>
                <w:rFonts w:ascii="宋体"/>
                <w:w w:val="102"/>
                <w:sz w:val="31"/>
              </w:rPr>
              <w:t>4</w:t>
            </w:r>
          </w:p>
        </w:tc>
      </w:tr>
      <w:tr>
        <w:tblPrEx>
          <w:tblW w:w="0" w:type="auto"/>
          <w:jc w:val="left"/>
          <w:tblInd w:w="987" w:type="dxa"/>
          <w:tblLayout w:type="fixed"/>
          <w:tblCellMar>
            <w:top w:w="0" w:type="dxa"/>
            <w:left w:w="0" w:type="dxa"/>
            <w:bottom w:w="0" w:type="dxa"/>
            <w:right w:w="0" w:type="dxa"/>
          </w:tblCellMar>
          <w:tblLook w:val="01E0"/>
        </w:tblPrEx>
        <w:trPr>
          <w:trHeight w:val="552"/>
          <w:jc w:val="left"/>
        </w:trPr>
        <w:tc>
          <w:tcPr>
            <w:tcW w:w="556" w:type="dxa"/>
          </w:tcPr>
          <w:p>
            <w:pPr>
              <w:pStyle w:val="TableParagraph"/>
              <w:spacing w:before="102"/>
              <w:ind w:left="50"/>
              <w:jc w:val="left"/>
              <w:rPr>
                <w:rFonts w:ascii="宋体"/>
                <w:sz w:val="31"/>
              </w:rPr>
            </w:pPr>
            <w:r>
              <w:rPr>
                <w:rFonts w:ascii="宋体"/>
                <w:w w:val="102"/>
                <w:sz w:val="31"/>
              </w:rPr>
              <w:t>5</w:t>
            </w:r>
          </w:p>
        </w:tc>
        <w:tc>
          <w:tcPr>
            <w:tcW w:w="4252" w:type="dxa"/>
          </w:tcPr>
          <w:p>
            <w:pPr>
              <w:pStyle w:val="TableParagraph"/>
              <w:spacing w:before="43" w:line="489" w:lineRule="exact"/>
              <w:ind w:left="346"/>
              <w:jc w:val="left"/>
              <w:rPr>
                <w:rFonts w:ascii="华文宋体" w:eastAsia="华文宋体" w:hint="eastAsia"/>
                <w:sz w:val="31"/>
              </w:rPr>
            </w:pPr>
            <w:r>
              <w:rPr>
                <w:rFonts w:ascii="华文宋体" w:eastAsia="华文宋体" w:hint="eastAsia"/>
                <w:sz w:val="31"/>
              </w:rPr>
              <w:t>第六章盈利能力分析</w:t>
            </w:r>
          </w:p>
        </w:tc>
        <w:tc>
          <w:tcPr>
            <w:tcW w:w="1165" w:type="dxa"/>
          </w:tcPr>
          <w:p>
            <w:pPr>
              <w:pStyle w:val="TableParagraph"/>
              <w:spacing w:before="102"/>
              <w:ind w:left="365"/>
              <w:jc w:val="left"/>
              <w:rPr>
                <w:rFonts w:ascii="宋体"/>
                <w:sz w:val="31"/>
              </w:rPr>
            </w:pPr>
            <w:r>
              <w:rPr>
                <w:rFonts w:ascii="宋体"/>
                <w:w w:val="102"/>
                <w:sz w:val="31"/>
              </w:rPr>
              <w:t>7</w:t>
            </w:r>
          </w:p>
        </w:tc>
        <w:tc>
          <w:tcPr>
            <w:tcW w:w="1154" w:type="dxa"/>
          </w:tcPr>
          <w:p>
            <w:pPr>
              <w:pStyle w:val="TableParagraph"/>
              <w:spacing w:before="106"/>
              <w:ind w:right="43"/>
              <w:rPr>
                <w:rFonts w:ascii="宋体"/>
                <w:sz w:val="31"/>
              </w:rPr>
            </w:pPr>
            <w:r>
              <w:rPr>
                <w:rFonts w:ascii="宋体"/>
                <w:w w:val="102"/>
                <w:sz w:val="31"/>
              </w:rPr>
              <w:t>2</w:t>
            </w:r>
          </w:p>
        </w:tc>
        <w:tc>
          <w:tcPr>
            <w:tcW w:w="1228" w:type="dxa"/>
          </w:tcPr>
          <w:p>
            <w:pPr>
              <w:pStyle w:val="TableParagraph"/>
              <w:spacing w:before="66"/>
              <w:ind w:right="27"/>
              <w:rPr>
                <w:rFonts w:ascii="宋体"/>
                <w:sz w:val="31"/>
              </w:rPr>
            </w:pPr>
            <w:r>
              <w:rPr>
                <w:rFonts w:ascii="宋体"/>
                <w:w w:val="102"/>
                <w:sz w:val="31"/>
              </w:rPr>
              <w:t>1</w:t>
            </w:r>
          </w:p>
        </w:tc>
        <w:tc>
          <w:tcPr>
            <w:tcW w:w="758" w:type="dxa"/>
          </w:tcPr>
          <w:p>
            <w:pPr>
              <w:pStyle w:val="TableParagraph"/>
              <w:spacing w:before="106"/>
              <w:ind w:left="497"/>
              <w:rPr>
                <w:rFonts w:ascii="宋体"/>
                <w:sz w:val="31"/>
              </w:rPr>
            </w:pPr>
            <w:r>
              <w:rPr>
                <w:rFonts w:ascii="宋体"/>
                <w:w w:val="102"/>
                <w:sz w:val="31"/>
              </w:rPr>
              <w:t>4</w:t>
            </w:r>
          </w:p>
        </w:tc>
      </w:tr>
      <w:tr>
        <w:tblPrEx>
          <w:tblW w:w="0" w:type="auto"/>
          <w:jc w:val="left"/>
          <w:tblInd w:w="987" w:type="dxa"/>
          <w:tblLayout w:type="fixed"/>
          <w:tblCellMar>
            <w:top w:w="0" w:type="dxa"/>
            <w:left w:w="0" w:type="dxa"/>
            <w:bottom w:w="0" w:type="dxa"/>
            <w:right w:w="0" w:type="dxa"/>
          </w:tblCellMar>
          <w:tblLook w:val="01E0"/>
        </w:tblPrEx>
        <w:trPr>
          <w:trHeight w:val="564"/>
          <w:jc w:val="left"/>
        </w:trPr>
        <w:tc>
          <w:tcPr>
            <w:tcW w:w="556" w:type="dxa"/>
          </w:tcPr>
          <w:p>
            <w:pPr>
              <w:pStyle w:val="TableParagraph"/>
              <w:spacing w:before="86"/>
              <w:ind w:left="50"/>
              <w:jc w:val="left"/>
              <w:rPr>
                <w:rFonts w:ascii="宋体"/>
                <w:sz w:val="31"/>
              </w:rPr>
            </w:pPr>
            <w:r>
              <w:rPr>
                <w:rFonts w:ascii="宋体"/>
                <w:w w:val="102"/>
                <w:sz w:val="31"/>
              </w:rPr>
              <w:t>6</w:t>
            </w:r>
          </w:p>
        </w:tc>
        <w:tc>
          <w:tcPr>
            <w:tcW w:w="4252" w:type="dxa"/>
          </w:tcPr>
          <w:p>
            <w:pPr>
              <w:pStyle w:val="TableParagraph"/>
              <w:spacing w:before="27"/>
              <w:ind w:left="346"/>
              <w:jc w:val="left"/>
              <w:rPr>
                <w:rFonts w:ascii="华文宋体" w:eastAsia="华文宋体" w:hint="eastAsia"/>
                <w:sz w:val="31"/>
              </w:rPr>
            </w:pPr>
            <w:r>
              <w:rPr>
                <w:rFonts w:ascii="华文宋体" w:eastAsia="华文宋体" w:hint="eastAsia"/>
                <w:sz w:val="31"/>
              </w:rPr>
              <w:t>第七章企业综合财务分析</w:t>
            </w:r>
          </w:p>
        </w:tc>
        <w:tc>
          <w:tcPr>
            <w:tcW w:w="1165" w:type="dxa"/>
          </w:tcPr>
          <w:p>
            <w:pPr>
              <w:pStyle w:val="TableParagraph"/>
              <w:spacing w:before="86"/>
              <w:ind w:left="365"/>
              <w:jc w:val="left"/>
              <w:rPr>
                <w:rFonts w:ascii="宋体"/>
                <w:sz w:val="31"/>
              </w:rPr>
            </w:pPr>
            <w:r>
              <w:rPr>
                <w:rFonts w:ascii="宋体"/>
                <w:w w:val="102"/>
                <w:sz w:val="31"/>
              </w:rPr>
              <w:t>5</w:t>
            </w:r>
          </w:p>
        </w:tc>
        <w:tc>
          <w:tcPr>
            <w:tcW w:w="1154" w:type="dxa"/>
          </w:tcPr>
          <w:p>
            <w:pPr>
              <w:pStyle w:val="TableParagraph"/>
              <w:spacing w:before="89"/>
              <w:ind w:right="43"/>
              <w:rPr>
                <w:rFonts w:ascii="宋体"/>
                <w:sz w:val="31"/>
              </w:rPr>
            </w:pPr>
            <w:r>
              <w:rPr>
                <w:rFonts w:ascii="宋体"/>
                <w:w w:val="102"/>
                <w:sz w:val="31"/>
              </w:rPr>
              <w:t>2</w:t>
            </w:r>
          </w:p>
        </w:tc>
        <w:tc>
          <w:tcPr>
            <w:tcW w:w="1228" w:type="dxa"/>
          </w:tcPr>
          <w:p>
            <w:pPr>
              <w:pStyle w:val="TableParagraph"/>
              <w:spacing w:before="75"/>
              <w:ind w:right="27"/>
              <w:rPr>
                <w:rFonts w:ascii="宋体"/>
                <w:sz w:val="31"/>
              </w:rPr>
            </w:pPr>
            <w:r>
              <w:rPr>
                <w:rFonts w:ascii="宋体"/>
                <w:w w:val="102"/>
                <w:sz w:val="31"/>
              </w:rPr>
              <w:t>1</w:t>
            </w:r>
          </w:p>
        </w:tc>
        <w:tc>
          <w:tcPr>
            <w:tcW w:w="758" w:type="dxa"/>
          </w:tcPr>
          <w:p>
            <w:pPr>
              <w:pStyle w:val="TableParagraph"/>
              <w:spacing w:before="89"/>
              <w:ind w:left="497"/>
              <w:rPr>
                <w:rFonts w:ascii="宋体"/>
                <w:sz w:val="31"/>
              </w:rPr>
            </w:pPr>
            <w:r>
              <w:rPr>
                <w:rFonts w:ascii="宋体"/>
                <w:w w:val="102"/>
                <w:sz w:val="31"/>
              </w:rPr>
              <w:t>2</w:t>
            </w:r>
          </w:p>
        </w:tc>
      </w:tr>
      <w:tr>
        <w:tblPrEx>
          <w:tblW w:w="0" w:type="auto"/>
          <w:jc w:val="left"/>
          <w:tblInd w:w="987" w:type="dxa"/>
          <w:tblLayout w:type="fixed"/>
          <w:tblCellMar>
            <w:top w:w="0" w:type="dxa"/>
            <w:left w:w="0" w:type="dxa"/>
            <w:bottom w:w="0" w:type="dxa"/>
            <w:right w:w="0" w:type="dxa"/>
          </w:tblCellMar>
          <w:tblLook w:val="01E0"/>
        </w:tblPrEx>
        <w:trPr>
          <w:trHeight w:val="502"/>
          <w:jc w:val="left"/>
        </w:trPr>
        <w:tc>
          <w:tcPr>
            <w:tcW w:w="556" w:type="dxa"/>
          </w:tcPr>
          <w:p>
            <w:pPr>
              <w:pStyle w:val="TableParagraph"/>
              <w:spacing w:before="86" w:line="396" w:lineRule="exact"/>
              <w:ind w:left="50"/>
              <w:jc w:val="left"/>
              <w:rPr>
                <w:rFonts w:ascii="宋体"/>
                <w:sz w:val="31"/>
              </w:rPr>
            </w:pPr>
            <w:r>
              <w:rPr>
                <w:rFonts w:ascii="宋体"/>
                <w:w w:val="102"/>
                <w:sz w:val="31"/>
              </w:rPr>
              <w:t>7</w:t>
            </w:r>
          </w:p>
        </w:tc>
        <w:tc>
          <w:tcPr>
            <w:tcW w:w="4252" w:type="dxa"/>
          </w:tcPr>
          <w:p>
            <w:pPr>
              <w:pStyle w:val="TableParagraph"/>
              <w:spacing w:before="55" w:line="427" w:lineRule="exact"/>
              <w:ind w:left="401"/>
              <w:jc w:val="left"/>
              <w:rPr>
                <w:rFonts w:ascii="华文宋体" w:eastAsia="华文宋体" w:hint="eastAsia"/>
                <w:sz w:val="31"/>
              </w:rPr>
            </w:pPr>
            <w:r>
              <w:rPr>
                <w:rFonts w:ascii="华文宋体" w:eastAsia="华文宋体" w:hint="eastAsia"/>
                <w:sz w:val="31"/>
              </w:rPr>
              <w:t>第八章公司发展战略分析</w:t>
            </w:r>
          </w:p>
        </w:tc>
        <w:tc>
          <w:tcPr>
            <w:tcW w:w="1165" w:type="dxa"/>
          </w:tcPr>
          <w:p>
            <w:pPr>
              <w:pStyle w:val="TableParagraph"/>
              <w:spacing w:before="86" w:line="396" w:lineRule="exact"/>
              <w:ind w:left="365"/>
              <w:jc w:val="left"/>
              <w:rPr>
                <w:rFonts w:ascii="宋体"/>
                <w:sz w:val="31"/>
              </w:rPr>
            </w:pPr>
            <w:r>
              <w:rPr>
                <w:rFonts w:ascii="宋体"/>
                <w:w w:val="102"/>
                <w:sz w:val="31"/>
              </w:rPr>
              <w:t>4</w:t>
            </w:r>
          </w:p>
        </w:tc>
        <w:tc>
          <w:tcPr>
            <w:tcW w:w="1154" w:type="dxa"/>
          </w:tcPr>
          <w:p>
            <w:pPr>
              <w:pStyle w:val="TableParagraph"/>
              <w:spacing w:before="86" w:line="396" w:lineRule="exact"/>
              <w:ind w:right="43"/>
              <w:rPr>
                <w:rFonts w:ascii="宋体"/>
                <w:sz w:val="31"/>
              </w:rPr>
            </w:pPr>
            <w:r>
              <w:rPr>
                <w:rFonts w:ascii="宋体"/>
                <w:w w:val="102"/>
                <w:sz w:val="31"/>
              </w:rPr>
              <w:t>2</w:t>
            </w:r>
          </w:p>
        </w:tc>
        <w:tc>
          <w:tcPr>
            <w:tcW w:w="1228" w:type="dxa"/>
          </w:tcPr>
          <w:p>
            <w:pPr>
              <w:pStyle w:val="TableParagraph"/>
              <w:jc w:val="left"/>
              <w:rPr>
                <w:rFonts w:ascii="Times New Roman"/>
                <w:sz w:val="30"/>
              </w:rPr>
            </w:pPr>
          </w:p>
        </w:tc>
        <w:tc>
          <w:tcPr>
            <w:tcW w:w="758" w:type="dxa"/>
          </w:tcPr>
          <w:p>
            <w:pPr>
              <w:pStyle w:val="TableParagraph"/>
              <w:spacing w:before="86" w:line="396" w:lineRule="exact"/>
              <w:ind w:left="497"/>
              <w:rPr>
                <w:rFonts w:ascii="宋体"/>
                <w:sz w:val="31"/>
              </w:rPr>
            </w:pPr>
            <w:r>
              <w:rPr>
                <w:rFonts w:ascii="宋体"/>
                <w:w w:val="102"/>
                <w:sz w:val="31"/>
              </w:rPr>
              <w:t>2</w:t>
            </w:r>
          </w:p>
        </w:tc>
      </w:tr>
    </w:tbl>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rPr>
          <w:rFonts w:ascii="黑体"/>
          <w:b/>
          <w:sz w:val="20"/>
        </w:rPr>
      </w:pPr>
    </w:p>
    <w:p>
      <w:pPr>
        <w:pStyle w:val="BodyText"/>
        <w:spacing w:before="10"/>
        <w:rPr>
          <w:rFonts w:ascii="黑体"/>
          <w:b/>
          <w:sz w:val="29"/>
        </w:rPr>
      </w:pPr>
    </w:p>
    <w:p>
      <w:pPr>
        <w:spacing w:before="66"/>
        <w:ind w:left="431" w:right="0" w:firstLine="0"/>
        <w:jc w:val="left"/>
        <w:rPr>
          <w:sz w:val="31"/>
        </w:rPr>
      </w:pPr>
      <w:r>
        <w:pict>
          <v:group id="_x0000_s1026" style="width:700.75pt;height:504.85pt;margin-top:-504.63pt;margin-left:115pt;mso-position-horizontal-relative:page;position:absolute;z-index:-251651072" coordorigin="2300,-10093" coordsize="14015,100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4015;height:10097;left:2300;position:absolute;top:-10093" stroked="f">
              <v:imagedata r:id="rId10" o:title=""/>
            </v:shape>
            <v:shapetype id="_x0000_t202" coordsize="21600,21600" o:spt="202" path="m,l,21600r21600,l21600,xe">
              <v:stroke joinstyle="miter"/>
              <v:path gradientshapeok="t" o:connecttype="rect"/>
            </v:shapetype>
            <v:shape id="_x0000_s1028" type="#_x0000_t202" style="width:654;height:413;left:2672;position:absolute;top:-9261" filled="f" stroked="f">
              <v:textbox inset="0,0,0,0">
                <w:txbxContent>
                  <w:p>
                    <w:pPr>
                      <w:spacing w:before="0" w:line="412" w:lineRule="exact"/>
                      <w:ind w:left="0" w:right="0" w:firstLine="0"/>
                      <w:jc w:val="left"/>
                      <w:rPr>
                        <w:b/>
                        <w:sz w:val="31"/>
                      </w:rPr>
                    </w:pPr>
                    <w:r>
                      <w:rPr>
                        <w:b/>
                        <w:sz w:val="31"/>
                      </w:rPr>
                      <w:t>序号</w:t>
                    </w:r>
                  </w:p>
                </w:txbxContent>
              </v:textbox>
            </v:shape>
            <v:shape id="_x0000_s1029" type="#_x0000_t202" style="width:1288;height:413;left:5004;position:absolute;top:-9261" filled="f" stroked="f">
              <v:textbox inset="0,0,0,0">
                <w:txbxContent>
                  <w:p>
                    <w:pPr>
                      <w:spacing w:before="0" w:line="412" w:lineRule="exact"/>
                      <w:ind w:left="0" w:right="0" w:firstLine="0"/>
                      <w:jc w:val="left"/>
                      <w:rPr>
                        <w:sz w:val="31"/>
                      </w:rPr>
                    </w:pPr>
                    <w:r>
                      <w:rPr>
                        <w:sz w:val="31"/>
                      </w:rPr>
                      <w:t>授课章节</w:t>
                    </w:r>
                  </w:p>
                </w:txbxContent>
              </v:textbox>
            </v:shape>
            <v:shape id="_x0000_s1030" type="#_x0000_t202" style="width:654;height:870;left:7881;position:absolute;top:-9718" filled="f" stroked="f">
              <v:textbox inset="0,0,0,0">
                <w:txbxContent>
                  <w:p>
                    <w:pPr>
                      <w:spacing w:before="0" w:line="448" w:lineRule="exact"/>
                      <w:ind w:left="0" w:right="0" w:firstLine="0"/>
                      <w:jc w:val="left"/>
                      <w:rPr>
                        <w:sz w:val="31"/>
                      </w:rPr>
                    </w:pPr>
                    <w:r>
                      <w:rPr>
                        <w:sz w:val="31"/>
                      </w:rPr>
                      <w:t>理论</w:t>
                    </w:r>
                  </w:p>
                  <w:p>
                    <w:pPr>
                      <w:spacing w:before="0" w:line="421" w:lineRule="exact"/>
                      <w:ind w:left="0" w:right="0" w:firstLine="0"/>
                      <w:jc w:val="left"/>
                      <w:rPr>
                        <w:sz w:val="31"/>
                      </w:rPr>
                    </w:pPr>
                    <w:r>
                      <w:rPr>
                        <w:sz w:val="31"/>
                      </w:rPr>
                      <w:t>课学</w:t>
                    </w:r>
                  </w:p>
                </w:txbxContent>
              </v:textbox>
            </v:shape>
            <v:shape id="_x0000_s1031" type="#_x0000_t202" style="width:654;height:413;left:12209;position:absolute;top:-10017" filled="f" stroked="f">
              <v:textbox inset="0,0,0,0">
                <w:txbxContent>
                  <w:p>
                    <w:pPr>
                      <w:spacing w:before="0" w:line="412" w:lineRule="exact"/>
                      <w:ind w:left="0" w:right="0" w:firstLine="0"/>
                      <w:jc w:val="left"/>
                      <w:rPr>
                        <w:b/>
                        <w:sz w:val="31"/>
                      </w:rPr>
                    </w:pPr>
                    <w:r>
                      <w:rPr>
                        <w:b/>
                        <w:sz w:val="31"/>
                      </w:rPr>
                      <w:t>其中</w:t>
                    </w:r>
                  </w:p>
                </w:txbxContent>
              </v:textbox>
            </v:shape>
            <v:shape id="_x0000_s1032" type="#_x0000_t202" style="width:654;height:413;left:12793;position:absolute;top:-8973" filled="f" stroked="f">
              <v:textbox inset="0,0,0,0">
                <w:txbxContent>
                  <w:p>
                    <w:pPr>
                      <w:spacing w:before="0" w:line="412" w:lineRule="exact"/>
                      <w:ind w:left="0" w:right="0" w:firstLine="0"/>
                      <w:jc w:val="left"/>
                      <w:rPr>
                        <w:b/>
                        <w:sz w:val="31"/>
                      </w:rPr>
                    </w:pPr>
                    <w:r>
                      <w:rPr>
                        <w:b/>
                        <w:sz w:val="31"/>
                      </w:rPr>
                      <w:t>上机</w:t>
                    </w:r>
                  </w:p>
                </w:txbxContent>
              </v:textbox>
            </v:shape>
            <v:shape id="_x0000_s1033" type="#_x0000_t202" style="width:654;height:413;left:14104;position:absolute;top:-8973" filled="f" stroked="f">
              <v:textbox inset="0,0,0,0">
                <w:txbxContent>
                  <w:p>
                    <w:pPr>
                      <w:spacing w:before="0" w:line="412" w:lineRule="exact"/>
                      <w:ind w:left="0" w:right="0" w:firstLine="0"/>
                      <w:jc w:val="left"/>
                      <w:rPr>
                        <w:b/>
                        <w:sz w:val="31"/>
                      </w:rPr>
                    </w:pPr>
                    <w:r>
                      <w:rPr>
                        <w:b/>
                        <w:sz w:val="31"/>
                      </w:rPr>
                      <w:t>习题</w:t>
                    </w:r>
                  </w:p>
                </w:txbxContent>
              </v:textbox>
            </v:shape>
            <v:shape id="_x0000_s1034" type="#_x0000_t202" style="width:654;height:413;left:15382;position:absolute;top:-8973" filled="f" stroked="f">
              <v:textbox inset="0,0,0,0">
                <w:txbxContent>
                  <w:p>
                    <w:pPr>
                      <w:spacing w:before="0" w:line="412" w:lineRule="exact"/>
                      <w:ind w:left="0" w:right="0" w:firstLine="0"/>
                      <w:jc w:val="left"/>
                      <w:rPr>
                        <w:b/>
                        <w:sz w:val="31"/>
                      </w:rPr>
                    </w:pPr>
                    <w:r>
                      <w:rPr>
                        <w:b/>
                        <w:sz w:val="31"/>
                      </w:rPr>
                      <w:t>其他</w:t>
                    </w:r>
                  </w:p>
                </w:txbxContent>
              </v:textbox>
            </v:shape>
            <v:shape id="_x0000_s1035" type="#_x0000_t202" style="width:179;height:317;left:2909;position:absolute;top:-3748" filled="f" stroked="f">
              <v:textbox inset="0,0,0,0">
                <w:txbxContent>
                  <w:p>
                    <w:pPr>
                      <w:spacing w:before="0" w:line="317" w:lineRule="exact"/>
                      <w:ind w:left="0" w:right="0" w:firstLine="0"/>
                      <w:jc w:val="left"/>
                      <w:rPr>
                        <w:rFonts w:ascii="宋体"/>
                        <w:sz w:val="31"/>
                      </w:rPr>
                    </w:pPr>
                    <w:r>
                      <w:rPr>
                        <w:rFonts w:ascii="宋体"/>
                        <w:w w:val="102"/>
                        <w:sz w:val="31"/>
                      </w:rPr>
                      <w:t>8</w:t>
                    </w:r>
                  </w:p>
                </w:txbxContent>
              </v:textbox>
            </v:shape>
            <v:shape id="_x0000_s1036" type="#_x0000_t202" style="width:3656;height:3783;left:3816;position:absolute;top:-4048" filled="f" stroked="f">
              <v:textbox inset="0,0,0,0">
                <w:txbxContent>
                  <w:p>
                    <w:pPr>
                      <w:spacing w:before="0" w:line="474" w:lineRule="exact"/>
                      <w:ind w:left="0" w:right="0" w:firstLine="0"/>
                      <w:jc w:val="left"/>
                      <w:rPr>
                        <w:sz w:val="31"/>
                      </w:rPr>
                    </w:pPr>
                    <w:r>
                      <w:rPr>
                        <w:sz w:val="31"/>
                      </w:rPr>
                      <w:t>第十三章 基于利润的业绩</w:t>
                    </w:r>
                  </w:p>
                  <w:p>
                    <w:pPr>
                      <w:spacing w:before="31"/>
                      <w:ind w:left="0" w:right="0" w:firstLine="0"/>
                      <w:jc w:val="left"/>
                      <w:rPr>
                        <w:sz w:val="31"/>
                      </w:rPr>
                    </w:pPr>
                    <w:r>
                      <w:rPr>
                        <w:sz w:val="31"/>
                      </w:rPr>
                      <w:t>驱动因素分析</w:t>
                    </w:r>
                  </w:p>
                  <w:p>
                    <w:pPr>
                      <w:spacing w:before="46" w:line="254" w:lineRule="auto"/>
                      <w:ind w:left="0" w:right="18" w:firstLine="0"/>
                      <w:jc w:val="left"/>
                      <w:rPr>
                        <w:sz w:val="31"/>
                      </w:rPr>
                    </w:pPr>
                    <w:r>
                      <w:rPr>
                        <w:sz w:val="31"/>
                      </w:rPr>
                      <w:t>第十四章 基于经济增加值的业绩驱动因素分析</w:t>
                    </w:r>
                  </w:p>
                  <w:p>
                    <w:pPr>
                      <w:spacing w:before="17" w:line="254" w:lineRule="auto"/>
                      <w:ind w:left="0" w:right="18" w:firstLine="0"/>
                      <w:jc w:val="left"/>
                      <w:rPr>
                        <w:sz w:val="31"/>
                      </w:rPr>
                    </w:pPr>
                    <w:r>
                      <w:rPr>
                        <w:sz w:val="31"/>
                      </w:rPr>
                      <w:t>第十五章 基于战略的业绩驱动因素分析</w:t>
                    </w:r>
                  </w:p>
                  <w:p>
                    <w:pPr>
                      <w:spacing w:before="104" w:line="447" w:lineRule="exact"/>
                      <w:ind w:left="835" w:right="0" w:firstLine="0"/>
                      <w:jc w:val="left"/>
                      <w:rPr>
                        <w:sz w:val="31"/>
                      </w:rPr>
                    </w:pPr>
                    <w:r>
                      <w:rPr>
                        <w:sz w:val="31"/>
                      </w:rPr>
                      <w:t>合计</w:t>
                    </w:r>
                  </w:p>
                </w:txbxContent>
              </v:textbox>
            </v:shape>
            <v:shape id="_x0000_s1037" type="#_x0000_t202" style="width:179;height:317;left:8033;position:absolute;top:-3748" filled="f" stroked="f">
              <v:textbox inset="0,0,0,0">
                <w:txbxContent>
                  <w:p>
                    <w:pPr>
                      <w:spacing w:before="0" w:line="317" w:lineRule="exact"/>
                      <w:ind w:left="0" w:right="0" w:firstLine="0"/>
                      <w:jc w:val="left"/>
                      <w:rPr>
                        <w:rFonts w:ascii="宋体"/>
                        <w:sz w:val="31"/>
                      </w:rPr>
                    </w:pPr>
                    <w:r>
                      <w:rPr>
                        <w:rFonts w:ascii="宋体"/>
                        <w:w w:val="102"/>
                        <w:sz w:val="31"/>
                      </w:rPr>
                      <w:t>2</w:t>
                    </w:r>
                  </w:p>
                </w:txbxContent>
              </v:textbox>
            </v:shape>
            <v:shape id="_x0000_s1038" type="#_x0000_t202" style="width:179;height:317;left:9307;position:absolute;top:-3744" filled="f" stroked="f">
              <v:textbox inset="0,0,0,0">
                <w:txbxContent>
                  <w:p>
                    <w:pPr>
                      <w:spacing w:before="0" w:line="317" w:lineRule="exact"/>
                      <w:ind w:left="0" w:right="0" w:firstLine="0"/>
                      <w:jc w:val="left"/>
                      <w:rPr>
                        <w:rFonts w:ascii="宋体"/>
                        <w:sz w:val="31"/>
                      </w:rPr>
                    </w:pPr>
                    <w:r>
                      <w:rPr>
                        <w:rFonts w:ascii="宋体"/>
                        <w:w w:val="102"/>
                        <w:sz w:val="31"/>
                      </w:rPr>
                      <w:t>2</w:t>
                    </w:r>
                  </w:p>
                </w:txbxContent>
              </v:textbox>
            </v:shape>
            <v:shape id="_x0000_s1039" type="#_x0000_t202" style="width:179;height:317;left:2909;position:absolute;top:-2653" filled="f" stroked="f">
              <v:textbox inset="0,0,0,0">
                <w:txbxContent>
                  <w:p>
                    <w:pPr>
                      <w:spacing w:before="0" w:line="317" w:lineRule="exact"/>
                      <w:ind w:left="0" w:right="0" w:firstLine="0"/>
                      <w:jc w:val="left"/>
                      <w:rPr>
                        <w:rFonts w:ascii="宋体"/>
                        <w:sz w:val="31"/>
                      </w:rPr>
                    </w:pPr>
                    <w:r>
                      <w:rPr>
                        <w:rFonts w:ascii="宋体"/>
                        <w:w w:val="102"/>
                        <w:sz w:val="31"/>
                      </w:rPr>
                      <w:t>9</w:t>
                    </w:r>
                  </w:p>
                </w:txbxContent>
              </v:textbox>
            </v:shape>
            <v:shape id="_x0000_s1040" type="#_x0000_t202" style="width:179;height:317;left:8033;position:absolute;top:-2653" filled="f" stroked="f">
              <v:textbox inset="0,0,0,0">
                <w:txbxContent>
                  <w:p>
                    <w:pPr>
                      <w:spacing w:before="0" w:line="317" w:lineRule="exact"/>
                      <w:ind w:left="0" w:right="0" w:firstLine="0"/>
                      <w:jc w:val="left"/>
                      <w:rPr>
                        <w:rFonts w:ascii="宋体"/>
                        <w:sz w:val="31"/>
                      </w:rPr>
                    </w:pPr>
                    <w:r>
                      <w:rPr>
                        <w:rFonts w:ascii="宋体"/>
                        <w:w w:val="102"/>
                        <w:sz w:val="31"/>
                      </w:rPr>
                      <w:t>2</w:t>
                    </w:r>
                  </w:p>
                </w:txbxContent>
              </v:textbox>
            </v:shape>
            <v:shape id="_x0000_s1041" type="#_x0000_t202" style="width:179;height:317;left:9307;position:absolute;top:-2650" filled="f" stroked="f">
              <v:textbox inset="0,0,0,0">
                <w:txbxContent>
                  <w:p>
                    <w:pPr>
                      <w:spacing w:before="0" w:line="317" w:lineRule="exact"/>
                      <w:ind w:left="0" w:right="0" w:firstLine="0"/>
                      <w:jc w:val="left"/>
                      <w:rPr>
                        <w:rFonts w:ascii="宋体"/>
                        <w:sz w:val="31"/>
                      </w:rPr>
                    </w:pPr>
                    <w:r>
                      <w:rPr>
                        <w:rFonts w:ascii="宋体"/>
                        <w:w w:val="102"/>
                        <w:sz w:val="31"/>
                      </w:rPr>
                      <w:t>2</w:t>
                    </w:r>
                  </w:p>
                </w:txbxContent>
              </v:textbox>
            </v:shape>
            <v:shape id="_x0000_s1042" type="#_x0000_t202" style="width:318;height:413;left:2841;position:absolute;top:-1589" filled="f" stroked="f">
              <v:textbox inset="0,0,0,0">
                <w:txbxContent>
                  <w:p>
                    <w:pPr>
                      <w:spacing w:before="0" w:line="412" w:lineRule="exact"/>
                      <w:ind w:left="0" w:right="0" w:firstLine="0"/>
                      <w:jc w:val="left"/>
                      <w:rPr>
                        <w:sz w:val="31"/>
                      </w:rPr>
                    </w:pPr>
                    <w:r>
                      <w:rPr>
                        <w:sz w:val="31"/>
                      </w:rPr>
                      <w:t>10</w:t>
                    </w:r>
                  </w:p>
                </w:txbxContent>
              </v:textbox>
            </v:shape>
            <v:shape id="_x0000_s1043" type="#_x0000_t202" style="width:179;height:317;left:8033;position:absolute;top:-1555" filled="f" stroked="f">
              <v:textbox inset="0,0,0,0">
                <w:txbxContent>
                  <w:p>
                    <w:pPr>
                      <w:spacing w:before="0" w:line="317" w:lineRule="exact"/>
                      <w:ind w:left="0" w:right="0" w:firstLine="0"/>
                      <w:jc w:val="left"/>
                      <w:rPr>
                        <w:rFonts w:ascii="宋体"/>
                        <w:sz w:val="31"/>
                      </w:rPr>
                    </w:pPr>
                    <w:r>
                      <w:rPr>
                        <w:rFonts w:ascii="宋体"/>
                        <w:w w:val="102"/>
                        <w:sz w:val="31"/>
                      </w:rPr>
                      <w:t>2</w:t>
                    </w:r>
                  </w:p>
                </w:txbxContent>
              </v:textbox>
            </v:shape>
            <v:shape id="_x0000_s1044" type="#_x0000_t202" style="width:179;height:317;left:9307;position:absolute;top:-1555" filled="f" stroked="f">
              <v:textbox inset="0,0,0,0">
                <w:txbxContent>
                  <w:p>
                    <w:pPr>
                      <w:spacing w:before="0" w:line="317" w:lineRule="exact"/>
                      <w:ind w:left="0" w:right="0" w:firstLine="0"/>
                      <w:jc w:val="left"/>
                      <w:rPr>
                        <w:rFonts w:ascii="宋体"/>
                        <w:sz w:val="31"/>
                      </w:rPr>
                    </w:pPr>
                    <w:r>
                      <w:rPr>
                        <w:rFonts w:ascii="宋体"/>
                        <w:w w:val="102"/>
                        <w:sz w:val="31"/>
                      </w:rPr>
                      <w:t>2</w:t>
                    </w:r>
                  </w:p>
                </w:txbxContent>
              </v:textbox>
            </v:shape>
            <v:shape id="_x0000_s1045" type="#_x0000_t202" style="width:337;height:317;left:8166;position:absolute;top:-619" filled="f" stroked="f">
              <v:textbox inset="0,0,0,0">
                <w:txbxContent>
                  <w:p>
                    <w:pPr>
                      <w:spacing w:before="0" w:line="317" w:lineRule="exact"/>
                      <w:ind w:left="0" w:right="0" w:firstLine="0"/>
                      <w:jc w:val="left"/>
                      <w:rPr>
                        <w:rFonts w:ascii="宋体"/>
                        <w:sz w:val="31"/>
                      </w:rPr>
                    </w:pPr>
                    <w:r>
                      <w:rPr>
                        <w:rFonts w:ascii="宋体"/>
                        <w:sz w:val="31"/>
                      </w:rPr>
                      <w:t>40</w:t>
                    </w:r>
                  </w:p>
                </w:txbxContent>
              </v:textbox>
            </v:shape>
            <v:shape id="_x0000_s1046" type="#_x0000_t202" style="width:337;height:317;left:9228;position:absolute;top:-616" filled="f" stroked="f">
              <v:textbox inset="0,0,0,0">
                <w:txbxContent>
                  <w:p>
                    <w:pPr>
                      <w:spacing w:before="0" w:line="317" w:lineRule="exact"/>
                      <w:ind w:left="0" w:right="0" w:firstLine="0"/>
                      <w:jc w:val="left"/>
                      <w:rPr>
                        <w:rFonts w:ascii="宋体"/>
                        <w:sz w:val="31"/>
                      </w:rPr>
                    </w:pPr>
                    <w:r>
                      <w:rPr>
                        <w:rFonts w:ascii="宋体"/>
                        <w:sz w:val="31"/>
                      </w:rPr>
                      <w:t>20</w:t>
                    </w:r>
                  </w:p>
                </w:txbxContent>
              </v:textbox>
            </v:shape>
            <v:shape id="_x0000_s1047" type="#_x0000_t202" style="width:179;height:317;left:10506;position:absolute;top:-616" filled="f" stroked="f">
              <v:textbox inset="0,0,0,0">
                <w:txbxContent>
                  <w:p>
                    <w:pPr>
                      <w:spacing w:before="0" w:line="317" w:lineRule="exact"/>
                      <w:ind w:left="0" w:right="0" w:firstLine="0"/>
                      <w:jc w:val="left"/>
                      <w:rPr>
                        <w:rFonts w:ascii="宋体"/>
                        <w:sz w:val="31"/>
                      </w:rPr>
                    </w:pPr>
                    <w:r>
                      <w:rPr>
                        <w:rFonts w:ascii="宋体"/>
                        <w:w w:val="102"/>
                        <w:sz w:val="31"/>
                      </w:rPr>
                      <w:t>4</w:t>
                    </w:r>
                  </w:p>
                </w:txbxContent>
              </v:textbox>
            </v:shape>
            <v:shape id="_x0000_s1048" type="#_x0000_t202" style="width:337;height:317;left:11684;position:absolute;top:-616" filled="f" stroked="f">
              <v:textbox inset="0,0,0,0">
                <w:txbxContent>
                  <w:p>
                    <w:pPr>
                      <w:spacing w:before="0" w:line="317" w:lineRule="exact"/>
                      <w:ind w:left="0" w:right="0" w:firstLine="0"/>
                      <w:jc w:val="left"/>
                      <w:rPr>
                        <w:rFonts w:ascii="宋体"/>
                        <w:sz w:val="31"/>
                      </w:rPr>
                    </w:pPr>
                    <w:r>
                      <w:rPr>
                        <w:rFonts w:ascii="宋体"/>
                        <w:sz w:val="31"/>
                      </w:rPr>
                      <w:t>16</w:t>
                    </w:r>
                  </w:p>
                </w:txbxContent>
              </v:textbox>
            </v:shape>
          </v:group>
        </w:pict>
      </w:r>
      <w:r>
        <w:rPr>
          <w:b/>
          <w:sz w:val="31"/>
        </w:rPr>
        <w:t>【注】教学方式：</w:t>
      </w:r>
      <w:r>
        <w:rPr>
          <w:sz w:val="31"/>
        </w:rPr>
        <w:t>理论讲授和案例分析相结合，课堂讨论，小组案例讨论，期末笔试。</w:t>
      </w:r>
    </w:p>
    <w:p>
      <w:pPr>
        <w:spacing w:before="22"/>
        <w:ind w:left="608" w:right="0" w:firstLine="0"/>
        <w:jc w:val="left"/>
        <w:rPr>
          <w:rFonts w:ascii="黑体" w:eastAsia="黑体" w:hint="eastAsia"/>
          <w:b/>
          <w:sz w:val="36"/>
        </w:rPr>
      </w:pPr>
      <w:r>
        <w:rPr>
          <w:rFonts w:ascii="黑体" w:eastAsia="黑体" w:hint="eastAsia"/>
          <w:b/>
          <w:sz w:val="36"/>
        </w:rPr>
        <w:t>五、课程作业与考核评价</w:t>
      </w:r>
    </w:p>
    <w:p>
      <w:pPr>
        <w:pStyle w:val="BodyText"/>
        <w:spacing w:before="88" w:line="254" w:lineRule="auto"/>
        <w:ind w:left="431" w:right="298" w:firstLine="630"/>
        <w:jc w:val="both"/>
      </w:pPr>
      <w:r>
        <w:rPr>
          <w:spacing w:val="-8"/>
        </w:rPr>
        <w:t xml:space="preserve">本课程重视平时的复习思考与案例分析，每一章都有案例分析作业，大部分由学生自己自我练习，达 </w:t>
      </w:r>
      <w:r>
        <w:rPr>
          <w:spacing w:val="-15"/>
        </w:rPr>
        <w:t xml:space="preserve">到运用理论知识分析和解决实际问题的目标即可。作业题偏重于考察学生对基本理论知识的掌握，帮助学 </w:t>
      </w:r>
      <w:r>
        <w:rPr>
          <w:spacing w:val="-19"/>
        </w:rPr>
        <w:t xml:space="preserve">生扎实地掌握课本知识；思考题偏重于考察学生对案例的理解和对实际情况的了解，使学生能将理论与实 </w:t>
      </w:r>
      <w:r>
        <w:t>际相结合，将理论知识活学活用</w:t>
      </w:r>
    </w:p>
    <w:p>
      <w:pPr>
        <w:spacing w:after="0" w:line="254"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 w:history="1">
        <w:r>
          <w:rPr>
            <w:rFonts w:ascii="SimSun" w:eastAsia="SimSun" w:hAnsi="SimSun" w:cs="SimSun"/>
            <w:b/>
            <w:bCs/>
            <w:color w:val="0000EE"/>
            <w:sz w:val="30"/>
            <w:szCs w:val="30"/>
            <w:u w:val="single" w:color="0000EE"/>
          </w:rPr>
          <w:t>https://d.book118.com/626022211130010101</w:t>
        </w:r>
      </w:hyperlink>
    </w:p>
    <w:p>
      <w:pPr>
        <w:spacing w:after="0" w:line="254" w:lineRule="auto"/>
        <w:jc w:val="both"/>
      </w:pPr>
    </w:p>
    <w:sectPr>
      <w:pgSz w:w="17860" w:h="25260"/>
      <w:pgMar w:top="1860" w:right="860" w:bottom="280" w:left="1880" w:header="708" w:footer="7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华文行楷">
    <w:altName w:val="华文行楷"/>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华文宋体">
    <w:altName w:val="华文宋体"/>
    <w:charset w:val="86"/>
    <w:family w:val="auto"/>
    <w:pitch w:val="variable"/>
    <w:sig w:usb0="00000000" w:usb1="00000000" w:usb2="00000000" w:usb3="00000000" w:csb0="00040000" w:csb1="00000000"/>
  </w:font>
  <w:font w:name="楷体">
    <w:altName w:val="楷体"/>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D0E00"/>
    <w:multiLevelType w:val="hybridMultilevel"/>
    <w:tmpl w:val="00000000"/>
    <w:lvl w:ilvl="0">
      <w:start w:val="15"/>
      <w:numFmt w:val="decimal"/>
      <w:lvlText w:val="%1"/>
      <w:lvlJc w:val="left"/>
      <w:pPr>
        <w:ind w:left="1907" w:hanging="1087"/>
        <w:jc w:val="left"/>
      </w:pPr>
      <w:rPr>
        <w:rFonts w:hint="default"/>
      </w:rPr>
    </w:lvl>
    <w:lvl w:ilvl="1">
      <w:start w:val="1"/>
      <w:numFmt w:val="decimal"/>
      <w:lvlText w:val="%1.%2"/>
      <w:lvlJc w:val="left"/>
      <w:pPr>
        <w:ind w:left="1907" w:hanging="1087"/>
        <w:jc w:val="left"/>
      </w:pPr>
      <w:rPr>
        <w:rFonts w:ascii="仿宋" w:eastAsia="仿宋" w:hAnsi="仿宋" w:cs="仿宋" w:hint="default"/>
        <w:b/>
        <w:bCs/>
        <w:w w:val="99"/>
        <w:sz w:val="36"/>
        <w:szCs w:val="36"/>
      </w:rPr>
    </w:lvl>
    <w:lvl w:ilvl="2">
      <w:start w:val="1"/>
      <w:numFmt w:val="decimal"/>
      <w:lvlText w:val="%1.%2.%3"/>
      <w:lvlJc w:val="left"/>
      <w:pPr>
        <w:ind w:left="2271" w:hanging="1451"/>
        <w:jc w:val="left"/>
      </w:pPr>
      <w:rPr>
        <w:rFonts w:ascii="仿宋" w:eastAsia="仿宋" w:hAnsi="仿宋" w:cs="仿宋" w:hint="default"/>
        <w:b/>
        <w:bCs/>
        <w:w w:val="99"/>
        <w:sz w:val="36"/>
        <w:szCs w:val="36"/>
      </w:rPr>
    </w:lvl>
    <w:lvl w:ilvl="3">
      <w:start w:val="0"/>
      <w:numFmt w:val="bullet"/>
      <w:lvlText w:val="•"/>
      <w:lvlJc w:val="left"/>
      <w:pPr>
        <w:ind w:left="4325" w:hanging="1451"/>
      </w:pPr>
      <w:rPr>
        <w:rFonts w:hint="default"/>
      </w:rPr>
    </w:lvl>
    <w:lvl w:ilvl="4">
      <w:start w:val="0"/>
      <w:numFmt w:val="bullet"/>
      <w:lvlText w:val="•"/>
      <w:lvlJc w:val="left"/>
      <w:pPr>
        <w:ind w:left="5348" w:hanging="1451"/>
      </w:pPr>
      <w:rPr>
        <w:rFonts w:hint="default"/>
      </w:rPr>
    </w:lvl>
    <w:lvl w:ilvl="5">
      <w:start w:val="0"/>
      <w:numFmt w:val="bullet"/>
      <w:lvlText w:val="•"/>
      <w:lvlJc w:val="left"/>
      <w:pPr>
        <w:ind w:left="6370" w:hanging="1451"/>
      </w:pPr>
      <w:rPr>
        <w:rFonts w:hint="default"/>
      </w:rPr>
    </w:lvl>
    <w:lvl w:ilvl="6">
      <w:start w:val="0"/>
      <w:numFmt w:val="bullet"/>
      <w:lvlText w:val="•"/>
      <w:lvlJc w:val="left"/>
      <w:pPr>
        <w:ind w:left="7393" w:hanging="1451"/>
      </w:pPr>
      <w:rPr>
        <w:rFonts w:hint="default"/>
      </w:rPr>
    </w:lvl>
    <w:lvl w:ilvl="7">
      <w:start w:val="0"/>
      <w:numFmt w:val="bullet"/>
      <w:lvlText w:val="•"/>
      <w:lvlJc w:val="left"/>
      <w:pPr>
        <w:ind w:left="8416" w:hanging="1451"/>
      </w:pPr>
      <w:rPr>
        <w:rFonts w:hint="default"/>
      </w:rPr>
    </w:lvl>
    <w:lvl w:ilvl="8">
      <w:start w:val="0"/>
      <w:numFmt w:val="bullet"/>
      <w:lvlText w:val="•"/>
      <w:lvlJc w:val="left"/>
      <w:pPr>
        <w:ind w:left="9438" w:hanging="1451"/>
      </w:pPr>
      <w:rPr>
        <w:rFonts w:hint="default"/>
      </w:rPr>
    </w:lvl>
  </w:abstractNum>
  <w:abstractNum w:abstractNumId="1">
    <w:nsid w:val="05E1817D"/>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1"/>
      <w:numFmt w:val="decimal"/>
      <w:lvlText w:val="%2."/>
      <w:lvlJc w:val="left"/>
      <w:pPr>
        <w:ind w:left="1696" w:hanging="477"/>
        <w:jc w:val="left"/>
      </w:pPr>
      <w:rPr>
        <w:rFonts w:ascii="宋体" w:eastAsia="宋体" w:hAnsi="宋体" w:cs="宋体" w:hint="default"/>
        <w:w w:val="102"/>
        <w:sz w:val="29"/>
        <w:szCs w:val="29"/>
      </w:rPr>
    </w:lvl>
    <w:lvl w:ilvl="2">
      <w:start w:val="0"/>
      <w:numFmt w:val="bullet"/>
      <w:lvlText w:val="•"/>
      <w:lvlJc w:val="left"/>
      <w:pPr>
        <w:ind w:left="3191" w:hanging="477"/>
      </w:pPr>
      <w:rPr>
        <w:rFonts w:hint="default"/>
      </w:rPr>
    </w:lvl>
    <w:lvl w:ilvl="3">
      <w:start w:val="0"/>
      <w:numFmt w:val="bullet"/>
      <w:lvlText w:val="•"/>
      <w:lvlJc w:val="left"/>
      <w:pPr>
        <w:ind w:left="4682" w:hanging="477"/>
      </w:pPr>
      <w:rPr>
        <w:rFonts w:hint="default"/>
      </w:rPr>
    </w:lvl>
    <w:lvl w:ilvl="4">
      <w:start w:val="0"/>
      <w:numFmt w:val="bullet"/>
      <w:lvlText w:val="•"/>
      <w:lvlJc w:val="left"/>
      <w:pPr>
        <w:ind w:left="6173" w:hanging="477"/>
      </w:pPr>
      <w:rPr>
        <w:rFonts w:hint="default"/>
      </w:rPr>
    </w:lvl>
    <w:lvl w:ilvl="5">
      <w:start w:val="0"/>
      <w:numFmt w:val="bullet"/>
      <w:lvlText w:val="•"/>
      <w:lvlJc w:val="left"/>
      <w:pPr>
        <w:ind w:left="7664" w:hanging="477"/>
      </w:pPr>
      <w:rPr>
        <w:rFonts w:hint="default"/>
      </w:rPr>
    </w:lvl>
    <w:lvl w:ilvl="6">
      <w:start w:val="0"/>
      <w:numFmt w:val="bullet"/>
      <w:lvlText w:val="•"/>
      <w:lvlJc w:val="left"/>
      <w:pPr>
        <w:ind w:left="9155" w:hanging="477"/>
      </w:pPr>
      <w:rPr>
        <w:rFonts w:hint="default"/>
      </w:rPr>
    </w:lvl>
    <w:lvl w:ilvl="7">
      <w:start w:val="0"/>
      <w:numFmt w:val="bullet"/>
      <w:lvlText w:val="•"/>
      <w:lvlJc w:val="left"/>
      <w:pPr>
        <w:ind w:left="10646" w:hanging="477"/>
      </w:pPr>
      <w:rPr>
        <w:rFonts w:hint="default"/>
      </w:rPr>
    </w:lvl>
    <w:lvl w:ilvl="8">
      <w:start w:val="0"/>
      <w:numFmt w:val="bullet"/>
      <w:lvlText w:val="•"/>
      <w:lvlJc w:val="left"/>
      <w:pPr>
        <w:ind w:left="12137" w:hanging="477"/>
      </w:pPr>
      <w:rPr>
        <w:rFonts w:hint="default"/>
      </w:rPr>
    </w:lvl>
  </w:abstractNum>
  <w:abstractNum w:abstractNumId="2">
    <w:nsid w:val="0B00CBF5"/>
    <w:multiLevelType w:val="hybridMultilevel"/>
    <w:tmpl w:val="00000000"/>
    <w:lvl w:ilvl="0">
      <w:start w:val="14"/>
      <w:numFmt w:val="decimal"/>
      <w:lvlText w:val="%1"/>
      <w:lvlJc w:val="left"/>
      <w:pPr>
        <w:ind w:left="1382" w:hanging="951"/>
        <w:jc w:val="left"/>
      </w:pPr>
      <w:rPr>
        <w:rFonts w:hint="default"/>
      </w:rPr>
    </w:lvl>
    <w:lvl w:ilvl="1">
      <w:start w:val="1"/>
      <w:numFmt w:val="decimal"/>
      <w:lvlText w:val="%1.%2"/>
      <w:lvlJc w:val="left"/>
      <w:pPr>
        <w:ind w:left="1382" w:hanging="951"/>
        <w:jc w:val="left"/>
      </w:pPr>
      <w:rPr>
        <w:rFonts w:ascii="宋体" w:eastAsia="宋体" w:hAnsi="宋体" w:cs="宋体" w:hint="default"/>
        <w:b/>
        <w:bCs/>
        <w:w w:val="101"/>
        <w:sz w:val="31"/>
        <w:szCs w:val="31"/>
      </w:rPr>
    </w:lvl>
    <w:lvl w:ilvl="2">
      <w:start w:val="1"/>
      <w:numFmt w:val="decimal"/>
      <w:lvlText w:val="%1.%2.%3"/>
      <w:lvlJc w:val="left"/>
      <w:pPr>
        <w:ind w:left="1695" w:hanging="1264"/>
        <w:jc w:val="left"/>
      </w:pPr>
      <w:rPr>
        <w:rFonts w:ascii="宋体" w:eastAsia="宋体" w:hAnsi="宋体" w:cs="宋体" w:hint="default"/>
        <w:w w:val="102"/>
        <w:sz w:val="31"/>
        <w:szCs w:val="31"/>
      </w:rPr>
    </w:lvl>
    <w:lvl w:ilvl="3">
      <w:start w:val="0"/>
      <w:numFmt w:val="bullet"/>
      <w:lvlText w:val="•"/>
      <w:lvlJc w:val="left"/>
      <w:pPr>
        <w:ind w:left="4682" w:hanging="1264"/>
      </w:pPr>
      <w:rPr>
        <w:rFonts w:hint="default"/>
      </w:rPr>
    </w:lvl>
    <w:lvl w:ilvl="4">
      <w:start w:val="0"/>
      <w:numFmt w:val="bullet"/>
      <w:lvlText w:val="•"/>
      <w:lvlJc w:val="left"/>
      <w:pPr>
        <w:ind w:left="6173" w:hanging="1264"/>
      </w:pPr>
      <w:rPr>
        <w:rFonts w:hint="default"/>
      </w:rPr>
    </w:lvl>
    <w:lvl w:ilvl="5">
      <w:start w:val="0"/>
      <w:numFmt w:val="bullet"/>
      <w:lvlText w:val="•"/>
      <w:lvlJc w:val="left"/>
      <w:pPr>
        <w:ind w:left="7664" w:hanging="1264"/>
      </w:pPr>
      <w:rPr>
        <w:rFonts w:hint="default"/>
      </w:rPr>
    </w:lvl>
    <w:lvl w:ilvl="6">
      <w:start w:val="0"/>
      <w:numFmt w:val="bullet"/>
      <w:lvlText w:val="•"/>
      <w:lvlJc w:val="left"/>
      <w:pPr>
        <w:ind w:left="9155" w:hanging="1264"/>
      </w:pPr>
      <w:rPr>
        <w:rFonts w:hint="default"/>
      </w:rPr>
    </w:lvl>
    <w:lvl w:ilvl="7">
      <w:start w:val="0"/>
      <w:numFmt w:val="bullet"/>
      <w:lvlText w:val="•"/>
      <w:lvlJc w:val="left"/>
      <w:pPr>
        <w:ind w:left="10646" w:hanging="1264"/>
      </w:pPr>
      <w:rPr>
        <w:rFonts w:hint="default"/>
      </w:rPr>
    </w:lvl>
    <w:lvl w:ilvl="8">
      <w:start w:val="0"/>
      <w:numFmt w:val="bullet"/>
      <w:lvlText w:val="•"/>
      <w:lvlJc w:val="left"/>
      <w:pPr>
        <w:ind w:left="12137" w:hanging="1264"/>
      </w:pPr>
      <w:rPr>
        <w:rFonts w:hint="default"/>
      </w:rPr>
    </w:lvl>
  </w:abstractNum>
  <w:abstractNum w:abstractNumId="3">
    <w:nsid w:val="128DB9CD"/>
    <w:multiLevelType w:val="hybridMultilevel"/>
    <w:tmpl w:val="00000000"/>
    <w:lvl w:ilvl="0">
      <w:start w:val="13"/>
      <w:numFmt w:val="decimal"/>
      <w:lvlText w:val="%1"/>
      <w:lvlJc w:val="left"/>
      <w:pPr>
        <w:ind w:left="1382" w:hanging="951"/>
        <w:jc w:val="left"/>
      </w:pPr>
      <w:rPr>
        <w:rFonts w:hint="default"/>
      </w:rPr>
    </w:lvl>
    <w:lvl w:ilvl="1">
      <w:start w:val="1"/>
      <w:numFmt w:val="decimal"/>
      <w:lvlText w:val="%1.%2"/>
      <w:lvlJc w:val="left"/>
      <w:pPr>
        <w:ind w:left="1382" w:hanging="951"/>
        <w:jc w:val="left"/>
      </w:pPr>
      <w:rPr>
        <w:rFonts w:ascii="宋体" w:eastAsia="宋体" w:hAnsi="宋体" w:cs="宋体" w:hint="default"/>
        <w:b/>
        <w:bCs/>
        <w:w w:val="101"/>
        <w:sz w:val="31"/>
        <w:szCs w:val="31"/>
      </w:rPr>
    </w:lvl>
    <w:lvl w:ilvl="2">
      <w:start w:val="1"/>
      <w:numFmt w:val="decimal"/>
      <w:lvlText w:val="%1.%2.%3"/>
      <w:lvlJc w:val="left"/>
      <w:pPr>
        <w:ind w:left="1695" w:hanging="1264"/>
        <w:jc w:val="left"/>
      </w:pPr>
      <w:rPr>
        <w:rFonts w:ascii="宋体" w:eastAsia="宋体" w:hAnsi="宋体" w:cs="宋体" w:hint="default"/>
        <w:w w:val="102"/>
        <w:sz w:val="31"/>
        <w:szCs w:val="31"/>
      </w:rPr>
    </w:lvl>
    <w:lvl w:ilvl="3">
      <w:start w:val="0"/>
      <w:numFmt w:val="bullet"/>
      <w:lvlText w:val="•"/>
      <w:lvlJc w:val="left"/>
      <w:pPr>
        <w:ind w:left="4682" w:hanging="1264"/>
      </w:pPr>
      <w:rPr>
        <w:rFonts w:hint="default"/>
      </w:rPr>
    </w:lvl>
    <w:lvl w:ilvl="4">
      <w:start w:val="0"/>
      <w:numFmt w:val="bullet"/>
      <w:lvlText w:val="•"/>
      <w:lvlJc w:val="left"/>
      <w:pPr>
        <w:ind w:left="6173" w:hanging="1264"/>
      </w:pPr>
      <w:rPr>
        <w:rFonts w:hint="default"/>
      </w:rPr>
    </w:lvl>
    <w:lvl w:ilvl="5">
      <w:start w:val="0"/>
      <w:numFmt w:val="bullet"/>
      <w:lvlText w:val="•"/>
      <w:lvlJc w:val="left"/>
      <w:pPr>
        <w:ind w:left="7664" w:hanging="1264"/>
      </w:pPr>
      <w:rPr>
        <w:rFonts w:hint="default"/>
      </w:rPr>
    </w:lvl>
    <w:lvl w:ilvl="6">
      <w:start w:val="0"/>
      <w:numFmt w:val="bullet"/>
      <w:lvlText w:val="•"/>
      <w:lvlJc w:val="left"/>
      <w:pPr>
        <w:ind w:left="9155" w:hanging="1264"/>
      </w:pPr>
      <w:rPr>
        <w:rFonts w:hint="default"/>
      </w:rPr>
    </w:lvl>
    <w:lvl w:ilvl="7">
      <w:start w:val="0"/>
      <w:numFmt w:val="bullet"/>
      <w:lvlText w:val="•"/>
      <w:lvlJc w:val="left"/>
      <w:pPr>
        <w:ind w:left="10646" w:hanging="1264"/>
      </w:pPr>
      <w:rPr>
        <w:rFonts w:hint="default"/>
      </w:rPr>
    </w:lvl>
    <w:lvl w:ilvl="8">
      <w:start w:val="0"/>
      <w:numFmt w:val="bullet"/>
      <w:lvlText w:val="•"/>
      <w:lvlJc w:val="left"/>
      <w:pPr>
        <w:ind w:left="12137" w:hanging="1264"/>
      </w:pPr>
      <w:rPr>
        <w:rFonts w:hint="default"/>
      </w:rPr>
    </w:lvl>
  </w:abstractNum>
  <w:abstractNum w:abstractNumId="4">
    <w:nsid w:val="12FC59E8"/>
    <w:multiLevelType w:val="hybridMultilevel"/>
    <w:tmpl w:val="00000000"/>
    <w:lvl w:ilvl="0">
      <w:start w:val="1"/>
      <w:numFmt w:val="decimal"/>
      <w:lvlText w:val="%1."/>
      <w:lvlJc w:val="left"/>
      <w:pPr>
        <w:ind w:left="1696" w:hanging="477"/>
        <w:jc w:val="left"/>
      </w:pPr>
      <w:rPr>
        <w:rFonts w:ascii="宋体" w:eastAsia="宋体" w:hAnsi="宋体" w:cs="宋体" w:hint="default"/>
        <w:w w:val="102"/>
        <w:sz w:val="29"/>
        <w:szCs w:val="29"/>
      </w:rPr>
    </w:lvl>
    <w:lvl w:ilvl="1">
      <w:start w:val="2"/>
      <w:numFmt w:val="decimal"/>
      <w:lvlText w:val="%2."/>
      <w:lvlJc w:val="left"/>
      <w:pPr>
        <w:ind w:left="2296" w:hanging="367"/>
        <w:jc w:val="left"/>
      </w:pPr>
      <w:rPr>
        <w:rFonts w:ascii="仿宋" w:eastAsia="仿宋" w:hAnsi="仿宋" w:cs="仿宋" w:hint="default"/>
        <w:b/>
        <w:bCs/>
        <w:w w:val="99"/>
        <w:sz w:val="34"/>
        <w:szCs w:val="34"/>
      </w:rPr>
    </w:lvl>
    <w:lvl w:ilvl="2">
      <w:start w:val="1"/>
      <w:numFmt w:val="decimal"/>
      <w:lvlText w:val="%3."/>
      <w:lvlJc w:val="left"/>
      <w:pPr>
        <w:ind w:left="2847" w:hanging="364"/>
        <w:jc w:val="left"/>
      </w:pPr>
      <w:rPr>
        <w:rFonts w:ascii="仿宋" w:eastAsia="仿宋" w:hAnsi="仿宋" w:cs="仿宋" w:hint="default"/>
        <w:b/>
        <w:bCs/>
        <w:w w:val="99"/>
        <w:sz w:val="34"/>
        <w:szCs w:val="34"/>
      </w:rPr>
    </w:lvl>
    <w:lvl w:ilvl="3">
      <w:start w:val="0"/>
      <w:numFmt w:val="bullet"/>
      <w:lvlText w:val="•"/>
      <w:lvlJc w:val="left"/>
      <w:pPr>
        <w:ind w:left="4374" w:hanging="364"/>
      </w:pPr>
      <w:rPr>
        <w:rFonts w:hint="default"/>
      </w:rPr>
    </w:lvl>
    <w:lvl w:ilvl="4">
      <w:start w:val="0"/>
      <w:numFmt w:val="bullet"/>
      <w:lvlText w:val="•"/>
      <w:lvlJc w:val="left"/>
      <w:pPr>
        <w:ind w:left="5909" w:hanging="364"/>
      </w:pPr>
      <w:rPr>
        <w:rFonts w:hint="default"/>
      </w:rPr>
    </w:lvl>
    <w:lvl w:ilvl="5">
      <w:start w:val="0"/>
      <w:numFmt w:val="bullet"/>
      <w:lvlText w:val="•"/>
      <w:lvlJc w:val="left"/>
      <w:pPr>
        <w:ind w:left="7444" w:hanging="364"/>
      </w:pPr>
      <w:rPr>
        <w:rFonts w:hint="default"/>
      </w:rPr>
    </w:lvl>
    <w:lvl w:ilvl="6">
      <w:start w:val="0"/>
      <w:numFmt w:val="bullet"/>
      <w:lvlText w:val="•"/>
      <w:lvlJc w:val="left"/>
      <w:pPr>
        <w:ind w:left="8979" w:hanging="364"/>
      </w:pPr>
      <w:rPr>
        <w:rFonts w:hint="default"/>
      </w:rPr>
    </w:lvl>
    <w:lvl w:ilvl="7">
      <w:start w:val="0"/>
      <w:numFmt w:val="bullet"/>
      <w:lvlText w:val="•"/>
      <w:lvlJc w:val="left"/>
      <w:pPr>
        <w:ind w:left="10514" w:hanging="364"/>
      </w:pPr>
      <w:rPr>
        <w:rFonts w:hint="default"/>
      </w:rPr>
    </w:lvl>
    <w:lvl w:ilvl="8">
      <w:start w:val="0"/>
      <w:numFmt w:val="bullet"/>
      <w:lvlText w:val="•"/>
      <w:lvlJc w:val="left"/>
      <w:pPr>
        <w:ind w:left="12049" w:hanging="364"/>
      </w:pPr>
      <w:rPr>
        <w:rFonts w:hint="default"/>
      </w:rPr>
    </w:lvl>
  </w:abstractNum>
  <w:abstractNum w:abstractNumId="5">
    <w:nsid w:val="1B28D11F"/>
    <w:multiLevelType w:val="hybridMultilevel"/>
    <w:tmpl w:val="00000000"/>
    <w:lvl w:ilvl="0">
      <w:start w:val="15"/>
      <w:numFmt w:val="decimal"/>
      <w:lvlText w:val="%1"/>
      <w:lvlJc w:val="left"/>
      <w:pPr>
        <w:ind w:left="1382" w:hanging="951"/>
        <w:jc w:val="left"/>
      </w:pPr>
      <w:rPr>
        <w:rFonts w:hint="default"/>
      </w:rPr>
    </w:lvl>
    <w:lvl w:ilvl="1">
      <w:start w:val="1"/>
      <w:numFmt w:val="decimal"/>
      <w:lvlText w:val="%1.%2"/>
      <w:lvlJc w:val="left"/>
      <w:pPr>
        <w:ind w:left="1382" w:hanging="951"/>
        <w:jc w:val="left"/>
      </w:pPr>
      <w:rPr>
        <w:rFonts w:ascii="宋体" w:eastAsia="宋体" w:hAnsi="宋体" w:cs="宋体" w:hint="default"/>
        <w:b/>
        <w:bCs/>
        <w:w w:val="101"/>
        <w:sz w:val="31"/>
        <w:szCs w:val="31"/>
      </w:rPr>
    </w:lvl>
    <w:lvl w:ilvl="2">
      <w:start w:val="1"/>
      <w:numFmt w:val="decimal"/>
      <w:lvlText w:val="%1.%2.%3"/>
      <w:lvlJc w:val="left"/>
      <w:pPr>
        <w:ind w:left="1695" w:hanging="1264"/>
        <w:jc w:val="left"/>
      </w:pPr>
      <w:rPr>
        <w:rFonts w:ascii="宋体" w:eastAsia="宋体" w:hAnsi="宋体" w:cs="宋体" w:hint="default"/>
        <w:w w:val="102"/>
        <w:sz w:val="31"/>
        <w:szCs w:val="31"/>
      </w:rPr>
    </w:lvl>
    <w:lvl w:ilvl="3">
      <w:start w:val="0"/>
      <w:numFmt w:val="bullet"/>
      <w:lvlText w:val="•"/>
      <w:lvlJc w:val="left"/>
      <w:pPr>
        <w:ind w:left="4682" w:hanging="1264"/>
      </w:pPr>
      <w:rPr>
        <w:rFonts w:hint="default"/>
      </w:rPr>
    </w:lvl>
    <w:lvl w:ilvl="4">
      <w:start w:val="0"/>
      <w:numFmt w:val="bullet"/>
      <w:lvlText w:val="•"/>
      <w:lvlJc w:val="left"/>
      <w:pPr>
        <w:ind w:left="6173" w:hanging="1264"/>
      </w:pPr>
      <w:rPr>
        <w:rFonts w:hint="default"/>
      </w:rPr>
    </w:lvl>
    <w:lvl w:ilvl="5">
      <w:start w:val="0"/>
      <w:numFmt w:val="bullet"/>
      <w:lvlText w:val="•"/>
      <w:lvlJc w:val="left"/>
      <w:pPr>
        <w:ind w:left="7664" w:hanging="1264"/>
      </w:pPr>
      <w:rPr>
        <w:rFonts w:hint="default"/>
      </w:rPr>
    </w:lvl>
    <w:lvl w:ilvl="6">
      <w:start w:val="0"/>
      <w:numFmt w:val="bullet"/>
      <w:lvlText w:val="•"/>
      <w:lvlJc w:val="left"/>
      <w:pPr>
        <w:ind w:left="9155" w:hanging="1264"/>
      </w:pPr>
      <w:rPr>
        <w:rFonts w:hint="default"/>
      </w:rPr>
    </w:lvl>
    <w:lvl w:ilvl="7">
      <w:start w:val="0"/>
      <w:numFmt w:val="bullet"/>
      <w:lvlText w:val="•"/>
      <w:lvlJc w:val="left"/>
      <w:pPr>
        <w:ind w:left="10646" w:hanging="1264"/>
      </w:pPr>
      <w:rPr>
        <w:rFonts w:hint="default"/>
      </w:rPr>
    </w:lvl>
    <w:lvl w:ilvl="8">
      <w:start w:val="0"/>
      <w:numFmt w:val="bullet"/>
      <w:lvlText w:val="•"/>
      <w:lvlJc w:val="left"/>
      <w:pPr>
        <w:ind w:left="12137" w:hanging="1264"/>
      </w:pPr>
      <w:rPr>
        <w:rFonts w:hint="default"/>
      </w:rPr>
    </w:lvl>
  </w:abstractNum>
  <w:abstractNum w:abstractNumId="6">
    <w:nsid w:val="2259BD2A"/>
    <w:multiLevelType w:val="hybridMultilevel"/>
    <w:tmpl w:val="00000000"/>
    <w:lvl w:ilvl="0">
      <w:start w:val="1"/>
      <w:numFmt w:val="decimal"/>
      <w:lvlText w:val="%1."/>
      <w:lvlJc w:val="left"/>
      <w:pPr>
        <w:ind w:left="525" w:hanging="364"/>
        <w:jc w:val="left"/>
      </w:pPr>
      <w:rPr>
        <w:rFonts w:ascii="仿宋" w:eastAsia="仿宋" w:hAnsi="仿宋" w:cs="仿宋" w:hint="default"/>
        <w:b/>
        <w:bCs/>
        <w:w w:val="99"/>
        <w:sz w:val="34"/>
        <w:szCs w:val="34"/>
      </w:rPr>
    </w:lvl>
    <w:lvl w:ilvl="1">
      <w:start w:val="0"/>
      <w:numFmt w:val="bullet"/>
      <w:lvlText w:val="•"/>
      <w:lvlJc w:val="left"/>
      <w:pPr>
        <w:ind w:left="1979" w:hanging="364"/>
      </w:pPr>
      <w:rPr>
        <w:rFonts w:hint="default"/>
      </w:rPr>
    </w:lvl>
    <w:lvl w:ilvl="2">
      <w:start w:val="0"/>
      <w:numFmt w:val="bullet"/>
      <w:lvlText w:val="•"/>
      <w:lvlJc w:val="left"/>
      <w:pPr>
        <w:ind w:left="3439" w:hanging="364"/>
      </w:pPr>
      <w:rPr>
        <w:rFonts w:hint="default"/>
      </w:rPr>
    </w:lvl>
    <w:lvl w:ilvl="3">
      <w:start w:val="0"/>
      <w:numFmt w:val="bullet"/>
      <w:lvlText w:val="•"/>
      <w:lvlJc w:val="left"/>
      <w:pPr>
        <w:ind w:left="4899" w:hanging="364"/>
      </w:pPr>
      <w:rPr>
        <w:rFonts w:hint="default"/>
      </w:rPr>
    </w:lvl>
    <w:lvl w:ilvl="4">
      <w:start w:val="0"/>
      <w:numFmt w:val="bullet"/>
      <w:lvlText w:val="•"/>
      <w:lvlJc w:val="left"/>
      <w:pPr>
        <w:ind w:left="6359" w:hanging="364"/>
      </w:pPr>
      <w:rPr>
        <w:rFonts w:hint="default"/>
      </w:rPr>
    </w:lvl>
    <w:lvl w:ilvl="5">
      <w:start w:val="0"/>
      <w:numFmt w:val="bullet"/>
      <w:lvlText w:val="•"/>
      <w:lvlJc w:val="left"/>
      <w:pPr>
        <w:ind w:left="7819" w:hanging="364"/>
      </w:pPr>
      <w:rPr>
        <w:rFonts w:hint="default"/>
      </w:rPr>
    </w:lvl>
    <w:lvl w:ilvl="6">
      <w:start w:val="0"/>
      <w:numFmt w:val="bullet"/>
      <w:lvlText w:val="•"/>
      <w:lvlJc w:val="left"/>
      <w:pPr>
        <w:ind w:left="9279" w:hanging="364"/>
      </w:pPr>
      <w:rPr>
        <w:rFonts w:hint="default"/>
      </w:rPr>
    </w:lvl>
    <w:lvl w:ilvl="7">
      <w:start w:val="0"/>
      <w:numFmt w:val="bullet"/>
      <w:lvlText w:val="•"/>
      <w:lvlJc w:val="left"/>
      <w:pPr>
        <w:ind w:left="10739" w:hanging="364"/>
      </w:pPr>
      <w:rPr>
        <w:rFonts w:hint="default"/>
      </w:rPr>
    </w:lvl>
    <w:lvl w:ilvl="8">
      <w:start w:val="0"/>
      <w:numFmt w:val="bullet"/>
      <w:lvlText w:val="•"/>
      <w:lvlJc w:val="left"/>
      <w:pPr>
        <w:ind w:left="12199" w:hanging="364"/>
      </w:pPr>
      <w:rPr>
        <w:rFonts w:hint="default"/>
      </w:rPr>
    </w:lvl>
  </w:abstractNum>
  <w:abstractNum w:abstractNumId="7">
    <w:nsid w:val="25FE8A8D"/>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0"/>
      <w:numFmt w:val="bullet"/>
      <w:lvlText w:val="•"/>
      <w:lvlJc w:val="left"/>
      <w:pPr>
        <w:ind w:left="289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613" w:hanging="473"/>
      </w:pPr>
      <w:rPr>
        <w:rFonts w:hint="default"/>
      </w:rPr>
    </w:lvl>
    <w:lvl w:ilvl="4">
      <w:start w:val="0"/>
      <w:numFmt w:val="bullet"/>
      <w:lvlText w:val="•"/>
      <w:lvlJc w:val="left"/>
      <w:pPr>
        <w:ind w:left="6971" w:hanging="473"/>
      </w:pPr>
      <w:rPr>
        <w:rFonts w:hint="default"/>
      </w:rPr>
    </w:lvl>
    <w:lvl w:ilvl="5">
      <w:start w:val="0"/>
      <w:numFmt w:val="bullet"/>
      <w:lvlText w:val="•"/>
      <w:lvlJc w:val="left"/>
      <w:pPr>
        <w:ind w:left="8329" w:hanging="473"/>
      </w:pPr>
      <w:rPr>
        <w:rFonts w:hint="default"/>
      </w:rPr>
    </w:lvl>
    <w:lvl w:ilvl="6">
      <w:start w:val="0"/>
      <w:numFmt w:val="bullet"/>
      <w:lvlText w:val="•"/>
      <w:lvlJc w:val="left"/>
      <w:pPr>
        <w:ind w:left="9687" w:hanging="473"/>
      </w:pPr>
      <w:rPr>
        <w:rFonts w:hint="default"/>
      </w:rPr>
    </w:lvl>
    <w:lvl w:ilvl="7">
      <w:start w:val="0"/>
      <w:numFmt w:val="bullet"/>
      <w:lvlText w:val="•"/>
      <w:lvlJc w:val="left"/>
      <w:pPr>
        <w:ind w:left="11045" w:hanging="473"/>
      </w:pPr>
      <w:rPr>
        <w:rFonts w:hint="default"/>
      </w:rPr>
    </w:lvl>
    <w:lvl w:ilvl="8">
      <w:start w:val="0"/>
      <w:numFmt w:val="bullet"/>
      <w:lvlText w:val="•"/>
      <w:lvlJc w:val="left"/>
      <w:pPr>
        <w:ind w:left="12403" w:hanging="473"/>
      </w:pPr>
      <w:rPr>
        <w:rFonts w:hint="default"/>
      </w:rPr>
    </w:lvl>
  </w:abstractNum>
  <w:abstractNum w:abstractNumId="8">
    <w:nsid w:val="265CF47A"/>
    <w:multiLevelType w:val="hybridMultilevel"/>
    <w:tmpl w:val="00000000"/>
    <w:lvl w:ilvl="0">
      <w:start w:val="1"/>
      <w:numFmt w:val="decimal"/>
      <w:lvlText w:val="%1."/>
      <w:lvlJc w:val="left"/>
      <w:pPr>
        <w:ind w:left="432" w:hanging="476"/>
        <w:jc w:val="left"/>
      </w:pPr>
      <w:rPr>
        <w:rFonts w:ascii="宋体" w:eastAsia="宋体" w:hAnsi="宋体" w:cs="宋体" w:hint="default"/>
        <w:spacing w:val="-1"/>
        <w:w w:val="102"/>
        <w:sz w:val="29"/>
        <w:szCs w:val="29"/>
      </w:rPr>
    </w:lvl>
    <w:lvl w:ilvl="1">
      <w:start w:val="0"/>
      <w:numFmt w:val="bullet"/>
      <w:lvlText w:val="•"/>
      <w:lvlJc w:val="left"/>
      <w:pPr>
        <w:ind w:left="1907" w:hanging="476"/>
      </w:pPr>
      <w:rPr>
        <w:rFonts w:hint="default"/>
      </w:rPr>
    </w:lvl>
    <w:lvl w:ilvl="2">
      <w:start w:val="0"/>
      <w:numFmt w:val="bullet"/>
      <w:lvlText w:val="•"/>
      <w:lvlJc w:val="left"/>
      <w:pPr>
        <w:ind w:left="3375" w:hanging="476"/>
      </w:pPr>
      <w:rPr>
        <w:rFonts w:hint="default"/>
      </w:rPr>
    </w:lvl>
    <w:lvl w:ilvl="3">
      <w:start w:val="0"/>
      <w:numFmt w:val="bullet"/>
      <w:lvlText w:val="•"/>
      <w:lvlJc w:val="left"/>
      <w:pPr>
        <w:ind w:left="4843" w:hanging="476"/>
      </w:pPr>
      <w:rPr>
        <w:rFonts w:hint="default"/>
      </w:rPr>
    </w:lvl>
    <w:lvl w:ilvl="4">
      <w:start w:val="0"/>
      <w:numFmt w:val="bullet"/>
      <w:lvlText w:val="•"/>
      <w:lvlJc w:val="left"/>
      <w:pPr>
        <w:ind w:left="6311" w:hanging="476"/>
      </w:pPr>
      <w:rPr>
        <w:rFonts w:hint="default"/>
      </w:rPr>
    </w:lvl>
    <w:lvl w:ilvl="5">
      <w:start w:val="0"/>
      <w:numFmt w:val="bullet"/>
      <w:lvlText w:val="•"/>
      <w:lvlJc w:val="left"/>
      <w:pPr>
        <w:ind w:left="7779" w:hanging="476"/>
      </w:pPr>
      <w:rPr>
        <w:rFonts w:hint="default"/>
      </w:rPr>
    </w:lvl>
    <w:lvl w:ilvl="6">
      <w:start w:val="0"/>
      <w:numFmt w:val="bullet"/>
      <w:lvlText w:val="•"/>
      <w:lvlJc w:val="left"/>
      <w:pPr>
        <w:ind w:left="9247" w:hanging="476"/>
      </w:pPr>
      <w:rPr>
        <w:rFonts w:hint="default"/>
      </w:rPr>
    </w:lvl>
    <w:lvl w:ilvl="7">
      <w:start w:val="0"/>
      <w:numFmt w:val="bullet"/>
      <w:lvlText w:val="•"/>
      <w:lvlJc w:val="left"/>
      <w:pPr>
        <w:ind w:left="10715" w:hanging="476"/>
      </w:pPr>
      <w:rPr>
        <w:rFonts w:hint="default"/>
      </w:rPr>
    </w:lvl>
    <w:lvl w:ilvl="8">
      <w:start w:val="0"/>
      <w:numFmt w:val="bullet"/>
      <w:lvlText w:val="•"/>
      <w:lvlJc w:val="left"/>
      <w:pPr>
        <w:ind w:left="12183" w:hanging="476"/>
      </w:pPr>
      <w:rPr>
        <w:rFonts w:hint="default"/>
      </w:rPr>
    </w:lvl>
  </w:abstractNum>
  <w:abstractNum w:abstractNumId="9">
    <w:nsid w:val="26B6434C"/>
    <w:multiLevelType w:val="hybridMultilevel"/>
    <w:tmpl w:val="00000000"/>
    <w:lvl w:ilvl="0">
      <w:start w:val="0"/>
      <w:numFmt w:val="bullet"/>
      <w:lvlText w:val=""/>
      <w:lvlJc w:val="left"/>
      <w:pPr>
        <w:ind w:left="792" w:hanging="630"/>
      </w:pPr>
      <w:rPr>
        <w:rFonts w:ascii="Wingdings" w:eastAsia="Wingdings" w:hAnsi="Wingdings" w:cs="Wingdings" w:hint="default"/>
        <w:w w:val="100"/>
        <w:sz w:val="36"/>
        <w:szCs w:val="36"/>
      </w:rPr>
    </w:lvl>
    <w:lvl w:ilvl="1">
      <w:start w:val="0"/>
      <w:numFmt w:val="bullet"/>
      <w:lvlText w:val="•"/>
      <w:lvlJc w:val="left"/>
      <w:pPr>
        <w:ind w:left="1820" w:hanging="630"/>
      </w:pPr>
      <w:rPr>
        <w:rFonts w:hint="default"/>
      </w:rPr>
    </w:lvl>
    <w:lvl w:ilvl="2">
      <w:start w:val="0"/>
      <w:numFmt w:val="bullet"/>
      <w:lvlText w:val="•"/>
      <w:lvlJc w:val="left"/>
      <w:pPr>
        <w:ind w:left="2841" w:hanging="630"/>
      </w:pPr>
      <w:rPr>
        <w:rFonts w:hint="default"/>
      </w:rPr>
    </w:lvl>
    <w:lvl w:ilvl="3">
      <w:start w:val="0"/>
      <w:numFmt w:val="bullet"/>
      <w:lvlText w:val="•"/>
      <w:lvlJc w:val="left"/>
      <w:pPr>
        <w:ind w:left="3861" w:hanging="630"/>
      </w:pPr>
      <w:rPr>
        <w:rFonts w:hint="default"/>
      </w:rPr>
    </w:lvl>
    <w:lvl w:ilvl="4">
      <w:start w:val="0"/>
      <w:numFmt w:val="bullet"/>
      <w:lvlText w:val="•"/>
      <w:lvlJc w:val="left"/>
      <w:pPr>
        <w:ind w:left="4882" w:hanging="630"/>
      </w:pPr>
      <w:rPr>
        <w:rFonts w:hint="default"/>
      </w:rPr>
    </w:lvl>
    <w:lvl w:ilvl="5">
      <w:start w:val="0"/>
      <w:numFmt w:val="bullet"/>
      <w:lvlText w:val="•"/>
      <w:lvlJc w:val="left"/>
      <w:pPr>
        <w:ind w:left="5902" w:hanging="630"/>
      </w:pPr>
      <w:rPr>
        <w:rFonts w:hint="default"/>
      </w:rPr>
    </w:lvl>
    <w:lvl w:ilvl="6">
      <w:start w:val="0"/>
      <w:numFmt w:val="bullet"/>
      <w:lvlText w:val="•"/>
      <w:lvlJc w:val="left"/>
      <w:pPr>
        <w:ind w:left="6923" w:hanging="630"/>
      </w:pPr>
      <w:rPr>
        <w:rFonts w:hint="default"/>
      </w:rPr>
    </w:lvl>
    <w:lvl w:ilvl="7">
      <w:start w:val="0"/>
      <w:numFmt w:val="bullet"/>
      <w:lvlText w:val="•"/>
      <w:lvlJc w:val="left"/>
      <w:pPr>
        <w:ind w:left="7943" w:hanging="630"/>
      </w:pPr>
      <w:rPr>
        <w:rFonts w:hint="default"/>
      </w:rPr>
    </w:lvl>
    <w:lvl w:ilvl="8">
      <w:start w:val="0"/>
      <w:numFmt w:val="bullet"/>
      <w:lvlText w:val="•"/>
      <w:lvlJc w:val="left"/>
      <w:pPr>
        <w:ind w:left="8964" w:hanging="630"/>
      </w:pPr>
      <w:rPr>
        <w:rFonts w:hint="default"/>
      </w:rPr>
    </w:lvl>
  </w:abstractNum>
  <w:abstractNum w:abstractNumId="10">
    <w:nsid w:val="26D049F2"/>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0"/>
      <w:numFmt w:val="bullet"/>
      <w:lvlText w:val="•"/>
      <w:lvlJc w:val="left"/>
      <w:pPr>
        <w:ind w:left="289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613" w:hanging="473"/>
      </w:pPr>
      <w:rPr>
        <w:rFonts w:hint="default"/>
      </w:rPr>
    </w:lvl>
    <w:lvl w:ilvl="4">
      <w:start w:val="0"/>
      <w:numFmt w:val="bullet"/>
      <w:lvlText w:val="•"/>
      <w:lvlJc w:val="left"/>
      <w:pPr>
        <w:ind w:left="6971" w:hanging="473"/>
      </w:pPr>
      <w:rPr>
        <w:rFonts w:hint="default"/>
      </w:rPr>
    </w:lvl>
    <w:lvl w:ilvl="5">
      <w:start w:val="0"/>
      <w:numFmt w:val="bullet"/>
      <w:lvlText w:val="•"/>
      <w:lvlJc w:val="left"/>
      <w:pPr>
        <w:ind w:left="8329" w:hanging="473"/>
      </w:pPr>
      <w:rPr>
        <w:rFonts w:hint="default"/>
      </w:rPr>
    </w:lvl>
    <w:lvl w:ilvl="6">
      <w:start w:val="0"/>
      <w:numFmt w:val="bullet"/>
      <w:lvlText w:val="•"/>
      <w:lvlJc w:val="left"/>
      <w:pPr>
        <w:ind w:left="9687" w:hanging="473"/>
      </w:pPr>
      <w:rPr>
        <w:rFonts w:hint="default"/>
      </w:rPr>
    </w:lvl>
    <w:lvl w:ilvl="7">
      <w:start w:val="0"/>
      <w:numFmt w:val="bullet"/>
      <w:lvlText w:val="•"/>
      <w:lvlJc w:val="left"/>
      <w:pPr>
        <w:ind w:left="11045" w:hanging="473"/>
      </w:pPr>
      <w:rPr>
        <w:rFonts w:hint="default"/>
      </w:rPr>
    </w:lvl>
    <w:lvl w:ilvl="8">
      <w:start w:val="0"/>
      <w:numFmt w:val="bullet"/>
      <w:lvlText w:val="•"/>
      <w:lvlJc w:val="left"/>
      <w:pPr>
        <w:ind w:left="12403" w:hanging="473"/>
      </w:pPr>
      <w:rPr>
        <w:rFonts w:hint="default"/>
      </w:rPr>
    </w:lvl>
  </w:abstractNum>
  <w:abstractNum w:abstractNumId="11">
    <w:nsid w:val="2765EF42"/>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1"/>
      <w:numFmt w:val="decimal"/>
      <w:lvlText w:val="%2."/>
      <w:lvlJc w:val="left"/>
      <w:pPr>
        <w:ind w:left="1696" w:hanging="477"/>
        <w:jc w:val="left"/>
      </w:pPr>
      <w:rPr>
        <w:rFonts w:ascii="宋体" w:eastAsia="宋体" w:hAnsi="宋体" w:cs="宋体" w:hint="default"/>
        <w:w w:val="102"/>
        <w:sz w:val="29"/>
        <w:szCs w:val="29"/>
      </w:rPr>
    </w:lvl>
    <w:lvl w:ilvl="2">
      <w:start w:val="0"/>
      <w:numFmt w:val="bullet"/>
      <w:lvlText w:val="•"/>
      <w:lvlJc w:val="left"/>
      <w:pPr>
        <w:ind w:left="3191" w:hanging="477"/>
      </w:pPr>
      <w:rPr>
        <w:rFonts w:hint="default"/>
      </w:rPr>
    </w:lvl>
    <w:lvl w:ilvl="3">
      <w:start w:val="0"/>
      <w:numFmt w:val="bullet"/>
      <w:lvlText w:val="•"/>
      <w:lvlJc w:val="left"/>
      <w:pPr>
        <w:ind w:left="4682" w:hanging="477"/>
      </w:pPr>
      <w:rPr>
        <w:rFonts w:hint="default"/>
      </w:rPr>
    </w:lvl>
    <w:lvl w:ilvl="4">
      <w:start w:val="0"/>
      <w:numFmt w:val="bullet"/>
      <w:lvlText w:val="•"/>
      <w:lvlJc w:val="left"/>
      <w:pPr>
        <w:ind w:left="6173" w:hanging="477"/>
      </w:pPr>
      <w:rPr>
        <w:rFonts w:hint="default"/>
      </w:rPr>
    </w:lvl>
    <w:lvl w:ilvl="5">
      <w:start w:val="0"/>
      <w:numFmt w:val="bullet"/>
      <w:lvlText w:val="•"/>
      <w:lvlJc w:val="left"/>
      <w:pPr>
        <w:ind w:left="7664" w:hanging="477"/>
      </w:pPr>
      <w:rPr>
        <w:rFonts w:hint="default"/>
      </w:rPr>
    </w:lvl>
    <w:lvl w:ilvl="6">
      <w:start w:val="0"/>
      <w:numFmt w:val="bullet"/>
      <w:lvlText w:val="•"/>
      <w:lvlJc w:val="left"/>
      <w:pPr>
        <w:ind w:left="9155" w:hanging="477"/>
      </w:pPr>
      <w:rPr>
        <w:rFonts w:hint="default"/>
      </w:rPr>
    </w:lvl>
    <w:lvl w:ilvl="7">
      <w:start w:val="0"/>
      <w:numFmt w:val="bullet"/>
      <w:lvlText w:val="•"/>
      <w:lvlJc w:val="left"/>
      <w:pPr>
        <w:ind w:left="10646" w:hanging="477"/>
      </w:pPr>
      <w:rPr>
        <w:rFonts w:hint="default"/>
      </w:rPr>
    </w:lvl>
    <w:lvl w:ilvl="8">
      <w:start w:val="0"/>
      <w:numFmt w:val="bullet"/>
      <w:lvlText w:val="•"/>
      <w:lvlJc w:val="left"/>
      <w:pPr>
        <w:ind w:left="12137" w:hanging="477"/>
      </w:pPr>
      <w:rPr>
        <w:rFonts w:hint="default"/>
      </w:rPr>
    </w:lvl>
  </w:abstractNum>
  <w:abstractNum w:abstractNumId="12">
    <w:nsid w:val="2873B0A1"/>
    <w:multiLevelType w:val="hybridMultilevel"/>
    <w:tmpl w:val="00000000"/>
    <w:lvl w:ilvl="0">
      <w:start w:val="8"/>
      <w:numFmt w:val="decimal"/>
      <w:lvlText w:val="%1"/>
      <w:lvlJc w:val="left"/>
      <w:pPr>
        <w:ind w:left="1223" w:hanging="792"/>
        <w:jc w:val="left"/>
      </w:pPr>
      <w:rPr>
        <w:rFonts w:hint="default"/>
      </w:rPr>
    </w:lvl>
    <w:lvl w:ilvl="1">
      <w:start w:val="1"/>
      <w:numFmt w:val="decimal"/>
      <w:lvlText w:val="%1.%2"/>
      <w:lvlJc w:val="left"/>
      <w:pPr>
        <w:ind w:left="1223" w:hanging="792"/>
        <w:jc w:val="left"/>
      </w:pPr>
      <w:rPr>
        <w:rFonts w:ascii="宋体" w:eastAsia="宋体" w:hAnsi="宋体" w:cs="宋体" w:hint="default"/>
        <w:b/>
        <w:bCs/>
        <w:w w:val="101"/>
        <w:sz w:val="31"/>
        <w:szCs w:val="31"/>
      </w:rPr>
    </w:lvl>
    <w:lvl w:ilvl="2">
      <w:start w:val="1"/>
      <w:numFmt w:val="decimal"/>
      <w:lvlText w:val="%1.%2.%3"/>
      <w:lvlJc w:val="left"/>
      <w:pPr>
        <w:ind w:left="1537" w:hanging="1105"/>
        <w:jc w:val="left"/>
      </w:pPr>
      <w:rPr>
        <w:rFonts w:ascii="宋体" w:eastAsia="宋体" w:hAnsi="宋体" w:cs="宋体" w:hint="default"/>
        <w:w w:val="102"/>
        <w:sz w:val="31"/>
        <w:szCs w:val="31"/>
      </w:rPr>
    </w:lvl>
    <w:lvl w:ilvl="3">
      <w:start w:val="0"/>
      <w:numFmt w:val="bullet"/>
      <w:lvlText w:val="•"/>
      <w:lvlJc w:val="left"/>
      <w:pPr>
        <w:ind w:left="4557" w:hanging="1105"/>
      </w:pPr>
      <w:rPr>
        <w:rFonts w:hint="default"/>
      </w:rPr>
    </w:lvl>
    <w:lvl w:ilvl="4">
      <w:start w:val="0"/>
      <w:numFmt w:val="bullet"/>
      <w:lvlText w:val="•"/>
      <w:lvlJc w:val="left"/>
      <w:pPr>
        <w:ind w:left="6066" w:hanging="1105"/>
      </w:pPr>
      <w:rPr>
        <w:rFonts w:hint="default"/>
      </w:rPr>
    </w:lvl>
    <w:lvl w:ilvl="5">
      <w:start w:val="0"/>
      <w:numFmt w:val="bullet"/>
      <w:lvlText w:val="•"/>
      <w:lvlJc w:val="left"/>
      <w:pPr>
        <w:ind w:left="7575" w:hanging="1105"/>
      </w:pPr>
      <w:rPr>
        <w:rFonts w:hint="default"/>
      </w:rPr>
    </w:lvl>
    <w:lvl w:ilvl="6">
      <w:start w:val="0"/>
      <w:numFmt w:val="bullet"/>
      <w:lvlText w:val="•"/>
      <w:lvlJc w:val="left"/>
      <w:pPr>
        <w:ind w:left="9084" w:hanging="1105"/>
      </w:pPr>
      <w:rPr>
        <w:rFonts w:hint="default"/>
      </w:rPr>
    </w:lvl>
    <w:lvl w:ilvl="7">
      <w:start w:val="0"/>
      <w:numFmt w:val="bullet"/>
      <w:lvlText w:val="•"/>
      <w:lvlJc w:val="left"/>
      <w:pPr>
        <w:ind w:left="10593" w:hanging="1105"/>
      </w:pPr>
      <w:rPr>
        <w:rFonts w:hint="default"/>
      </w:rPr>
    </w:lvl>
    <w:lvl w:ilvl="8">
      <w:start w:val="0"/>
      <w:numFmt w:val="bullet"/>
      <w:lvlText w:val="•"/>
      <w:lvlJc w:val="left"/>
      <w:pPr>
        <w:ind w:left="12101" w:hanging="1105"/>
      </w:pPr>
      <w:rPr>
        <w:rFonts w:hint="default"/>
      </w:rPr>
    </w:lvl>
  </w:abstractNum>
  <w:abstractNum w:abstractNumId="13">
    <w:nsid w:val="28E82CFA"/>
    <w:multiLevelType w:val="hybridMultilevel"/>
    <w:tmpl w:val="00000000"/>
    <w:lvl w:ilvl="0">
      <w:start w:val="1"/>
      <w:numFmt w:val="decimal"/>
      <w:lvlText w:val="%1."/>
      <w:lvlJc w:val="left"/>
      <w:pPr>
        <w:ind w:left="1159" w:hanging="364"/>
        <w:jc w:val="left"/>
      </w:pPr>
      <w:rPr>
        <w:rFonts w:ascii="仿宋" w:eastAsia="仿宋" w:hAnsi="仿宋" w:cs="仿宋" w:hint="default"/>
        <w:b/>
        <w:bCs/>
        <w:w w:val="99"/>
        <w:sz w:val="34"/>
        <w:szCs w:val="34"/>
      </w:rPr>
    </w:lvl>
    <w:lvl w:ilvl="1">
      <w:start w:val="0"/>
      <w:numFmt w:val="bullet"/>
      <w:lvlText w:val="•"/>
      <w:lvlJc w:val="left"/>
      <w:pPr>
        <w:ind w:left="1883" w:hanging="364"/>
      </w:pPr>
      <w:rPr>
        <w:rFonts w:hint="default"/>
      </w:rPr>
    </w:lvl>
    <w:lvl w:ilvl="2">
      <w:start w:val="0"/>
      <w:numFmt w:val="bullet"/>
      <w:lvlText w:val="•"/>
      <w:lvlJc w:val="left"/>
      <w:pPr>
        <w:ind w:left="2607" w:hanging="364"/>
      </w:pPr>
      <w:rPr>
        <w:rFonts w:hint="default"/>
      </w:rPr>
    </w:lvl>
    <w:lvl w:ilvl="3">
      <w:start w:val="0"/>
      <w:numFmt w:val="bullet"/>
      <w:lvlText w:val="•"/>
      <w:lvlJc w:val="left"/>
      <w:pPr>
        <w:ind w:left="3331" w:hanging="364"/>
      </w:pPr>
      <w:rPr>
        <w:rFonts w:hint="default"/>
      </w:rPr>
    </w:lvl>
    <w:lvl w:ilvl="4">
      <w:start w:val="0"/>
      <w:numFmt w:val="bullet"/>
      <w:lvlText w:val="•"/>
      <w:lvlJc w:val="left"/>
      <w:pPr>
        <w:ind w:left="4055" w:hanging="364"/>
      </w:pPr>
      <w:rPr>
        <w:rFonts w:hint="default"/>
      </w:rPr>
    </w:lvl>
    <w:lvl w:ilvl="5">
      <w:start w:val="0"/>
      <w:numFmt w:val="bullet"/>
      <w:lvlText w:val="•"/>
      <w:lvlJc w:val="left"/>
      <w:pPr>
        <w:ind w:left="4779" w:hanging="364"/>
      </w:pPr>
      <w:rPr>
        <w:rFonts w:hint="default"/>
      </w:rPr>
    </w:lvl>
    <w:lvl w:ilvl="6">
      <w:start w:val="0"/>
      <w:numFmt w:val="bullet"/>
      <w:lvlText w:val="•"/>
      <w:lvlJc w:val="left"/>
      <w:pPr>
        <w:ind w:left="5503" w:hanging="364"/>
      </w:pPr>
      <w:rPr>
        <w:rFonts w:hint="default"/>
      </w:rPr>
    </w:lvl>
    <w:lvl w:ilvl="7">
      <w:start w:val="0"/>
      <w:numFmt w:val="bullet"/>
      <w:lvlText w:val="•"/>
      <w:lvlJc w:val="left"/>
      <w:pPr>
        <w:ind w:left="6227" w:hanging="364"/>
      </w:pPr>
      <w:rPr>
        <w:rFonts w:hint="default"/>
      </w:rPr>
    </w:lvl>
    <w:lvl w:ilvl="8">
      <w:start w:val="0"/>
      <w:numFmt w:val="bullet"/>
      <w:lvlText w:val="•"/>
      <w:lvlJc w:val="left"/>
      <w:pPr>
        <w:ind w:left="6951" w:hanging="364"/>
      </w:pPr>
      <w:rPr>
        <w:rFonts w:hint="default"/>
      </w:rPr>
    </w:lvl>
  </w:abstractNum>
  <w:abstractNum w:abstractNumId="14">
    <w:nsid w:val="2B9EAE23"/>
    <w:multiLevelType w:val="hybridMultilevel"/>
    <w:tmpl w:val="00000000"/>
    <w:lvl w:ilvl="0">
      <w:start w:val="10"/>
      <w:numFmt w:val="decimal"/>
      <w:lvlText w:val="%1"/>
      <w:lvlJc w:val="left"/>
      <w:pPr>
        <w:ind w:left="709" w:hanging="710"/>
        <w:jc w:val="left"/>
      </w:pPr>
      <w:rPr>
        <w:rFonts w:ascii="宋体" w:eastAsia="宋体" w:hAnsi="宋体" w:cs="宋体" w:hint="default"/>
        <w:w w:val="100"/>
        <w:sz w:val="27"/>
        <w:szCs w:val="27"/>
      </w:rPr>
    </w:lvl>
    <w:lvl w:ilvl="1">
      <w:start w:val="0"/>
      <w:numFmt w:val="bullet"/>
      <w:lvlText w:val="•"/>
      <w:lvlJc w:val="left"/>
      <w:pPr>
        <w:ind w:left="1040" w:hanging="710"/>
      </w:pPr>
      <w:rPr>
        <w:rFonts w:hint="default"/>
      </w:rPr>
    </w:lvl>
    <w:lvl w:ilvl="2">
      <w:start w:val="0"/>
      <w:numFmt w:val="bullet"/>
      <w:lvlText w:val="•"/>
      <w:lvlJc w:val="left"/>
      <w:pPr>
        <w:ind w:left="1381" w:hanging="710"/>
      </w:pPr>
      <w:rPr>
        <w:rFonts w:hint="default"/>
      </w:rPr>
    </w:lvl>
    <w:lvl w:ilvl="3">
      <w:start w:val="0"/>
      <w:numFmt w:val="bullet"/>
      <w:lvlText w:val="•"/>
      <w:lvlJc w:val="left"/>
      <w:pPr>
        <w:ind w:left="1722" w:hanging="710"/>
      </w:pPr>
      <w:rPr>
        <w:rFonts w:hint="default"/>
      </w:rPr>
    </w:lvl>
    <w:lvl w:ilvl="4">
      <w:start w:val="0"/>
      <w:numFmt w:val="bullet"/>
      <w:lvlText w:val="•"/>
      <w:lvlJc w:val="left"/>
      <w:pPr>
        <w:ind w:left="2062" w:hanging="710"/>
      </w:pPr>
      <w:rPr>
        <w:rFonts w:hint="default"/>
      </w:rPr>
    </w:lvl>
    <w:lvl w:ilvl="5">
      <w:start w:val="0"/>
      <w:numFmt w:val="bullet"/>
      <w:lvlText w:val="•"/>
      <w:lvlJc w:val="left"/>
      <w:pPr>
        <w:ind w:left="2403" w:hanging="710"/>
      </w:pPr>
      <w:rPr>
        <w:rFonts w:hint="default"/>
      </w:rPr>
    </w:lvl>
    <w:lvl w:ilvl="6">
      <w:start w:val="0"/>
      <w:numFmt w:val="bullet"/>
      <w:lvlText w:val="•"/>
      <w:lvlJc w:val="left"/>
      <w:pPr>
        <w:ind w:left="2744" w:hanging="710"/>
      </w:pPr>
      <w:rPr>
        <w:rFonts w:hint="default"/>
      </w:rPr>
    </w:lvl>
    <w:lvl w:ilvl="7">
      <w:start w:val="0"/>
      <w:numFmt w:val="bullet"/>
      <w:lvlText w:val="•"/>
      <w:lvlJc w:val="left"/>
      <w:pPr>
        <w:ind w:left="3084" w:hanging="710"/>
      </w:pPr>
      <w:rPr>
        <w:rFonts w:hint="default"/>
      </w:rPr>
    </w:lvl>
    <w:lvl w:ilvl="8">
      <w:start w:val="0"/>
      <w:numFmt w:val="bullet"/>
      <w:lvlText w:val="•"/>
      <w:lvlJc w:val="left"/>
      <w:pPr>
        <w:ind w:left="3425" w:hanging="710"/>
      </w:pPr>
      <w:rPr>
        <w:rFonts w:hint="default"/>
      </w:rPr>
    </w:lvl>
  </w:abstractNum>
  <w:abstractNum w:abstractNumId="15">
    <w:nsid w:val="318931C6"/>
    <w:multiLevelType w:val="hybridMultilevel"/>
    <w:tmpl w:val="00000000"/>
    <w:lvl w:ilvl="0">
      <w:start w:val="1"/>
      <w:numFmt w:val="decimal"/>
      <w:lvlText w:val="%1."/>
      <w:lvlJc w:val="left"/>
      <w:pPr>
        <w:ind w:left="792" w:hanging="630"/>
        <w:jc w:val="left"/>
      </w:pPr>
      <w:rPr>
        <w:rFonts w:ascii="仿宋" w:eastAsia="仿宋" w:hAnsi="仿宋" w:cs="仿宋" w:hint="default"/>
        <w:b/>
        <w:bCs/>
        <w:w w:val="99"/>
        <w:sz w:val="36"/>
        <w:szCs w:val="36"/>
      </w:rPr>
    </w:lvl>
    <w:lvl w:ilvl="1">
      <w:start w:val="1"/>
      <w:numFmt w:val="decimal"/>
      <w:lvlText w:val="%1.%2"/>
      <w:lvlJc w:val="left"/>
      <w:pPr>
        <w:ind w:left="799" w:hanging="638"/>
        <w:jc w:val="left"/>
      </w:pPr>
      <w:rPr>
        <w:rFonts w:ascii="仿宋" w:eastAsia="仿宋" w:hAnsi="仿宋" w:cs="仿宋" w:hint="default"/>
        <w:b/>
        <w:bCs/>
        <w:w w:val="99"/>
        <w:sz w:val="36"/>
        <w:szCs w:val="36"/>
      </w:rPr>
    </w:lvl>
    <w:lvl w:ilvl="2">
      <w:start w:val="0"/>
      <w:numFmt w:val="bullet"/>
      <w:lvlText w:val="•"/>
      <w:lvlJc w:val="left"/>
      <w:pPr>
        <w:ind w:left="1095" w:hanging="638"/>
      </w:pPr>
      <w:rPr>
        <w:rFonts w:hint="default"/>
      </w:rPr>
    </w:lvl>
    <w:lvl w:ilvl="3">
      <w:start w:val="0"/>
      <w:numFmt w:val="bullet"/>
      <w:lvlText w:val="•"/>
      <w:lvlJc w:val="left"/>
      <w:pPr>
        <w:ind w:left="1243" w:hanging="638"/>
      </w:pPr>
      <w:rPr>
        <w:rFonts w:hint="default"/>
      </w:rPr>
    </w:lvl>
    <w:lvl w:ilvl="4">
      <w:start w:val="0"/>
      <w:numFmt w:val="bullet"/>
      <w:lvlText w:val="•"/>
      <w:lvlJc w:val="left"/>
      <w:pPr>
        <w:ind w:left="1391" w:hanging="638"/>
      </w:pPr>
      <w:rPr>
        <w:rFonts w:hint="default"/>
      </w:rPr>
    </w:lvl>
    <w:lvl w:ilvl="5">
      <w:start w:val="0"/>
      <w:numFmt w:val="bullet"/>
      <w:lvlText w:val="•"/>
      <w:lvlJc w:val="left"/>
      <w:pPr>
        <w:ind w:left="1539" w:hanging="638"/>
      </w:pPr>
      <w:rPr>
        <w:rFonts w:hint="default"/>
      </w:rPr>
    </w:lvl>
    <w:lvl w:ilvl="6">
      <w:start w:val="0"/>
      <w:numFmt w:val="bullet"/>
      <w:lvlText w:val="•"/>
      <w:lvlJc w:val="left"/>
      <w:pPr>
        <w:ind w:left="1687" w:hanging="638"/>
      </w:pPr>
      <w:rPr>
        <w:rFonts w:hint="default"/>
      </w:rPr>
    </w:lvl>
    <w:lvl w:ilvl="7">
      <w:start w:val="0"/>
      <w:numFmt w:val="bullet"/>
      <w:lvlText w:val="•"/>
      <w:lvlJc w:val="left"/>
      <w:pPr>
        <w:ind w:left="1835" w:hanging="638"/>
      </w:pPr>
      <w:rPr>
        <w:rFonts w:hint="default"/>
      </w:rPr>
    </w:lvl>
    <w:lvl w:ilvl="8">
      <w:start w:val="0"/>
      <w:numFmt w:val="bullet"/>
      <w:lvlText w:val="•"/>
      <w:lvlJc w:val="left"/>
      <w:pPr>
        <w:ind w:left="1983" w:hanging="638"/>
      </w:pPr>
      <w:rPr>
        <w:rFonts w:hint="default"/>
      </w:rPr>
    </w:lvl>
  </w:abstractNum>
  <w:abstractNum w:abstractNumId="16">
    <w:nsid w:val="486AFEAB"/>
    <w:multiLevelType w:val="hybridMultilevel"/>
    <w:tmpl w:val="00000000"/>
    <w:lvl w:ilvl="0">
      <w:start w:val="1"/>
      <w:numFmt w:val="decimal"/>
      <w:lvlText w:val="%1."/>
      <w:lvlJc w:val="left"/>
      <w:pPr>
        <w:ind w:left="525" w:hanging="364"/>
        <w:jc w:val="left"/>
      </w:pPr>
      <w:rPr>
        <w:rFonts w:ascii="仿宋" w:eastAsia="仿宋" w:hAnsi="仿宋" w:cs="仿宋" w:hint="default"/>
        <w:b/>
        <w:bCs/>
        <w:w w:val="99"/>
        <w:sz w:val="34"/>
        <w:szCs w:val="34"/>
      </w:rPr>
    </w:lvl>
    <w:lvl w:ilvl="1">
      <w:start w:val="0"/>
      <w:numFmt w:val="bullet"/>
      <w:lvlText w:val="•"/>
      <w:lvlJc w:val="left"/>
      <w:pPr>
        <w:ind w:left="1747" w:hanging="364"/>
      </w:pPr>
      <w:rPr>
        <w:rFonts w:hint="default"/>
      </w:rPr>
    </w:lvl>
    <w:lvl w:ilvl="2">
      <w:start w:val="0"/>
      <w:numFmt w:val="bullet"/>
      <w:lvlText w:val="•"/>
      <w:lvlJc w:val="left"/>
      <w:pPr>
        <w:ind w:left="2975" w:hanging="364"/>
      </w:pPr>
      <w:rPr>
        <w:rFonts w:hint="default"/>
      </w:rPr>
    </w:lvl>
    <w:lvl w:ilvl="3">
      <w:start w:val="0"/>
      <w:numFmt w:val="bullet"/>
      <w:lvlText w:val="•"/>
      <w:lvlJc w:val="left"/>
      <w:pPr>
        <w:ind w:left="4203" w:hanging="364"/>
      </w:pPr>
      <w:rPr>
        <w:rFonts w:hint="default"/>
      </w:rPr>
    </w:lvl>
    <w:lvl w:ilvl="4">
      <w:start w:val="0"/>
      <w:numFmt w:val="bullet"/>
      <w:lvlText w:val="•"/>
      <w:lvlJc w:val="left"/>
      <w:pPr>
        <w:ind w:left="5431" w:hanging="364"/>
      </w:pPr>
      <w:rPr>
        <w:rFonts w:hint="default"/>
      </w:rPr>
    </w:lvl>
    <w:lvl w:ilvl="5">
      <w:start w:val="0"/>
      <w:numFmt w:val="bullet"/>
      <w:lvlText w:val="•"/>
      <w:lvlJc w:val="left"/>
      <w:pPr>
        <w:ind w:left="6658" w:hanging="364"/>
      </w:pPr>
      <w:rPr>
        <w:rFonts w:hint="default"/>
      </w:rPr>
    </w:lvl>
    <w:lvl w:ilvl="6">
      <w:start w:val="0"/>
      <w:numFmt w:val="bullet"/>
      <w:lvlText w:val="•"/>
      <w:lvlJc w:val="left"/>
      <w:pPr>
        <w:ind w:left="7886" w:hanging="364"/>
      </w:pPr>
      <w:rPr>
        <w:rFonts w:hint="default"/>
      </w:rPr>
    </w:lvl>
    <w:lvl w:ilvl="7">
      <w:start w:val="0"/>
      <w:numFmt w:val="bullet"/>
      <w:lvlText w:val="•"/>
      <w:lvlJc w:val="left"/>
      <w:pPr>
        <w:ind w:left="9114" w:hanging="364"/>
      </w:pPr>
      <w:rPr>
        <w:rFonts w:hint="default"/>
      </w:rPr>
    </w:lvl>
    <w:lvl w:ilvl="8">
      <w:start w:val="0"/>
      <w:numFmt w:val="bullet"/>
      <w:lvlText w:val="•"/>
      <w:lvlJc w:val="left"/>
      <w:pPr>
        <w:ind w:left="10342" w:hanging="364"/>
      </w:pPr>
      <w:rPr>
        <w:rFonts w:hint="default"/>
      </w:rPr>
    </w:lvl>
  </w:abstractNum>
  <w:abstractNum w:abstractNumId="17">
    <w:nsid w:val="4CC19655"/>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0"/>
      <w:numFmt w:val="bullet"/>
      <w:lvlText w:val="•"/>
      <w:lvlJc w:val="left"/>
      <w:pPr>
        <w:ind w:left="289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613" w:hanging="473"/>
      </w:pPr>
      <w:rPr>
        <w:rFonts w:hint="default"/>
      </w:rPr>
    </w:lvl>
    <w:lvl w:ilvl="4">
      <w:start w:val="0"/>
      <w:numFmt w:val="bullet"/>
      <w:lvlText w:val="•"/>
      <w:lvlJc w:val="left"/>
      <w:pPr>
        <w:ind w:left="6971" w:hanging="473"/>
      </w:pPr>
      <w:rPr>
        <w:rFonts w:hint="default"/>
      </w:rPr>
    </w:lvl>
    <w:lvl w:ilvl="5">
      <w:start w:val="0"/>
      <w:numFmt w:val="bullet"/>
      <w:lvlText w:val="•"/>
      <w:lvlJc w:val="left"/>
      <w:pPr>
        <w:ind w:left="8329" w:hanging="473"/>
      </w:pPr>
      <w:rPr>
        <w:rFonts w:hint="default"/>
      </w:rPr>
    </w:lvl>
    <w:lvl w:ilvl="6">
      <w:start w:val="0"/>
      <w:numFmt w:val="bullet"/>
      <w:lvlText w:val="•"/>
      <w:lvlJc w:val="left"/>
      <w:pPr>
        <w:ind w:left="9687" w:hanging="473"/>
      </w:pPr>
      <w:rPr>
        <w:rFonts w:hint="default"/>
      </w:rPr>
    </w:lvl>
    <w:lvl w:ilvl="7">
      <w:start w:val="0"/>
      <w:numFmt w:val="bullet"/>
      <w:lvlText w:val="•"/>
      <w:lvlJc w:val="left"/>
      <w:pPr>
        <w:ind w:left="11045" w:hanging="473"/>
      </w:pPr>
      <w:rPr>
        <w:rFonts w:hint="default"/>
      </w:rPr>
    </w:lvl>
    <w:lvl w:ilvl="8">
      <w:start w:val="0"/>
      <w:numFmt w:val="bullet"/>
      <w:lvlText w:val="•"/>
      <w:lvlJc w:val="left"/>
      <w:pPr>
        <w:ind w:left="12403" w:hanging="473"/>
      </w:pPr>
      <w:rPr>
        <w:rFonts w:hint="default"/>
      </w:rPr>
    </w:lvl>
  </w:abstractNum>
  <w:abstractNum w:abstractNumId="18">
    <w:nsid w:val="544F7F0B"/>
    <w:multiLevelType w:val="hybridMultilevel"/>
    <w:tmpl w:val="00000000"/>
    <w:lvl w:ilvl="0">
      <w:start w:val="13"/>
      <w:numFmt w:val="decimal"/>
      <w:lvlText w:val="%1"/>
      <w:lvlJc w:val="left"/>
      <w:pPr>
        <w:ind w:left="1882" w:hanging="1087"/>
        <w:jc w:val="left"/>
      </w:pPr>
      <w:rPr>
        <w:rFonts w:hint="default"/>
      </w:rPr>
    </w:lvl>
    <w:lvl w:ilvl="1">
      <w:start w:val="1"/>
      <w:numFmt w:val="decimal"/>
      <w:lvlText w:val="%1.%2"/>
      <w:lvlJc w:val="left"/>
      <w:pPr>
        <w:ind w:left="1882" w:hanging="1087"/>
        <w:jc w:val="left"/>
      </w:pPr>
      <w:rPr>
        <w:rFonts w:ascii="仿宋" w:eastAsia="仿宋" w:hAnsi="仿宋" w:cs="仿宋" w:hint="default"/>
        <w:b/>
        <w:bCs/>
        <w:w w:val="99"/>
        <w:sz w:val="36"/>
        <w:szCs w:val="36"/>
      </w:rPr>
    </w:lvl>
    <w:lvl w:ilvl="2">
      <w:start w:val="1"/>
      <w:numFmt w:val="decimal"/>
      <w:lvlText w:val="%1.%2.%3"/>
      <w:lvlJc w:val="left"/>
      <w:pPr>
        <w:ind w:left="2246" w:hanging="1451"/>
        <w:jc w:val="left"/>
      </w:pPr>
      <w:rPr>
        <w:rFonts w:ascii="仿宋" w:eastAsia="仿宋" w:hAnsi="仿宋" w:cs="仿宋" w:hint="default"/>
        <w:b/>
        <w:bCs/>
        <w:w w:val="99"/>
        <w:sz w:val="36"/>
        <w:szCs w:val="36"/>
      </w:rPr>
    </w:lvl>
    <w:lvl w:ilvl="3">
      <w:start w:val="0"/>
      <w:numFmt w:val="bullet"/>
      <w:lvlText w:val="•"/>
      <w:lvlJc w:val="left"/>
      <w:pPr>
        <w:ind w:left="3608" w:hanging="1451"/>
      </w:pPr>
      <w:rPr>
        <w:rFonts w:hint="default"/>
      </w:rPr>
    </w:lvl>
    <w:lvl w:ilvl="4">
      <w:start w:val="0"/>
      <w:numFmt w:val="bullet"/>
      <w:lvlText w:val="•"/>
      <w:lvlJc w:val="left"/>
      <w:pPr>
        <w:ind w:left="4293" w:hanging="1451"/>
      </w:pPr>
      <w:rPr>
        <w:rFonts w:hint="default"/>
      </w:rPr>
    </w:lvl>
    <w:lvl w:ilvl="5">
      <w:start w:val="0"/>
      <w:numFmt w:val="bullet"/>
      <w:lvlText w:val="•"/>
      <w:lvlJc w:val="left"/>
      <w:pPr>
        <w:ind w:left="4977" w:hanging="1451"/>
      </w:pPr>
      <w:rPr>
        <w:rFonts w:hint="default"/>
      </w:rPr>
    </w:lvl>
    <w:lvl w:ilvl="6">
      <w:start w:val="0"/>
      <w:numFmt w:val="bullet"/>
      <w:lvlText w:val="•"/>
      <w:lvlJc w:val="left"/>
      <w:pPr>
        <w:ind w:left="5661" w:hanging="1451"/>
      </w:pPr>
      <w:rPr>
        <w:rFonts w:hint="default"/>
      </w:rPr>
    </w:lvl>
    <w:lvl w:ilvl="7">
      <w:start w:val="0"/>
      <w:numFmt w:val="bullet"/>
      <w:lvlText w:val="•"/>
      <w:lvlJc w:val="left"/>
      <w:pPr>
        <w:ind w:left="6346" w:hanging="1451"/>
      </w:pPr>
      <w:rPr>
        <w:rFonts w:hint="default"/>
      </w:rPr>
    </w:lvl>
    <w:lvl w:ilvl="8">
      <w:start w:val="0"/>
      <w:numFmt w:val="bullet"/>
      <w:lvlText w:val="•"/>
      <w:lvlJc w:val="left"/>
      <w:pPr>
        <w:ind w:left="7030" w:hanging="1451"/>
      </w:pPr>
      <w:rPr>
        <w:rFonts w:hint="default"/>
      </w:rPr>
    </w:lvl>
  </w:abstractNum>
  <w:abstractNum w:abstractNumId="19">
    <w:nsid w:val="55DCFA53"/>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1"/>
      <w:numFmt w:val="decimal"/>
      <w:lvlText w:val="%2."/>
      <w:lvlJc w:val="left"/>
      <w:pPr>
        <w:ind w:left="1696" w:hanging="477"/>
        <w:jc w:val="left"/>
      </w:pPr>
      <w:rPr>
        <w:rFonts w:ascii="宋体" w:eastAsia="宋体" w:hAnsi="宋体" w:cs="宋体" w:hint="default"/>
        <w:w w:val="102"/>
        <w:sz w:val="29"/>
        <w:szCs w:val="29"/>
      </w:rPr>
    </w:lvl>
    <w:lvl w:ilvl="2">
      <w:start w:val="0"/>
      <w:numFmt w:val="bullet"/>
      <w:lvlText w:val="•"/>
      <w:lvlJc w:val="left"/>
      <w:pPr>
        <w:ind w:left="3191" w:hanging="477"/>
      </w:pPr>
      <w:rPr>
        <w:rFonts w:hint="default"/>
      </w:rPr>
    </w:lvl>
    <w:lvl w:ilvl="3">
      <w:start w:val="0"/>
      <w:numFmt w:val="bullet"/>
      <w:lvlText w:val="•"/>
      <w:lvlJc w:val="left"/>
      <w:pPr>
        <w:ind w:left="4682" w:hanging="477"/>
      </w:pPr>
      <w:rPr>
        <w:rFonts w:hint="default"/>
      </w:rPr>
    </w:lvl>
    <w:lvl w:ilvl="4">
      <w:start w:val="0"/>
      <w:numFmt w:val="bullet"/>
      <w:lvlText w:val="•"/>
      <w:lvlJc w:val="left"/>
      <w:pPr>
        <w:ind w:left="6173" w:hanging="477"/>
      </w:pPr>
      <w:rPr>
        <w:rFonts w:hint="default"/>
      </w:rPr>
    </w:lvl>
    <w:lvl w:ilvl="5">
      <w:start w:val="0"/>
      <w:numFmt w:val="bullet"/>
      <w:lvlText w:val="•"/>
      <w:lvlJc w:val="left"/>
      <w:pPr>
        <w:ind w:left="7664" w:hanging="477"/>
      </w:pPr>
      <w:rPr>
        <w:rFonts w:hint="default"/>
      </w:rPr>
    </w:lvl>
    <w:lvl w:ilvl="6">
      <w:start w:val="0"/>
      <w:numFmt w:val="bullet"/>
      <w:lvlText w:val="•"/>
      <w:lvlJc w:val="left"/>
      <w:pPr>
        <w:ind w:left="9155" w:hanging="477"/>
      </w:pPr>
      <w:rPr>
        <w:rFonts w:hint="default"/>
      </w:rPr>
    </w:lvl>
    <w:lvl w:ilvl="7">
      <w:start w:val="0"/>
      <w:numFmt w:val="bullet"/>
      <w:lvlText w:val="•"/>
      <w:lvlJc w:val="left"/>
      <w:pPr>
        <w:ind w:left="10646" w:hanging="477"/>
      </w:pPr>
      <w:rPr>
        <w:rFonts w:hint="default"/>
      </w:rPr>
    </w:lvl>
    <w:lvl w:ilvl="8">
      <w:start w:val="0"/>
      <w:numFmt w:val="bullet"/>
      <w:lvlText w:val="•"/>
      <w:lvlJc w:val="left"/>
      <w:pPr>
        <w:ind w:left="12137" w:hanging="477"/>
      </w:pPr>
      <w:rPr>
        <w:rFonts w:hint="default"/>
      </w:rPr>
    </w:lvl>
  </w:abstractNum>
  <w:abstractNum w:abstractNumId="20">
    <w:nsid w:val="57B46F57"/>
    <w:multiLevelType w:val="hybridMultilevel"/>
    <w:tmpl w:val="00000000"/>
    <w:lvl w:ilvl="0">
      <w:start w:val="1"/>
      <w:numFmt w:val="decimal"/>
      <w:lvlText w:val="%1."/>
      <w:lvlJc w:val="left"/>
      <w:pPr>
        <w:ind w:left="525" w:hanging="364"/>
        <w:jc w:val="left"/>
      </w:pPr>
      <w:rPr>
        <w:rFonts w:ascii="仿宋" w:eastAsia="仿宋" w:hAnsi="仿宋" w:cs="仿宋" w:hint="default"/>
        <w:b/>
        <w:bCs/>
        <w:w w:val="99"/>
        <w:sz w:val="34"/>
        <w:szCs w:val="34"/>
      </w:rPr>
    </w:lvl>
    <w:lvl w:ilvl="1">
      <w:start w:val="0"/>
      <w:numFmt w:val="bullet"/>
      <w:lvlText w:val="•"/>
      <w:lvlJc w:val="left"/>
      <w:pPr>
        <w:ind w:left="1651" w:hanging="364"/>
      </w:pPr>
      <w:rPr>
        <w:rFonts w:hint="default"/>
      </w:rPr>
    </w:lvl>
    <w:lvl w:ilvl="2">
      <w:start w:val="0"/>
      <w:numFmt w:val="bullet"/>
      <w:lvlText w:val="•"/>
      <w:lvlJc w:val="left"/>
      <w:pPr>
        <w:ind w:left="2782" w:hanging="364"/>
      </w:pPr>
      <w:rPr>
        <w:rFonts w:hint="default"/>
      </w:rPr>
    </w:lvl>
    <w:lvl w:ilvl="3">
      <w:start w:val="0"/>
      <w:numFmt w:val="bullet"/>
      <w:lvlText w:val="•"/>
      <w:lvlJc w:val="left"/>
      <w:pPr>
        <w:ind w:left="3914" w:hanging="364"/>
      </w:pPr>
      <w:rPr>
        <w:rFonts w:hint="default"/>
      </w:rPr>
    </w:lvl>
    <w:lvl w:ilvl="4">
      <w:start w:val="0"/>
      <w:numFmt w:val="bullet"/>
      <w:lvlText w:val="•"/>
      <w:lvlJc w:val="left"/>
      <w:pPr>
        <w:ind w:left="5045" w:hanging="364"/>
      </w:pPr>
      <w:rPr>
        <w:rFonts w:hint="default"/>
      </w:rPr>
    </w:lvl>
    <w:lvl w:ilvl="5">
      <w:start w:val="0"/>
      <w:numFmt w:val="bullet"/>
      <w:lvlText w:val="•"/>
      <w:lvlJc w:val="left"/>
      <w:pPr>
        <w:ind w:left="6176" w:hanging="364"/>
      </w:pPr>
      <w:rPr>
        <w:rFonts w:hint="default"/>
      </w:rPr>
    </w:lvl>
    <w:lvl w:ilvl="6">
      <w:start w:val="0"/>
      <w:numFmt w:val="bullet"/>
      <w:lvlText w:val="•"/>
      <w:lvlJc w:val="left"/>
      <w:pPr>
        <w:ind w:left="7308" w:hanging="364"/>
      </w:pPr>
      <w:rPr>
        <w:rFonts w:hint="default"/>
      </w:rPr>
    </w:lvl>
    <w:lvl w:ilvl="7">
      <w:start w:val="0"/>
      <w:numFmt w:val="bullet"/>
      <w:lvlText w:val="•"/>
      <w:lvlJc w:val="left"/>
      <w:pPr>
        <w:ind w:left="8439" w:hanging="364"/>
      </w:pPr>
      <w:rPr>
        <w:rFonts w:hint="default"/>
      </w:rPr>
    </w:lvl>
    <w:lvl w:ilvl="8">
      <w:start w:val="0"/>
      <w:numFmt w:val="bullet"/>
      <w:lvlText w:val="•"/>
      <w:lvlJc w:val="left"/>
      <w:pPr>
        <w:ind w:left="9570" w:hanging="364"/>
      </w:pPr>
      <w:rPr>
        <w:rFonts w:hint="default"/>
      </w:rPr>
    </w:lvl>
  </w:abstractNum>
  <w:abstractNum w:abstractNumId="21">
    <w:nsid w:val="6019F081"/>
    <w:multiLevelType w:val="hybridMultilevel"/>
    <w:tmpl w:val="00000000"/>
    <w:lvl w:ilvl="0">
      <w:start w:val="1"/>
      <w:numFmt w:val="decimal"/>
      <w:lvlText w:val="%1."/>
      <w:lvlJc w:val="left"/>
      <w:pPr>
        <w:ind w:left="1538" w:hanging="473"/>
        <w:jc w:val="left"/>
      </w:pPr>
      <w:rPr>
        <w:rFonts w:ascii="宋体" w:eastAsia="宋体" w:hAnsi="宋体" w:cs="宋体" w:hint="default"/>
        <w:spacing w:val="-4"/>
        <w:w w:val="102"/>
        <w:sz w:val="29"/>
        <w:szCs w:val="29"/>
      </w:rPr>
    </w:lvl>
    <w:lvl w:ilvl="1">
      <w:start w:val="0"/>
      <w:numFmt w:val="bullet"/>
      <w:lvlText w:val="•"/>
      <w:lvlJc w:val="left"/>
      <w:pPr>
        <w:ind w:left="2897" w:hanging="473"/>
      </w:pPr>
      <w:rPr>
        <w:rFonts w:hint="default"/>
      </w:rPr>
    </w:lvl>
    <w:lvl w:ilvl="2">
      <w:start w:val="0"/>
      <w:numFmt w:val="bullet"/>
      <w:lvlText w:val="•"/>
      <w:lvlJc w:val="left"/>
      <w:pPr>
        <w:ind w:left="4255" w:hanging="473"/>
      </w:pPr>
      <w:rPr>
        <w:rFonts w:hint="default"/>
      </w:rPr>
    </w:lvl>
    <w:lvl w:ilvl="3">
      <w:start w:val="0"/>
      <w:numFmt w:val="bullet"/>
      <w:lvlText w:val="•"/>
      <w:lvlJc w:val="left"/>
      <w:pPr>
        <w:ind w:left="5613" w:hanging="473"/>
      </w:pPr>
      <w:rPr>
        <w:rFonts w:hint="default"/>
      </w:rPr>
    </w:lvl>
    <w:lvl w:ilvl="4">
      <w:start w:val="0"/>
      <w:numFmt w:val="bullet"/>
      <w:lvlText w:val="•"/>
      <w:lvlJc w:val="left"/>
      <w:pPr>
        <w:ind w:left="6971" w:hanging="473"/>
      </w:pPr>
      <w:rPr>
        <w:rFonts w:hint="default"/>
      </w:rPr>
    </w:lvl>
    <w:lvl w:ilvl="5">
      <w:start w:val="0"/>
      <w:numFmt w:val="bullet"/>
      <w:lvlText w:val="•"/>
      <w:lvlJc w:val="left"/>
      <w:pPr>
        <w:ind w:left="8329" w:hanging="473"/>
      </w:pPr>
      <w:rPr>
        <w:rFonts w:hint="default"/>
      </w:rPr>
    </w:lvl>
    <w:lvl w:ilvl="6">
      <w:start w:val="0"/>
      <w:numFmt w:val="bullet"/>
      <w:lvlText w:val="•"/>
      <w:lvlJc w:val="left"/>
      <w:pPr>
        <w:ind w:left="9687" w:hanging="473"/>
      </w:pPr>
      <w:rPr>
        <w:rFonts w:hint="default"/>
      </w:rPr>
    </w:lvl>
    <w:lvl w:ilvl="7">
      <w:start w:val="0"/>
      <w:numFmt w:val="bullet"/>
      <w:lvlText w:val="•"/>
      <w:lvlJc w:val="left"/>
      <w:pPr>
        <w:ind w:left="11045" w:hanging="473"/>
      </w:pPr>
      <w:rPr>
        <w:rFonts w:hint="default"/>
      </w:rPr>
    </w:lvl>
    <w:lvl w:ilvl="8">
      <w:start w:val="0"/>
      <w:numFmt w:val="bullet"/>
      <w:lvlText w:val="•"/>
      <w:lvlJc w:val="left"/>
      <w:pPr>
        <w:ind w:left="12403" w:hanging="473"/>
      </w:pPr>
      <w:rPr>
        <w:rFonts w:hint="default"/>
      </w:rPr>
    </w:lvl>
  </w:abstractNum>
  <w:abstractNum w:abstractNumId="22">
    <w:nsid w:val="66F6D9C5"/>
    <w:multiLevelType w:val="hybridMultilevel"/>
    <w:tmpl w:val="00000000"/>
    <w:lvl w:ilvl="0">
      <w:start w:val="8"/>
      <w:numFmt w:val="decimal"/>
      <w:lvlText w:val="%1"/>
      <w:lvlJc w:val="left"/>
      <w:pPr>
        <w:ind w:left="1069" w:hanging="908"/>
        <w:jc w:val="left"/>
      </w:pPr>
      <w:rPr>
        <w:rFonts w:hint="default"/>
      </w:rPr>
    </w:lvl>
    <w:lvl w:ilvl="1">
      <w:start w:val="1"/>
      <w:numFmt w:val="decimal"/>
      <w:lvlText w:val="%1.%2"/>
      <w:lvlJc w:val="left"/>
      <w:pPr>
        <w:ind w:left="1069" w:hanging="908"/>
        <w:jc w:val="left"/>
      </w:pPr>
      <w:rPr>
        <w:rFonts w:ascii="仿宋" w:eastAsia="仿宋" w:hAnsi="仿宋" w:cs="仿宋" w:hint="default"/>
        <w:b/>
        <w:bCs/>
        <w:w w:val="99"/>
        <w:sz w:val="36"/>
        <w:szCs w:val="36"/>
      </w:rPr>
    </w:lvl>
    <w:lvl w:ilvl="2">
      <w:start w:val="1"/>
      <w:numFmt w:val="decimal"/>
      <w:lvlText w:val="%1.%2.%3"/>
      <w:lvlJc w:val="left"/>
      <w:pPr>
        <w:ind w:left="1432" w:hanging="1271"/>
        <w:jc w:val="left"/>
      </w:pPr>
      <w:rPr>
        <w:rFonts w:ascii="仿宋" w:eastAsia="仿宋" w:hAnsi="仿宋" w:cs="仿宋" w:hint="default"/>
        <w:b/>
        <w:bCs/>
        <w:w w:val="99"/>
        <w:sz w:val="36"/>
        <w:szCs w:val="36"/>
      </w:rPr>
    </w:lvl>
    <w:lvl w:ilvl="3">
      <w:start w:val="0"/>
      <w:numFmt w:val="bullet"/>
      <w:lvlText w:val="•"/>
      <w:lvlJc w:val="left"/>
      <w:pPr>
        <w:ind w:left="3207" w:hanging="1271"/>
      </w:pPr>
      <w:rPr>
        <w:rFonts w:hint="default"/>
      </w:rPr>
    </w:lvl>
    <w:lvl w:ilvl="4">
      <w:start w:val="0"/>
      <w:numFmt w:val="bullet"/>
      <w:lvlText w:val="•"/>
      <w:lvlJc w:val="left"/>
      <w:pPr>
        <w:ind w:left="4090" w:hanging="1271"/>
      </w:pPr>
      <w:rPr>
        <w:rFonts w:hint="default"/>
      </w:rPr>
    </w:lvl>
    <w:lvl w:ilvl="5">
      <w:start w:val="0"/>
      <w:numFmt w:val="bullet"/>
      <w:lvlText w:val="•"/>
      <w:lvlJc w:val="left"/>
      <w:pPr>
        <w:ind w:left="4974" w:hanging="1271"/>
      </w:pPr>
      <w:rPr>
        <w:rFonts w:hint="default"/>
      </w:rPr>
    </w:lvl>
    <w:lvl w:ilvl="6">
      <w:start w:val="0"/>
      <w:numFmt w:val="bullet"/>
      <w:lvlText w:val="•"/>
      <w:lvlJc w:val="left"/>
      <w:pPr>
        <w:ind w:left="5858" w:hanging="1271"/>
      </w:pPr>
      <w:rPr>
        <w:rFonts w:hint="default"/>
      </w:rPr>
    </w:lvl>
    <w:lvl w:ilvl="7">
      <w:start w:val="0"/>
      <w:numFmt w:val="bullet"/>
      <w:lvlText w:val="•"/>
      <w:lvlJc w:val="left"/>
      <w:pPr>
        <w:ind w:left="6741" w:hanging="1271"/>
      </w:pPr>
      <w:rPr>
        <w:rFonts w:hint="default"/>
      </w:rPr>
    </w:lvl>
    <w:lvl w:ilvl="8">
      <w:start w:val="0"/>
      <w:numFmt w:val="bullet"/>
      <w:lvlText w:val="•"/>
      <w:lvlJc w:val="left"/>
      <w:pPr>
        <w:ind w:left="7625" w:hanging="1271"/>
      </w:pPr>
      <w:rPr>
        <w:rFonts w:hint="default"/>
      </w:rPr>
    </w:lvl>
  </w:abstractNum>
  <w:abstractNum w:abstractNumId="23">
    <w:nsid w:val="71A774F9"/>
    <w:multiLevelType w:val="hybridMultilevel"/>
    <w:tmpl w:val="00000000"/>
    <w:lvl w:ilvl="0">
      <w:start w:val="1"/>
      <w:numFmt w:val="decimal"/>
      <w:lvlText w:val="%1."/>
      <w:lvlJc w:val="left"/>
      <w:pPr>
        <w:ind w:left="525" w:hanging="364"/>
        <w:jc w:val="left"/>
      </w:pPr>
      <w:rPr>
        <w:rFonts w:ascii="仿宋" w:eastAsia="仿宋" w:hAnsi="仿宋" w:cs="仿宋" w:hint="default"/>
        <w:b/>
        <w:bCs/>
        <w:w w:val="99"/>
        <w:sz w:val="34"/>
        <w:szCs w:val="34"/>
      </w:rPr>
    </w:lvl>
    <w:lvl w:ilvl="1">
      <w:start w:val="1"/>
      <w:numFmt w:val="decimal"/>
      <w:lvlText w:val="%2."/>
      <w:lvlJc w:val="left"/>
      <w:pPr>
        <w:ind w:left="2847" w:hanging="364"/>
        <w:jc w:val="left"/>
      </w:pPr>
      <w:rPr>
        <w:rFonts w:ascii="仿宋" w:eastAsia="仿宋" w:hAnsi="仿宋" w:cs="仿宋" w:hint="default"/>
        <w:b/>
        <w:bCs/>
        <w:w w:val="99"/>
        <w:sz w:val="34"/>
        <w:szCs w:val="34"/>
      </w:rPr>
    </w:lvl>
    <w:lvl w:ilvl="2">
      <w:start w:val="0"/>
      <w:numFmt w:val="bullet"/>
      <w:lvlText w:val="•"/>
      <w:lvlJc w:val="left"/>
      <w:pPr>
        <w:ind w:left="3747" w:hanging="364"/>
      </w:pPr>
      <w:rPr>
        <w:rFonts w:hint="default"/>
      </w:rPr>
    </w:lvl>
    <w:lvl w:ilvl="3">
      <w:start w:val="0"/>
      <w:numFmt w:val="bullet"/>
      <w:lvlText w:val="•"/>
      <w:lvlJc w:val="left"/>
      <w:pPr>
        <w:ind w:left="4654" w:hanging="364"/>
      </w:pPr>
      <w:rPr>
        <w:rFonts w:hint="default"/>
      </w:rPr>
    </w:lvl>
    <w:lvl w:ilvl="4">
      <w:start w:val="0"/>
      <w:numFmt w:val="bullet"/>
      <w:lvlText w:val="•"/>
      <w:lvlJc w:val="left"/>
      <w:pPr>
        <w:ind w:left="5561" w:hanging="364"/>
      </w:pPr>
      <w:rPr>
        <w:rFonts w:hint="default"/>
      </w:rPr>
    </w:lvl>
    <w:lvl w:ilvl="5">
      <w:start w:val="0"/>
      <w:numFmt w:val="bullet"/>
      <w:lvlText w:val="•"/>
      <w:lvlJc w:val="left"/>
      <w:pPr>
        <w:ind w:left="6469" w:hanging="364"/>
      </w:pPr>
      <w:rPr>
        <w:rFonts w:hint="default"/>
      </w:rPr>
    </w:lvl>
    <w:lvl w:ilvl="6">
      <w:start w:val="0"/>
      <w:numFmt w:val="bullet"/>
      <w:lvlText w:val="•"/>
      <w:lvlJc w:val="left"/>
      <w:pPr>
        <w:ind w:left="7376" w:hanging="364"/>
      </w:pPr>
      <w:rPr>
        <w:rFonts w:hint="default"/>
      </w:rPr>
    </w:lvl>
    <w:lvl w:ilvl="7">
      <w:start w:val="0"/>
      <w:numFmt w:val="bullet"/>
      <w:lvlText w:val="•"/>
      <w:lvlJc w:val="left"/>
      <w:pPr>
        <w:ind w:left="8283" w:hanging="364"/>
      </w:pPr>
      <w:rPr>
        <w:rFonts w:hint="default"/>
      </w:rPr>
    </w:lvl>
    <w:lvl w:ilvl="8">
      <w:start w:val="0"/>
      <w:numFmt w:val="bullet"/>
      <w:lvlText w:val="•"/>
      <w:lvlJc w:val="left"/>
      <w:pPr>
        <w:ind w:left="9191" w:hanging="364"/>
      </w:pPr>
      <w:rPr>
        <w:rFonts w:hint="default"/>
      </w:rPr>
    </w:lvl>
  </w:abstractNum>
  <w:abstractNum w:abstractNumId="24">
    <w:nsid w:val="73C58BD3"/>
    <w:multiLevelType w:val="hybridMultilevel"/>
    <w:tmpl w:val="00000000"/>
    <w:lvl w:ilvl="0">
      <w:start w:val="8"/>
      <w:numFmt w:val="decimal"/>
      <w:lvlText w:val="%1"/>
      <w:lvlJc w:val="left"/>
      <w:pPr>
        <w:ind w:left="1069" w:hanging="908"/>
        <w:jc w:val="left"/>
      </w:pPr>
      <w:rPr>
        <w:rFonts w:hint="default"/>
      </w:rPr>
    </w:lvl>
    <w:lvl w:ilvl="1">
      <w:start w:val="1"/>
      <w:numFmt w:val="decimal"/>
      <w:lvlText w:val="%1.%2"/>
      <w:lvlJc w:val="left"/>
      <w:pPr>
        <w:ind w:left="1069" w:hanging="908"/>
        <w:jc w:val="left"/>
      </w:pPr>
      <w:rPr>
        <w:rFonts w:ascii="仿宋" w:eastAsia="仿宋" w:hAnsi="仿宋" w:cs="仿宋" w:hint="default"/>
        <w:b/>
        <w:bCs/>
        <w:w w:val="99"/>
        <w:sz w:val="36"/>
        <w:szCs w:val="36"/>
      </w:rPr>
    </w:lvl>
    <w:lvl w:ilvl="2">
      <w:start w:val="1"/>
      <w:numFmt w:val="decimal"/>
      <w:lvlText w:val="%1.%2.%3"/>
      <w:lvlJc w:val="left"/>
      <w:pPr>
        <w:ind w:left="1432" w:hanging="1271"/>
        <w:jc w:val="left"/>
      </w:pPr>
      <w:rPr>
        <w:rFonts w:ascii="仿宋" w:eastAsia="仿宋" w:hAnsi="仿宋" w:cs="仿宋" w:hint="default"/>
        <w:b/>
        <w:bCs/>
        <w:w w:val="99"/>
        <w:sz w:val="36"/>
        <w:szCs w:val="36"/>
      </w:rPr>
    </w:lvl>
    <w:lvl w:ilvl="3">
      <w:start w:val="0"/>
      <w:numFmt w:val="bullet"/>
      <w:lvlText w:val="•"/>
      <w:lvlJc w:val="left"/>
      <w:pPr>
        <w:ind w:left="3207" w:hanging="1271"/>
      </w:pPr>
      <w:rPr>
        <w:rFonts w:hint="default"/>
      </w:rPr>
    </w:lvl>
    <w:lvl w:ilvl="4">
      <w:start w:val="0"/>
      <w:numFmt w:val="bullet"/>
      <w:lvlText w:val="•"/>
      <w:lvlJc w:val="left"/>
      <w:pPr>
        <w:ind w:left="4090" w:hanging="1271"/>
      </w:pPr>
      <w:rPr>
        <w:rFonts w:hint="default"/>
      </w:rPr>
    </w:lvl>
    <w:lvl w:ilvl="5">
      <w:start w:val="0"/>
      <w:numFmt w:val="bullet"/>
      <w:lvlText w:val="•"/>
      <w:lvlJc w:val="left"/>
      <w:pPr>
        <w:ind w:left="4974" w:hanging="1271"/>
      </w:pPr>
      <w:rPr>
        <w:rFonts w:hint="default"/>
      </w:rPr>
    </w:lvl>
    <w:lvl w:ilvl="6">
      <w:start w:val="0"/>
      <w:numFmt w:val="bullet"/>
      <w:lvlText w:val="•"/>
      <w:lvlJc w:val="left"/>
      <w:pPr>
        <w:ind w:left="5858" w:hanging="1271"/>
      </w:pPr>
      <w:rPr>
        <w:rFonts w:hint="default"/>
      </w:rPr>
    </w:lvl>
    <w:lvl w:ilvl="7">
      <w:start w:val="0"/>
      <w:numFmt w:val="bullet"/>
      <w:lvlText w:val="•"/>
      <w:lvlJc w:val="left"/>
      <w:pPr>
        <w:ind w:left="6741" w:hanging="1271"/>
      </w:pPr>
      <w:rPr>
        <w:rFonts w:hint="default"/>
      </w:rPr>
    </w:lvl>
    <w:lvl w:ilvl="8">
      <w:start w:val="0"/>
      <w:numFmt w:val="bullet"/>
      <w:lvlText w:val="•"/>
      <w:lvlJc w:val="left"/>
      <w:pPr>
        <w:ind w:left="7625" w:hanging="1271"/>
      </w:pPr>
      <w:rPr>
        <w:rFonts w:hint="default"/>
      </w:rPr>
    </w:lvl>
  </w:abstractNum>
  <w:abstractNum w:abstractNumId="25">
    <w:nsid w:val="7494620C"/>
    <w:multiLevelType w:val="hybridMultilevel"/>
    <w:tmpl w:val="00000000"/>
    <w:lvl w:ilvl="0">
      <w:start w:val="1"/>
      <w:numFmt w:val="decimal"/>
      <w:lvlText w:val="%1."/>
      <w:lvlJc w:val="left"/>
      <w:pPr>
        <w:ind w:left="525" w:hanging="364"/>
        <w:jc w:val="left"/>
      </w:pPr>
      <w:rPr>
        <w:rFonts w:ascii="仿宋" w:eastAsia="仿宋" w:hAnsi="仿宋" w:cs="仿宋" w:hint="default"/>
        <w:b/>
        <w:bCs/>
        <w:w w:val="99"/>
        <w:sz w:val="34"/>
        <w:szCs w:val="34"/>
      </w:rPr>
    </w:lvl>
    <w:lvl w:ilvl="1">
      <w:start w:val="0"/>
      <w:numFmt w:val="bullet"/>
      <w:lvlText w:val="•"/>
      <w:lvlJc w:val="left"/>
      <w:pPr>
        <w:ind w:left="2900" w:hanging="364"/>
      </w:pPr>
      <w:rPr>
        <w:rFonts w:hint="default"/>
      </w:rPr>
    </w:lvl>
    <w:lvl w:ilvl="2">
      <w:start w:val="0"/>
      <w:numFmt w:val="bullet"/>
      <w:lvlText w:val="•"/>
      <w:lvlJc w:val="left"/>
      <w:pPr>
        <w:ind w:left="3542" w:hanging="364"/>
      </w:pPr>
      <w:rPr>
        <w:rFonts w:hint="default"/>
      </w:rPr>
    </w:lvl>
    <w:lvl w:ilvl="3">
      <w:start w:val="0"/>
      <w:numFmt w:val="bullet"/>
      <w:lvlText w:val="•"/>
      <w:lvlJc w:val="left"/>
      <w:pPr>
        <w:ind w:left="4185" w:hanging="364"/>
      </w:pPr>
      <w:rPr>
        <w:rFonts w:hint="default"/>
      </w:rPr>
    </w:lvl>
    <w:lvl w:ilvl="4">
      <w:start w:val="0"/>
      <w:numFmt w:val="bullet"/>
      <w:lvlText w:val="•"/>
      <w:lvlJc w:val="left"/>
      <w:pPr>
        <w:ind w:left="4827" w:hanging="364"/>
      </w:pPr>
      <w:rPr>
        <w:rFonts w:hint="default"/>
      </w:rPr>
    </w:lvl>
    <w:lvl w:ilvl="5">
      <w:start w:val="0"/>
      <w:numFmt w:val="bullet"/>
      <w:lvlText w:val="•"/>
      <w:lvlJc w:val="left"/>
      <w:pPr>
        <w:ind w:left="5470" w:hanging="364"/>
      </w:pPr>
      <w:rPr>
        <w:rFonts w:hint="default"/>
      </w:rPr>
    </w:lvl>
    <w:lvl w:ilvl="6">
      <w:start w:val="0"/>
      <w:numFmt w:val="bullet"/>
      <w:lvlText w:val="•"/>
      <w:lvlJc w:val="left"/>
      <w:pPr>
        <w:ind w:left="6113" w:hanging="364"/>
      </w:pPr>
      <w:rPr>
        <w:rFonts w:hint="default"/>
      </w:rPr>
    </w:lvl>
    <w:lvl w:ilvl="7">
      <w:start w:val="0"/>
      <w:numFmt w:val="bullet"/>
      <w:lvlText w:val="•"/>
      <w:lvlJc w:val="left"/>
      <w:pPr>
        <w:ind w:left="6755" w:hanging="364"/>
      </w:pPr>
      <w:rPr>
        <w:rFonts w:hint="default"/>
      </w:rPr>
    </w:lvl>
    <w:lvl w:ilvl="8">
      <w:start w:val="0"/>
      <w:numFmt w:val="bullet"/>
      <w:lvlText w:val="•"/>
      <w:lvlJc w:val="left"/>
      <w:pPr>
        <w:ind w:left="7398" w:hanging="364"/>
      </w:pPr>
      <w:rPr>
        <w:rFonts w:hint="default"/>
      </w:rPr>
    </w:lvl>
  </w:abstractNum>
  <w:abstractNum w:abstractNumId="26">
    <w:nsid w:val="75068038"/>
    <w:multiLevelType w:val="hybridMultilevel"/>
    <w:tmpl w:val="00000000"/>
    <w:lvl w:ilvl="0">
      <w:start w:val="1"/>
      <w:numFmt w:val="decimal"/>
      <w:lvlText w:val="%1."/>
      <w:lvlJc w:val="left"/>
      <w:pPr>
        <w:ind w:left="525" w:hanging="364"/>
        <w:jc w:val="left"/>
      </w:pPr>
      <w:rPr>
        <w:rFonts w:ascii="仿宋" w:eastAsia="仿宋" w:hAnsi="仿宋" w:cs="仿宋" w:hint="default"/>
        <w:b/>
        <w:bCs/>
        <w:w w:val="99"/>
        <w:sz w:val="34"/>
        <w:szCs w:val="34"/>
      </w:rPr>
    </w:lvl>
    <w:lvl w:ilvl="1">
      <w:start w:val="1"/>
      <w:numFmt w:val="decimal"/>
      <w:lvlText w:val="%2."/>
      <w:lvlJc w:val="left"/>
      <w:pPr>
        <w:ind w:left="3027" w:hanging="544"/>
        <w:jc w:val="left"/>
      </w:pPr>
      <w:rPr>
        <w:rFonts w:ascii="仿宋" w:eastAsia="仿宋" w:hAnsi="仿宋" w:cs="仿宋" w:hint="default"/>
        <w:b/>
        <w:bCs/>
        <w:w w:val="99"/>
        <w:sz w:val="36"/>
        <w:szCs w:val="36"/>
      </w:rPr>
    </w:lvl>
    <w:lvl w:ilvl="2">
      <w:start w:val="0"/>
      <w:numFmt w:val="bullet"/>
      <w:lvlText w:val="•"/>
      <w:lvlJc w:val="left"/>
      <w:pPr>
        <w:ind w:left="4364" w:hanging="544"/>
      </w:pPr>
      <w:rPr>
        <w:rFonts w:hint="default"/>
      </w:rPr>
    </w:lvl>
    <w:lvl w:ilvl="3">
      <w:start w:val="0"/>
      <w:numFmt w:val="bullet"/>
      <w:lvlText w:val="•"/>
      <w:lvlJc w:val="left"/>
      <w:pPr>
        <w:ind w:left="5708" w:hanging="544"/>
      </w:pPr>
      <w:rPr>
        <w:rFonts w:hint="default"/>
      </w:rPr>
    </w:lvl>
    <w:lvl w:ilvl="4">
      <w:start w:val="0"/>
      <w:numFmt w:val="bullet"/>
      <w:lvlText w:val="•"/>
      <w:lvlJc w:val="left"/>
      <w:pPr>
        <w:ind w:left="7053" w:hanging="544"/>
      </w:pPr>
      <w:rPr>
        <w:rFonts w:hint="default"/>
      </w:rPr>
    </w:lvl>
    <w:lvl w:ilvl="5">
      <w:start w:val="0"/>
      <w:numFmt w:val="bullet"/>
      <w:lvlText w:val="•"/>
      <w:lvlJc w:val="left"/>
      <w:pPr>
        <w:ind w:left="8397" w:hanging="544"/>
      </w:pPr>
      <w:rPr>
        <w:rFonts w:hint="default"/>
      </w:rPr>
    </w:lvl>
    <w:lvl w:ilvl="6">
      <w:start w:val="0"/>
      <w:numFmt w:val="bullet"/>
      <w:lvlText w:val="•"/>
      <w:lvlJc w:val="left"/>
      <w:pPr>
        <w:ind w:left="9742" w:hanging="544"/>
      </w:pPr>
      <w:rPr>
        <w:rFonts w:hint="default"/>
      </w:rPr>
    </w:lvl>
    <w:lvl w:ilvl="7">
      <w:start w:val="0"/>
      <w:numFmt w:val="bullet"/>
      <w:lvlText w:val="•"/>
      <w:lvlJc w:val="left"/>
      <w:pPr>
        <w:ind w:left="11086" w:hanging="544"/>
      </w:pPr>
      <w:rPr>
        <w:rFonts w:hint="default"/>
      </w:rPr>
    </w:lvl>
    <w:lvl w:ilvl="8">
      <w:start w:val="0"/>
      <w:numFmt w:val="bullet"/>
      <w:lvlText w:val="•"/>
      <w:lvlJc w:val="left"/>
      <w:pPr>
        <w:ind w:left="12430" w:hanging="544"/>
      </w:pPr>
      <w:rPr>
        <w:rFonts w:hint="default"/>
      </w:rPr>
    </w:lvl>
  </w:abstractNum>
  <w:abstractNum w:abstractNumId="27">
    <w:nsid w:val="7A2DB2E3"/>
    <w:multiLevelType w:val="hybridMultilevel"/>
    <w:tmpl w:val="00000000"/>
    <w:lvl w:ilvl="0">
      <w:start w:val="1"/>
      <w:numFmt w:val="decimal"/>
      <w:lvlText w:val="%1."/>
      <w:lvlJc w:val="left"/>
      <w:pPr>
        <w:ind w:left="749" w:hanging="318"/>
        <w:jc w:val="left"/>
      </w:pPr>
      <w:rPr>
        <w:rFonts w:ascii="宋体" w:eastAsia="宋体" w:hAnsi="宋体" w:cs="宋体" w:hint="default"/>
        <w:w w:val="102"/>
        <w:sz w:val="29"/>
        <w:szCs w:val="29"/>
      </w:rPr>
    </w:lvl>
    <w:lvl w:ilvl="1">
      <w:start w:val="1"/>
      <w:numFmt w:val="decimal"/>
      <w:lvlText w:val="%2."/>
      <w:lvlJc w:val="left"/>
      <w:pPr>
        <w:ind w:left="1323" w:hanging="229"/>
        <w:jc w:val="left"/>
      </w:pPr>
      <w:rPr>
        <w:rFonts w:ascii="华文宋体" w:eastAsia="华文宋体" w:hAnsi="华文宋体" w:cs="华文宋体" w:hint="default"/>
        <w:spacing w:val="-2"/>
        <w:w w:val="100"/>
        <w:sz w:val="31"/>
        <w:szCs w:val="31"/>
      </w:rPr>
    </w:lvl>
    <w:lvl w:ilvl="2">
      <w:start w:val="1"/>
      <w:numFmt w:val="decimal"/>
      <w:lvlText w:val="%3."/>
      <w:lvlJc w:val="left"/>
      <w:pPr>
        <w:ind w:left="1696" w:hanging="477"/>
        <w:jc w:val="left"/>
      </w:pPr>
      <w:rPr>
        <w:rFonts w:ascii="宋体" w:eastAsia="宋体" w:hAnsi="宋体" w:cs="宋体" w:hint="default"/>
        <w:w w:val="102"/>
        <w:sz w:val="29"/>
        <w:szCs w:val="29"/>
      </w:rPr>
    </w:lvl>
    <w:lvl w:ilvl="3">
      <w:start w:val="0"/>
      <w:numFmt w:val="bullet"/>
      <w:lvlText w:val="•"/>
      <w:lvlJc w:val="left"/>
      <w:pPr>
        <w:ind w:left="3377" w:hanging="477"/>
      </w:pPr>
      <w:rPr>
        <w:rFonts w:hint="default"/>
      </w:rPr>
    </w:lvl>
    <w:lvl w:ilvl="4">
      <w:start w:val="0"/>
      <w:numFmt w:val="bullet"/>
      <w:lvlText w:val="•"/>
      <w:lvlJc w:val="left"/>
      <w:pPr>
        <w:ind w:left="5054" w:hanging="477"/>
      </w:pPr>
      <w:rPr>
        <w:rFonts w:hint="default"/>
      </w:rPr>
    </w:lvl>
    <w:lvl w:ilvl="5">
      <w:start w:val="0"/>
      <w:numFmt w:val="bullet"/>
      <w:lvlText w:val="•"/>
      <w:lvlJc w:val="left"/>
      <w:pPr>
        <w:ind w:left="6732" w:hanging="477"/>
      </w:pPr>
      <w:rPr>
        <w:rFonts w:hint="default"/>
      </w:rPr>
    </w:lvl>
    <w:lvl w:ilvl="6">
      <w:start w:val="0"/>
      <w:numFmt w:val="bullet"/>
      <w:lvlText w:val="•"/>
      <w:lvlJc w:val="left"/>
      <w:pPr>
        <w:ind w:left="8409" w:hanging="477"/>
      </w:pPr>
      <w:rPr>
        <w:rFonts w:hint="default"/>
      </w:rPr>
    </w:lvl>
    <w:lvl w:ilvl="7">
      <w:start w:val="0"/>
      <w:numFmt w:val="bullet"/>
      <w:lvlText w:val="•"/>
      <w:lvlJc w:val="left"/>
      <w:pPr>
        <w:ind w:left="10087" w:hanging="477"/>
      </w:pPr>
      <w:rPr>
        <w:rFonts w:hint="default"/>
      </w:rPr>
    </w:lvl>
    <w:lvl w:ilvl="8">
      <w:start w:val="0"/>
      <w:numFmt w:val="bullet"/>
      <w:lvlText w:val="•"/>
      <w:lvlJc w:val="left"/>
      <w:pPr>
        <w:ind w:left="11764" w:hanging="477"/>
      </w:pPr>
      <w:rPr>
        <w:rFonts w:hint="default"/>
      </w:rPr>
    </w:lvl>
  </w:abstractNum>
  <w:num w:numId="1">
    <w:abstractNumId w:val="0"/>
  </w:num>
  <w:num w:numId="2">
    <w:abstractNumId w:val="13"/>
  </w:num>
  <w:num w:numId="3">
    <w:abstractNumId w:val="18"/>
  </w:num>
  <w:num w:numId="4">
    <w:abstractNumId w:val="22"/>
  </w:num>
  <w:num w:numId="5">
    <w:abstractNumId w:val="24"/>
  </w:num>
  <w:num w:numId="6">
    <w:abstractNumId w:val="6"/>
  </w:num>
  <w:num w:numId="7">
    <w:abstractNumId w:val="26"/>
  </w:num>
  <w:num w:numId="8">
    <w:abstractNumId w:val="20"/>
  </w:num>
  <w:num w:numId="9">
    <w:abstractNumId w:val="15"/>
  </w:num>
  <w:num w:numId="10">
    <w:abstractNumId w:val="16"/>
  </w:num>
  <w:num w:numId="11">
    <w:abstractNumId w:val="25"/>
  </w:num>
  <w:num w:numId="12">
    <w:abstractNumId w:val="9"/>
  </w:num>
  <w:num w:numId="13">
    <w:abstractNumId w:val="23"/>
  </w:num>
  <w:num w:numId="14">
    <w:abstractNumId w:val="14"/>
  </w:num>
  <w:num w:numId="15">
    <w:abstractNumId w:val="4"/>
  </w:num>
  <w:num w:numId="16">
    <w:abstractNumId w:val="27"/>
  </w:num>
  <w:num w:numId="17">
    <w:abstractNumId w:val="5"/>
  </w:num>
  <w:num w:numId="18">
    <w:abstractNumId w:val="2"/>
  </w:num>
  <w:num w:numId="19">
    <w:abstractNumId w:val="3"/>
  </w:num>
  <w:num w:numId="20">
    <w:abstractNumId w:val="12"/>
  </w:num>
  <w:num w:numId="21">
    <w:abstractNumId w:val="17"/>
  </w:num>
  <w:num w:numId="22">
    <w:abstractNumId w:val="7"/>
  </w:num>
  <w:num w:numId="23">
    <w:abstractNumId w:val="8"/>
  </w:num>
  <w:num w:numId="24">
    <w:abstractNumId w:val="1"/>
  </w:num>
  <w:num w:numId="25">
    <w:abstractNumId w:val="11"/>
  </w:num>
  <w:num w:numId="26">
    <w:abstractNumId w:val="19"/>
  </w:num>
  <w:num w:numId="27">
    <w:abstractNumId w:val="10"/>
  </w:num>
  <w:num w:numId="28">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宋体" w:eastAsia="华文宋体" w:hAnsi="华文宋体" w:cs="华文宋体"/>
    </w:rPr>
  </w:style>
  <w:style w:type="paragraph" w:styleId="Heading1">
    <w:name w:val="heading 1"/>
    <w:basedOn w:val="Normal"/>
    <w:uiPriority w:val="1"/>
    <w:qFormat/>
    <w:pPr>
      <w:ind w:left="431"/>
      <w:outlineLvl w:val="0"/>
    </w:pPr>
    <w:rPr>
      <w:rFonts w:ascii="黑体" w:eastAsia="黑体" w:hAnsi="黑体" w:cs="黑体"/>
      <w:sz w:val="36"/>
      <w:szCs w:val="36"/>
    </w:rPr>
  </w:style>
  <w:style w:type="paragraph" w:styleId="Heading2">
    <w:name w:val="heading 2"/>
    <w:basedOn w:val="Normal"/>
    <w:uiPriority w:val="1"/>
    <w:qFormat/>
    <w:pPr>
      <w:spacing w:before="32"/>
      <w:ind w:left="1382" w:hanging="952"/>
      <w:outlineLvl w:val="1"/>
    </w:pPr>
    <w:rPr>
      <w:rFonts w:ascii="华文宋体" w:eastAsia="华文宋体" w:hAnsi="华文宋体" w:cs="华文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宋体" w:eastAsia="华文宋体" w:hAnsi="华文宋体" w:cs="华文宋体"/>
      <w:sz w:val="31"/>
      <w:szCs w:val="31"/>
    </w:rPr>
  </w:style>
  <w:style w:type="paragraph" w:styleId="Title">
    <w:name w:val="Title"/>
    <w:basedOn w:val="Normal"/>
    <w:uiPriority w:val="1"/>
    <w:qFormat/>
    <w:pPr>
      <w:spacing w:line="1963" w:lineRule="exact"/>
      <w:ind w:right="1015"/>
      <w:jc w:val="center"/>
    </w:pPr>
    <w:rPr>
      <w:rFonts w:ascii="华文行楷" w:eastAsia="华文行楷" w:hAnsi="华文行楷" w:cs="华文行楷"/>
      <w:sz w:val="126"/>
      <w:szCs w:val="126"/>
    </w:rPr>
  </w:style>
  <w:style w:type="paragraph" w:styleId="ListParagraph">
    <w:name w:val="List Paragraph"/>
    <w:basedOn w:val="Normal"/>
    <w:uiPriority w:val="1"/>
    <w:qFormat/>
    <w:pPr>
      <w:spacing w:before="32"/>
      <w:ind w:left="1695" w:hanging="1265"/>
    </w:pPr>
    <w:rPr>
      <w:rFonts w:ascii="华文宋体" w:eastAsia="华文宋体" w:hAnsi="华文宋体" w:cs="华文宋体"/>
    </w:rPr>
  </w:style>
  <w:style w:type="paragraph" w:customStyle="1" w:styleId="TableParagraph">
    <w:name w:val="Table Paragraph"/>
    <w:basedOn w:val="Normal"/>
    <w:uiPriority w:val="1"/>
    <w:qFormat/>
    <w:pPr>
      <w:jc w:val="center"/>
    </w:pPr>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yperlink" Target="https://d.book118.com/62602221113001010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2024-03-03T04:55:37Z</dcterms:created>
  <dcterms:modified xsi:type="dcterms:W3CDTF">2024-03-03T04:55:37Z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2022-12-27T00:00:00Z</vt:filetime>
  </property>
  <property fmtid="{D5CDD505-2E9C-101B-9397-08002B2CF9AE}" pid="3" name="LastSaved">
    <vt:filetime>2024-03-03T00:00:00Z</vt:filetime>
  </property>
</Properties>
</file>