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val="0"/>
        <w:kinsoku w:val="0"/>
        <w:wordWrap/>
        <w:overflowPunct/>
        <w:topLinePunct w:val="0"/>
        <w:autoSpaceDE w:val="0"/>
        <w:autoSpaceDN w:val="0"/>
        <w:bidi w:val="0"/>
        <w:adjustRightInd w:val="0"/>
        <w:snapToGrid w:val="0"/>
        <w:spacing w:before="127" w:line="183" w:lineRule="auto"/>
        <w:ind w:left="5970" w:right="17" w:hanging="3954"/>
        <w:textAlignment w:val="baseline"/>
        <w:rPr>
          <w:rFonts w:ascii="微软雅黑" w:eastAsia="微软雅黑" w:hAnsi="微软雅黑" w:cs="微软雅黑"/>
          <w:spacing w:val="0"/>
          <w:position w:val="0"/>
          <w:sz w:val="65"/>
          <w:szCs w:val="65"/>
        </w:rPr>
      </w:pPr>
    </w:p>
    <w:p>
      <w:pPr>
        <w:widowControl w:val="0"/>
        <w:kinsoku w:val="0"/>
        <w:wordWrap/>
        <w:overflowPunct/>
        <w:topLinePunct w:val="0"/>
        <w:autoSpaceDE w:val="0"/>
        <w:autoSpaceDN w:val="0"/>
        <w:bidi w:val="0"/>
        <w:adjustRightInd w:val="0"/>
        <w:snapToGrid w:val="0"/>
        <w:spacing w:before="127" w:line="183" w:lineRule="auto"/>
        <w:ind w:left="5970" w:right="17" w:hanging="3954"/>
        <w:textAlignment w:val="baseline"/>
        <w:rPr>
          <w:rFonts w:ascii="微软雅黑" w:eastAsia="微软雅黑" w:hAnsi="微软雅黑" w:cs="微软雅黑"/>
          <w:spacing w:val="0"/>
          <w:position w:val="0"/>
          <w:sz w:val="65"/>
          <w:szCs w:val="65"/>
        </w:rPr>
      </w:pPr>
    </w:p>
    <w:p>
      <w:pPr>
        <w:widowControl w:val="0"/>
        <w:kinsoku w:val="0"/>
        <w:wordWrap/>
        <w:overflowPunct/>
        <w:topLinePunct w:val="0"/>
        <w:autoSpaceDE w:val="0"/>
        <w:autoSpaceDN w:val="0"/>
        <w:bidi w:val="0"/>
        <w:adjustRightInd w:val="0"/>
        <w:snapToGrid w:val="0"/>
        <w:spacing w:before="127" w:line="183" w:lineRule="auto"/>
        <w:ind w:left="5970" w:right="17" w:hanging="3954"/>
        <w:textAlignment w:val="baseline"/>
        <w:rPr>
          <w:rFonts w:ascii="微软雅黑" w:eastAsia="微软雅黑" w:hAnsi="微软雅黑" w:cs="微软雅黑"/>
          <w:spacing w:val="0"/>
          <w:position w:val="0"/>
          <w:sz w:val="65"/>
          <w:szCs w:val="65"/>
        </w:rPr>
      </w:pPr>
    </w:p>
    <w:p>
      <w:pPr>
        <w:widowControl w:val="0"/>
        <w:kinsoku w:val="0"/>
        <w:wordWrap/>
        <w:overflowPunct/>
        <w:topLinePunct w:val="0"/>
        <w:autoSpaceDE w:val="0"/>
        <w:autoSpaceDN w:val="0"/>
        <w:bidi w:val="0"/>
        <w:adjustRightInd w:val="0"/>
        <w:snapToGrid w:val="0"/>
        <w:spacing w:before="127" w:line="183" w:lineRule="auto"/>
        <w:ind w:left="0" w:right="17" w:firstLine="0" w:leftChars="0" w:firstLineChars="0"/>
        <w:jc w:val="center"/>
        <w:textAlignment w:val="baseline"/>
        <w:rPr>
          <w:rFonts w:ascii="微软雅黑" w:eastAsia="微软雅黑" w:hAnsi="微软雅黑" w:cs="微软雅黑"/>
          <w:spacing w:val="0"/>
          <w:position w:val="0"/>
          <w:sz w:val="65"/>
          <w:szCs w:val="65"/>
        </w:rPr>
      </w:pPr>
      <w:r>
        <w:rPr>
          <w:rFonts w:ascii="微软雅黑" w:eastAsia="微软雅黑" w:hAnsi="微软雅黑" w:cs="微软雅黑"/>
          <w:spacing w:val="0"/>
          <w:position w:val="0"/>
          <w:sz w:val="65"/>
          <w:szCs w:val="65"/>
        </w:rPr>
        <w:t>工程项目精细化管理和标准化管</w:t>
      </w:r>
      <w:r>
        <w:rPr>
          <w:rFonts w:ascii="微软雅黑" w:eastAsia="微软雅黑" w:hAnsi="微软雅黑" w:cs="微软雅黑"/>
          <w:spacing w:val="0"/>
          <w:position w:val="0"/>
          <w:sz w:val="65"/>
          <w:szCs w:val="65"/>
        </w:rPr>
        <w:t>理</w:t>
      </w:r>
    </w:p>
    <w:p>
      <w:pPr>
        <w:widowControl w:val="0"/>
        <w:kinsoku w:val="0"/>
        <w:wordWrap/>
        <w:overflowPunct/>
        <w:topLinePunct w:val="0"/>
        <w:autoSpaceDE w:val="0"/>
        <w:autoSpaceDN w:val="0"/>
        <w:bidi w:val="0"/>
        <w:adjustRightInd w:val="0"/>
        <w:snapToGrid w:val="0"/>
        <w:spacing w:before="127" w:line="183" w:lineRule="auto"/>
        <w:ind w:left="5970" w:right="17" w:hanging="5970" w:leftChars="0" w:firstLineChars="0"/>
        <w:textAlignment w:val="baseline"/>
        <w:rPr>
          <w:rFonts w:ascii="微软雅黑" w:eastAsia="微软雅黑" w:hAnsi="微软雅黑" w:cs="微软雅黑"/>
          <w:spacing w:val="0"/>
          <w:position w:val="0"/>
          <w:sz w:val="65"/>
          <w:szCs w:val="65"/>
        </w:rPr>
      </w:pPr>
    </w:p>
    <w:p>
      <w:pPr>
        <w:widowControl w:val="0"/>
        <w:kinsoku w:val="0"/>
        <w:wordWrap/>
        <w:overflowPunct/>
        <w:topLinePunct w:val="0"/>
        <w:autoSpaceDE w:val="0"/>
        <w:autoSpaceDN w:val="0"/>
        <w:bidi w:val="0"/>
        <w:adjustRightInd w:val="0"/>
        <w:snapToGrid w:val="0"/>
        <w:spacing w:before="127" w:line="183" w:lineRule="auto"/>
        <w:ind w:left="5970" w:right="17" w:hanging="5970" w:leftChars="0" w:firstLineChars="0"/>
        <w:textAlignment w:val="baseline"/>
        <w:rPr>
          <w:rFonts w:ascii="微软雅黑" w:eastAsia="微软雅黑" w:hAnsi="微软雅黑" w:cs="微软雅黑"/>
          <w:spacing w:val="0"/>
          <w:position w:val="0"/>
          <w:sz w:val="65"/>
          <w:szCs w:val="65"/>
        </w:rPr>
      </w:pPr>
    </w:p>
    <w:p>
      <w:pPr>
        <w:widowControl w:val="0"/>
        <w:kinsoku w:val="0"/>
        <w:wordWrap/>
        <w:overflowPunct/>
        <w:topLinePunct w:val="0"/>
        <w:autoSpaceDE w:val="0"/>
        <w:autoSpaceDN w:val="0"/>
        <w:bidi w:val="0"/>
        <w:adjustRightInd w:val="0"/>
        <w:snapToGrid w:val="0"/>
        <w:spacing w:before="127" w:line="183" w:lineRule="auto"/>
        <w:ind w:left="5970" w:right="17" w:hanging="5970" w:leftChars="0" w:firstLineChars="0"/>
        <w:textAlignment w:val="baseline"/>
        <w:rPr>
          <w:rFonts w:ascii="微软雅黑" w:eastAsia="微软雅黑" w:hAnsi="微软雅黑" w:cs="微软雅黑"/>
          <w:spacing w:val="0"/>
          <w:position w:val="0"/>
          <w:sz w:val="65"/>
          <w:szCs w:val="65"/>
        </w:rPr>
      </w:pPr>
    </w:p>
    <w:p>
      <w:pPr>
        <w:widowControl w:val="0"/>
        <w:kinsoku w:val="0"/>
        <w:wordWrap/>
        <w:overflowPunct/>
        <w:topLinePunct w:val="0"/>
        <w:autoSpaceDE w:val="0"/>
        <w:autoSpaceDN w:val="0"/>
        <w:bidi w:val="0"/>
        <w:adjustRightInd w:val="0"/>
        <w:snapToGrid w:val="0"/>
        <w:spacing w:before="127" w:line="183" w:lineRule="auto"/>
        <w:ind w:left="5970" w:right="17" w:hanging="5970" w:leftChars="0" w:firstLineChars="0"/>
        <w:jc w:val="center"/>
        <w:textAlignment w:val="baseline"/>
        <w:rPr>
          <w:rFonts w:ascii="微软雅黑" w:eastAsia="微软雅黑" w:hAnsi="微软雅黑" w:cs="微软雅黑"/>
          <w:spacing w:val="0"/>
          <w:position w:val="0"/>
          <w:sz w:val="65"/>
          <w:szCs w:val="65"/>
        </w:rPr>
      </w:pPr>
    </w:p>
    <w:p>
      <w:pPr>
        <w:widowControl w:val="0"/>
        <w:kinsoku w:val="0"/>
        <w:wordWrap/>
        <w:overflowPunct/>
        <w:topLinePunct w:val="0"/>
        <w:autoSpaceDE w:val="0"/>
        <w:autoSpaceDN w:val="0"/>
        <w:bidi w:val="0"/>
        <w:adjustRightInd w:val="0"/>
        <w:snapToGrid w:val="0"/>
        <w:spacing w:before="127" w:line="183" w:lineRule="auto"/>
        <w:ind w:left="0" w:right="17" w:hanging="12" w:leftChars="0" w:firstLineChars="0"/>
        <w:jc w:val="center"/>
        <w:textAlignment w:val="baseline"/>
        <w:rPr>
          <w:rFonts w:ascii="微软雅黑" w:eastAsia="微软雅黑" w:hAnsi="微软雅黑" w:cs="微软雅黑"/>
          <w:spacing w:val="0"/>
          <w:position w:val="0"/>
          <w:sz w:val="65"/>
          <w:szCs w:val="65"/>
        </w:rPr>
      </w:pPr>
      <w:r>
        <w:rPr>
          <w:rFonts w:ascii="微软雅黑" w:eastAsia="微软雅黑" w:hAnsi="微软雅黑" w:cs="微软雅黑"/>
          <w:spacing w:val="0"/>
          <w:position w:val="0"/>
          <w:sz w:val="65"/>
          <w:szCs w:val="65"/>
        </w:rPr>
        <w:t>制度办法</w:t>
      </w:r>
    </w:p>
    <w:p>
      <w:pPr>
        <w:widowControl w:val="0"/>
        <w:kinsoku w:val="0"/>
        <w:wordWrap/>
        <w:overflowPunct/>
        <w:topLinePunct w:val="0"/>
        <w:autoSpaceDE w:val="0"/>
        <w:autoSpaceDN w:val="0"/>
        <w:bidi w:val="0"/>
        <w:adjustRightInd w:val="0"/>
        <w:snapToGrid w:val="0"/>
        <w:spacing w:before="127" w:line="183" w:lineRule="auto"/>
        <w:ind w:left="5970" w:right="17" w:hanging="5970" w:leftChars="0" w:firstLineChars="0"/>
        <w:jc w:val="center"/>
        <w:textAlignment w:val="baseline"/>
        <w:rPr>
          <w:rFonts w:ascii="微软雅黑" w:eastAsia="微软雅黑" w:hAnsi="微软雅黑" w:cs="微软雅黑" w:hint="eastAsia"/>
          <w:spacing w:val="0"/>
          <w:position w:val="0"/>
          <w:sz w:val="65"/>
          <w:szCs w:val="65"/>
          <w:lang w:val="en-US" w:eastAsia="zh-CN"/>
        </w:rPr>
        <w:sectPr>
          <w:footerReference w:type="default" r:id="rId5"/>
          <w:footerReference w:type="first" r:id="rId6"/>
          <w:pgSz w:w="11905" w:h="16838"/>
          <w:pgMar w:top="1440" w:right="1797" w:bottom="1440" w:left="1797" w:header="0" w:footer="1565" w:gutter="0"/>
          <w:pgNumType w:fmt="decimal" w:start="0"/>
          <w:cols w:num="1" w:space="0"/>
          <w:titlePg/>
          <w:rtlGutter w:val="0"/>
          <w:docGrid w:linePitch="0" w:charSpace="0"/>
        </w:sectPr>
      </w:pPr>
    </w:p>
    <w:p>
      <w:pPr>
        <w:pStyle w:val="Heading1"/>
        <w:widowControl w:val="0"/>
        <w:kinsoku w:val="0"/>
        <w:wordWrap/>
        <w:overflowPunct/>
        <w:topLinePunct w:val="0"/>
        <w:autoSpaceDE w:val="0"/>
        <w:autoSpaceDN w:val="0"/>
        <w:bidi w:val="0"/>
        <w:adjustRightInd w:val="0"/>
        <w:snapToGrid w:val="0"/>
        <w:textAlignment w:val="baseline"/>
        <w:rPr>
          <w:spacing w:val="0"/>
          <w:position w:val="0"/>
        </w:rPr>
      </w:pPr>
      <w:bookmarkStart w:id="0" w:name="_Toc30591"/>
      <w:bookmarkStart w:id="1" w:name="_Toc6287"/>
      <w:bookmarkStart w:id="2" w:name="_Toc10387"/>
      <w:bookmarkStart w:id="3" w:name="_Toc17609"/>
      <w:bookmarkStart w:id="4" w:name="_Toc13982"/>
      <w:r>
        <w:rPr>
          <w:rFonts w:hint="eastAsia"/>
          <w:spacing w:val="0"/>
          <w:position w:val="0"/>
          <w:lang w:val="en-US" w:eastAsia="zh-CN"/>
        </w:rPr>
        <w:t>目录</w:t>
      </w:r>
      <w:bookmarkEnd w:id="0"/>
      <w:bookmarkEnd w:id="1"/>
      <w:bookmarkEnd w:id="2"/>
      <w:bookmarkEnd w:id="3"/>
      <w:bookmarkEnd w:id="4"/>
    </w:p>
    <w:sdt>
      <w:sdtPr>
        <w:rPr>
          <w:rFonts w:ascii="宋体" w:eastAsia="宋体" w:hAnsi="宋体" w:cs="Arial"/>
          <w:snapToGrid w:val="0"/>
          <w:color w:val="000000"/>
          <w:spacing w:val="0"/>
          <w:kern w:val="0"/>
          <w:position w:val="0"/>
          <w:sz w:val="21"/>
          <w:szCs w:val="21"/>
        </w:rPr>
        <w:id w:val="147466728"/>
        <w:docPartObj>
          <w:docPartGallery w:val="Table of Contents"/>
          <w:docPartUnique/>
        </w:docPartObj>
        <w15:color w:val="DBDBDB"/>
      </w:sdtPr>
      <w:sdtEndPr>
        <w:rPr>
          <w:rFonts w:ascii="宋体" w:eastAsia="宋体" w:hAnsi="宋体" w:cs="Arial"/>
          <w:snapToGrid w:val="0"/>
          <w:color w:val="000000"/>
          <w:spacing w:val="0"/>
          <w:kern w:val="0"/>
          <w:position w:val="0"/>
          <w:sz w:val="21"/>
          <w:szCs w:val="21"/>
        </w:rPr>
      </w:sdtEndPr>
      <w:sdtContent>
        <w:p>
          <w:pPr>
            <w:spacing w:before="0" w:beforeLines="0" w:after="0" w:afterLines="0" w:line="240" w:lineRule="auto"/>
            <w:ind w:left="0" w:right="0" w:firstLine="0" w:leftChars="0" w:rightChars="0" w:firstLineChars="0"/>
            <w:jc w:val="center"/>
            <w:rPr>
              <w:spacing w:val="0"/>
              <w:position w:val="0"/>
            </w:rPr>
          </w:pPr>
        </w:p>
        <w:p>
          <w:pPr>
            <w:pStyle w:val="TOC1"/>
            <w:tabs>
              <w:tab w:val="right" w:leader="dot" w:pos="8311"/>
            </w:tabs>
            <w:rPr>
              <w:spacing w:val="0"/>
              <w:position w:val="0"/>
            </w:rPr>
          </w:pPr>
          <w:r>
            <w:rPr>
              <w:spacing w:val="0"/>
              <w:position w:val="0"/>
              <w:sz w:val="22"/>
              <w:szCs w:val="22"/>
            </w:rPr>
            <w:fldChar w:fldCharType="begin"/>
          </w:r>
          <w:r>
            <w:rPr>
              <w:spacing w:val="0"/>
              <w:position w:val="0"/>
              <w:sz w:val="22"/>
              <w:szCs w:val="22"/>
            </w:rPr>
            <w:instrText xml:space="preserve">TOC \o "1-3" \h \u </w:instrText>
          </w:r>
          <w:r>
            <w:rPr>
              <w:spacing w:val="0"/>
              <w:position w:val="0"/>
              <w:sz w:val="22"/>
              <w:szCs w:val="22"/>
            </w:rPr>
            <w:fldChar w:fldCharType="separate"/>
          </w:r>
          <w:hyperlink w:anchor="_Toc13982" w:history="1">
            <w:r>
              <w:rPr>
                <w:rFonts w:hint="eastAsia"/>
                <w:spacing w:val="0"/>
                <w:position w:val="0"/>
                <w:lang w:val="en-US" w:eastAsia="zh-CN"/>
              </w:rPr>
              <w:t>目录</w:t>
            </w:r>
            <w:r>
              <w:rPr>
                <w:spacing w:val="0"/>
                <w:position w:val="0"/>
              </w:rPr>
              <w:tab/>
            </w:r>
            <w:r>
              <w:rPr>
                <w:spacing w:val="0"/>
                <w:position w:val="0"/>
              </w:rPr>
              <w:fldChar w:fldCharType="begin"/>
            </w:r>
            <w:r>
              <w:rPr>
                <w:spacing w:val="0"/>
                <w:position w:val="0"/>
              </w:rPr>
              <w:instrText xml:space="preserve"> PAGEREF _Toc13982 \h </w:instrText>
            </w:r>
            <w:r>
              <w:rPr>
                <w:spacing w:val="0"/>
                <w:position w:val="0"/>
              </w:rPr>
              <w:fldChar w:fldCharType="separate"/>
            </w:r>
            <w:r>
              <w:rPr>
                <w:spacing w:val="0"/>
                <w:position w:val="0"/>
              </w:rPr>
              <w:t>1</w:t>
            </w:r>
            <w:r>
              <w:rPr>
                <w:spacing w:val="0"/>
                <w:position w:val="0"/>
              </w:rPr>
              <w:fldChar w:fldCharType="end"/>
            </w:r>
          </w:hyperlink>
        </w:p>
        <w:p>
          <w:pPr>
            <w:pStyle w:val="TOC1"/>
            <w:tabs>
              <w:tab w:val="right" w:leader="dot" w:pos="8311"/>
            </w:tabs>
            <w:rPr>
              <w:spacing w:val="0"/>
              <w:position w:val="0"/>
            </w:rPr>
          </w:pPr>
          <w:hyperlink w:anchor="_Toc30549" w:history="1">
            <w:r>
              <w:rPr>
                <w:rFonts w:ascii="黑体" w:eastAsia="黑体" w:hAnsi="黑体" w:cs="黑体"/>
                <w:spacing w:val="0"/>
                <w:position w:val="0"/>
                <w:szCs w:val="47"/>
              </w:rPr>
              <w:t>第一</w:t>
            </w:r>
            <w:r>
              <w:rPr>
                <w:rFonts w:ascii="黑体" w:eastAsia="黑体" w:hAnsi="黑体" w:cs="黑体"/>
                <w:spacing w:val="0"/>
                <w:position w:val="0"/>
                <w:szCs w:val="47"/>
              </w:rPr>
              <w:t>章</w:t>
            </w:r>
            <w:r>
              <w:rPr>
                <w:rFonts w:ascii="黑体" w:eastAsia="黑体" w:hAnsi="黑体" w:cs="黑体" w:hint="eastAsia"/>
                <w:spacing w:val="0"/>
                <w:position w:val="0"/>
                <w:szCs w:val="47"/>
                <w:lang w:eastAsia="zh-CN"/>
              </w:rPr>
              <w:t>、</w:t>
            </w:r>
            <w:r>
              <w:rPr>
                <w:rFonts w:ascii="黑体" w:eastAsia="黑体" w:hAnsi="黑体" w:cs="黑体"/>
                <w:spacing w:val="0"/>
                <w:position w:val="0"/>
                <w:szCs w:val="47"/>
              </w:rPr>
              <w:t>简介</w:t>
            </w:r>
            <w:r>
              <w:rPr>
                <w:spacing w:val="0"/>
                <w:position w:val="0"/>
              </w:rPr>
              <w:tab/>
            </w:r>
            <w:r>
              <w:rPr>
                <w:spacing w:val="0"/>
                <w:position w:val="0"/>
              </w:rPr>
              <w:fldChar w:fldCharType="begin"/>
            </w:r>
            <w:r>
              <w:rPr>
                <w:spacing w:val="0"/>
                <w:position w:val="0"/>
              </w:rPr>
              <w:instrText xml:space="preserve"> PAGEREF _Toc30549 \h </w:instrText>
            </w:r>
            <w:r>
              <w:rPr>
                <w:spacing w:val="0"/>
                <w:position w:val="0"/>
              </w:rPr>
              <w:fldChar w:fldCharType="separate"/>
            </w:r>
            <w:r>
              <w:rPr>
                <w:spacing w:val="0"/>
                <w:position w:val="0"/>
              </w:rPr>
              <w:t>2</w:t>
            </w:r>
            <w:r>
              <w:rPr>
                <w:spacing w:val="0"/>
                <w:position w:val="0"/>
              </w:rPr>
              <w:fldChar w:fldCharType="end"/>
            </w:r>
          </w:hyperlink>
        </w:p>
        <w:p>
          <w:pPr>
            <w:pStyle w:val="TOC1"/>
            <w:tabs>
              <w:tab w:val="right" w:leader="dot" w:pos="8311"/>
            </w:tabs>
            <w:rPr>
              <w:spacing w:val="0"/>
              <w:position w:val="0"/>
            </w:rPr>
          </w:pPr>
          <w:hyperlink w:anchor="_Toc26699" w:history="1">
            <w:r>
              <w:rPr>
                <w:rFonts w:ascii="黑体" w:eastAsia="黑体" w:hAnsi="黑体" w:cs="黑体"/>
                <w:spacing w:val="0"/>
                <w:position w:val="0"/>
                <w:szCs w:val="47"/>
              </w:rPr>
              <w:t>第二章</w:t>
            </w:r>
            <w:r>
              <w:rPr>
                <w:rFonts w:ascii="黑体" w:eastAsia="黑体" w:hAnsi="黑体" w:cs="黑体" w:hint="eastAsia"/>
                <w:spacing w:val="0"/>
                <w:position w:val="0"/>
                <w:szCs w:val="47"/>
                <w:lang w:eastAsia="zh-CN"/>
              </w:rPr>
              <w:t>、</w:t>
            </w:r>
            <w:r>
              <w:rPr>
                <w:rFonts w:ascii="黑体" w:eastAsia="黑体" w:hAnsi="黑体" w:cs="黑体"/>
                <w:spacing w:val="0"/>
                <w:position w:val="0"/>
                <w:szCs w:val="47"/>
              </w:rPr>
              <w:t>前期策</w:t>
            </w:r>
            <w:r>
              <w:rPr>
                <w:rFonts w:ascii="黑体" w:eastAsia="黑体" w:hAnsi="黑体" w:cs="黑体"/>
                <w:spacing w:val="0"/>
                <w:position w:val="0"/>
                <w:szCs w:val="47"/>
              </w:rPr>
              <w:t>划</w:t>
            </w:r>
            <w:r>
              <w:rPr>
                <w:spacing w:val="0"/>
                <w:position w:val="0"/>
              </w:rPr>
              <w:tab/>
            </w:r>
            <w:r>
              <w:rPr>
                <w:spacing w:val="0"/>
                <w:position w:val="0"/>
              </w:rPr>
              <w:fldChar w:fldCharType="begin"/>
            </w:r>
            <w:r>
              <w:rPr>
                <w:spacing w:val="0"/>
                <w:position w:val="0"/>
              </w:rPr>
              <w:instrText xml:space="preserve"> PAGEREF _Toc26699 \h </w:instrText>
            </w:r>
            <w:r>
              <w:rPr>
                <w:spacing w:val="0"/>
                <w:position w:val="0"/>
              </w:rPr>
              <w:fldChar w:fldCharType="separate"/>
            </w:r>
            <w:r>
              <w:rPr>
                <w:spacing w:val="0"/>
                <w:position w:val="0"/>
              </w:rPr>
              <w:t>3</w:t>
            </w:r>
            <w:r>
              <w:rPr>
                <w:spacing w:val="0"/>
                <w:position w:val="0"/>
              </w:rPr>
              <w:fldChar w:fldCharType="end"/>
            </w:r>
          </w:hyperlink>
        </w:p>
        <w:p>
          <w:pPr>
            <w:pStyle w:val="TOC1"/>
            <w:tabs>
              <w:tab w:val="right" w:leader="dot" w:pos="8311"/>
            </w:tabs>
            <w:rPr>
              <w:spacing w:val="0"/>
              <w:position w:val="0"/>
            </w:rPr>
          </w:pPr>
          <w:hyperlink w:anchor="_Toc8963" w:history="1">
            <w:r>
              <w:rPr>
                <w:rFonts w:ascii="黑体" w:eastAsia="黑体" w:hAnsi="黑体" w:cs="黑体"/>
                <w:spacing w:val="0"/>
                <w:position w:val="0"/>
                <w:szCs w:val="47"/>
              </w:rPr>
              <w:t>第三章</w:t>
            </w:r>
            <w:r>
              <w:rPr>
                <w:rFonts w:ascii="黑体" w:eastAsia="黑体" w:hAnsi="黑体" w:cs="黑体" w:hint="eastAsia"/>
                <w:spacing w:val="0"/>
                <w:position w:val="0"/>
                <w:szCs w:val="47"/>
                <w:lang w:eastAsia="zh-CN"/>
              </w:rPr>
              <w:t>、</w:t>
            </w:r>
            <w:r>
              <w:rPr>
                <w:rFonts w:ascii="黑体" w:eastAsia="黑体" w:hAnsi="黑体" w:cs="黑体"/>
                <w:spacing w:val="0"/>
                <w:position w:val="0"/>
                <w:szCs w:val="47"/>
              </w:rPr>
              <w:t>产品清单和责任矩</w:t>
            </w:r>
            <w:r>
              <w:rPr>
                <w:rFonts w:ascii="黑体" w:eastAsia="黑体" w:hAnsi="黑体" w:cs="黑体"/>
                <w:spacing w:val="0"/>
                <w:position w:val="0"/>
                <w:szCs w:val="47"/>
              </w:rPr>
              <w:t>阵</w:t>
            </w:r>
            <w:r>
              <w:rPr>
                <w:spacing w:val="0"/>
                <w:position w:val="0"/>
              </w:rPr>
              <w:tab/>
            </w:r>
            <w:r>
              <w:rPr>
                <w:spacing w:val="0"/>
                <w:position w:val="0"/>
              </w:rPr>
              <w:fldChar w:fldCharType="begin"/>
            </w:r>
            <w:r>
              <w:rPr>
                <w:spacing w:val="0"/>
                <w:position w:val="0"/>
              </w:rPr>
              <w:instrText xml:space="preserve"> PAGEREF _Toc8963 \h </w:instrText>
            </w:r>
            <w:r>
              <w:rPr>
                <w:spacing w:val="0"/>
                <w:position w:val="0"/>
              </w:rPr>
              <w:fldChar w:fldCharType="separate"/>
            </w:r>
            <w:r>
              <w:rPr>
                <w:spacing w:val="0"/>
                <w:position w:val="0"/>
              </w:rPr>
              <w:t>5</w:t>
            </w:r>
            <w:r>
              <w:rPr>
                <w:spacing w:val="0"/>
                <w:position w:val="0"/>
              </w:rPr>
              <w:fldChar w:fldCharType="end"/>
            </w:r>
          </w:hyperlink>
        </w:p>
        <w:p>
          <w:pPr>
            <w:pStyle w:val="TOC1"/>
            <w:tabs>
              <w:tab w:val="right" w:leader="dot" w:pos="8311"/>
            </w:tabs>
            <w:rPr>
              <w:spacing w:val="0"/>
              <w:position w:val="0"/>
            </w:rPr>
          </w:pPr>
          <w:hyperlink w:anchor="_Toc5439" w:history="1">
            <w:r>
              <w:rPr>
                <w:rFonts w:ascii="黑体" w:eastAsia="黑体" w:hAnsi="黑体" w:cs="黑体"/>
                <w:spacing w:val="0"/>
                <w:position w:val="0"/>
                <w:szCs w:val="47"/>
              </w:rPr>
              <w:t>第四章</w:t>
            </w:r>
            <w:r>
              <w:rPr>
                <w:rFonts w:ascii="黑体" w:eastAsia="黑体" w:hAnsi="黑体" w:cs="黑体" w:hint="eastAsia"/>
                <w:spacing w:val="0"/>
                <w:position w:val="0"/>
                <w:szCs w:val="47"/>
                <w:lang w:eastAsia="zh-CN"/>
              </w:rPr>
              <w:t>、</w:t>
            </w:r>
            <w:r>
              <w:rPr>
                <w:rFonts w:ascii="黑体" w:eastAsia="黑体" w:hAnsi="黑体" w:cs="黑体"/>
                <w:spacing w:val="0"/>
                <w:position w:val="0"/>
                <w:szCs w:val="47"/>
              </w:rPr>
              <w:t>合同管</w:t>
            </w:r>
            <w:r>
              <w:rPr>
                <w:rFonts w:ascii="黑体" w:eastAsia="黑体" w:hAnsi="黑体" w:cs="黑体"/>
                <w:spacing w:val="0"/>
                <w:position w:val="0"/>
                <w:szCs w:val="47"/>
              </w:rPr>
              <w:t>理</w:t>
            </w:r>
            <w:r>
              <w:rPr>
                <w:spacing w:val="0"/>
                <w:position w:val="0"/>
              </w:rPr>
              <w:tab/>
            </w:r>
            <w:r>
              <w:rPr>
                <w:spacing w:val="0"/>
                <w:position w:val="0"/>
              </w:rPr>
              <w:fldChar w:fldCharType="begin"/>
            </w:r>
            <w:r>
              <w:rPr>
                <w:spacing w:val="0"/>
                <w:position w:val="0"/>
              </w:rPr>
              <w:instrText xml:space="preserve"> PAGEREF _Toc5439 \h </w:instrText>
            </w:r>
            <w:r>
              <w:rPr>
                <w:spacing w:val="0"/>
                <w:position w:val="0"/>
              </w:rPr>
              <w:fldChar w:fldCharType="separate"/>
            </w:r>
            <w:r>
              <w:rPr>
                <w:spacing w:val="0"/>
                <w:position w:val="0"/>
              </w:rPr>
              <w:t>7</w:t>
            </w:r>
            <w:r>
              <w:rPr>
                <w:spacing w:val="0"/>
                <w:position w:val="0"/>
              </w:rPr>
              <w:fldChar w:fldCharType="end"/>
            </w:r>
          </w:hyperlink>
        </w:p>
        <w:p>
          <w:pPr>
            <w:pStyle w:val="TOC1"/>
            <w:tabs>
              <w:tab w:val="right" w:leader="dot" w:pos="8311"/>
            </w:tabs>
            <w:rPr>
              <w:spacing w:val="0"/>
              <w:position w:val="0"/>
            </w:rPr>
          </w:pPr>
          <w:hyperlink w:anchor="_Toc13772" w:history="1">
            <w:r>
              <w:rPr>
                <w:rFonts w:ascii="黑体" w:eastAsia="黑体" w:hAnsi="黑体" w:cs="黑体"/>
                <w:spacing w:val="0"/>
                <w:position w:val="0"/>
                <w:szCs w:val="47"/>
              </w:rPr>
              <w:t>第五章</w:t>
            </w:r>
            <w:r>
              <w:rPr>
                <w:rFonts w:ascii="黑体" w:eastAsia="黑体" w:hAnsi="黑体" w:cs="黑体" w:hint="eastAsia"/>
                <w:spacing w:val="0"/>
                <w:position w:val="0"/>
                <w:szCs w:val="47"/>
                <w:lang w:eastAsia="zh-CN"/>
              </w:rPr>
              <w:t>、</w:t>
            </w:r>
            <w:r>
              <w:rPr>
                <w:rFonts w:ascii="黑体" w:eastAsia="黑体" w:hAnsi="黑体" w:cs="黑体"/>
                <w:spacing w:val="0"/>
                <w:position w:val="0"/>
                <w:szCs w:val="47"/>
              </w:rPr>
              <w:t>成本管</w:t>
            </w:r>
            <w:r>
              <w:rPr>
                <w:rFonts w:ascii="黑体" w:eastAsia="黑体" w:hAnsi="黑体" w:cs="黑体"/>
                <w:spacing w:val="0"/>
                <w:position w:val="0"/>
                <w:szCs w:val="47"/>
              </w:rPr>
              <w:t>理</w:t>
            </w:r>
            <w:r>
              <w:rPr>
                <w:spacing w:val="0"/>
                <w:position w:val="0"/>
              </w:rPr>
              <w:tab/>
            </w:r>
            <w:r>
              <w:rPr>
                <w:spacing w:val="0"/>
                <w:position w:val="0"/>
              </w:rPr>
              <w:fldChar w:fldCharType="begin"/>
            </w:r>
            <w:r>
              <w:rPr>
                <w:spacing w:val="0"/>
                <w:position w:val="0"/>
              </w:rPr>
              <w:instrText xml:space="preserve"> PAGEREF _Toc13772 \h </w:instrText>
            </w:r>
            <w:r>
              <w:rPr>
                <w:spacing w:val="0"/>
                <w:position w:val="0"/>
              </w:rPr>
              <w:fldChar w:fldCharType="separate"/>
            </w:r>
            <w:r>
              <w:rPr>
                <w:spacing w:val="0"/>
                <w:position w:val="0"/>
              </w:rPr>
              <w:t>10</w:t>
            </w:r>
            <w:r>
              <w:rPr>
                <w:spacing w:val="0"/>
                <w:position w:val="0"/>
              </w:rPr>
              <w:fldChar w:fldCharType="end"/>
            </w:r>
          </w:hyperlink>
        </w:p>
        <w:p>
          <w:pPr>
            <w:pStyle w:val="TOC1"/>
            <w:tabs>
              <w:tab w:val="right" w:leader="dot" w:pos="8311"/>
            </w:tabs>
            <w:rPr>
              <w:spacing w:val="0"/>
              <w:position w:val="0"/>
            </w:rPr>
          </w:pPr>
          <w:hyperlink w:anchor="_Toc4881" w:history="1">
            <w:r>
              <w:rPr>
                <w:rFonts w:ascii="黑体" w:eastAsia="黑体" w:hAnsi="黑体" w:cs="黑体"/>
                <w:spacing w:val="0"/>
                <w:position w:val="0"/>
                <w:szCs w:val="47"/>
              </w:rPr>
              <w:t>第六章</w:t>
            </w:r>
            <w:r>
              <w:rPr>
                <w:rFonts w:ascii="黑体" w:eastAsia="黑体" w:hAnsi="黑体" w:cs="黑体" w:hint="eastAsia"/>
                <w:spacing w:val="0"/>
                <w:position w:val="0"/>
                <w:szCs w:val="47"/>
                <w:lang w:eastAsia="zh-CN"/>
              </w:rPr>
              <w:t>、</w:t>
            </w:r>
            <w:r>
              <w:rPr>
                <w:rFonts w:ascii="黑体" w:eastAsia="黑体" w:hAnsi="黑体" w:cs="黑体"/>
                <w:spacing w:val="0"/>
                <w:position w:val="0"/>
                <w:szCs w:val="47"/>
              </w:rPr>
              <w:t>物资管</w:t>
            </w:r>
            <w:r>
              <w:rPr>
                <w:rFonts w:ascii="黑体" w:eastAsia="黑体" w:hAnsi="黑体" w:cs="黑体"/>
                <w:spacing w:val="0"/>
                <w:position w:val="0"/>
                <w:szCs w:val="47"/>
              </w:rPr>
              <w:t>理</w:t>
            </w:r>
            <w:r>
              <w:rPr>
                <w:spacing w:val="0"/>
                <w:position w:val="0"/>
              </w:rPr>
              <w:tab/>
            </w:r>
            <w:r>
              <w:rPr>
                <w:spacing w:val="0"/>
                <w:position w:val="0"/>
              </w:rPr>
              <w:fldChar w:fldCharType="begin"/>
            </w:r>
            <w:r>
              <w:rPr>
                <w:spacing w:val="0"/>
                <w:position w:val="0"/>
              </w:rPr>
              <w:instrText xml:space="preserve"> PAGEREF _Toc4881 \h </w:instrText>
            </w:r>
            <w:r>
              <w:rPr>
                <w:spacing w:val="0"/>
                <w:position w:val="0"/>
              </w:rPr>
              <w:fldChar w:fldCharType="separate"/>
            </w:r>
            <w:r>
              <w:rPr>
                <w:spacing w:val="0"/>
                <w:position w:val="0"/>
              </w:rPr>
              <w:t>14</w:t>
            </w:r>
            <w:r>
              <w:rPr>
                <w:spacing w:val="0"/>
                <w:position w:val="0"/>
              </w:rPr>
              <w:fldChar w:fldCharType="end"/>
            </w:r>
          </w:hyperlink>
        </w:p>
        <w:p>
          <w:pPr>
            <w:pStyle w:val="TOC1"/>
            <w:tabs>
              <w:tab w:val="right" w:leader="dot" w:pos="8311"/>
            </w:tabs>
            <w:rPr>
              <w:spacing w:val="0"/>
              <w:position w:val="0"/>
            </w:rPr>
          </w:pPr>
          <w:hyperlink w:anchor="_Toc4207" w:history="1">
            <w:r>
              <w:rPr>
                <w:rFonts w:ascii="黑体" w:eastAsia="黑体" w:hAnsi="黑体" w:cs="黑体"/>
                <w:spacing w:val="0"/>
                <w:position w:val="0"/>
                <w:szCs w:val="47"/>
              </w:rPr>
              <w:t>第七章</w:t>
            </w:r>
            <w:r>
              <w:rPr>
                <w:rFonts w:ascii="黑体" w:eastAsia="黑体" w:hAnsi="黑体" w:cs="黑体" w:hint="eastAsia"/>
                <w:spacing w:val="0"/>
                <w:position w:val="0"/>
                <w:szCs w:val="47"/>
                <w:lang w:eastAsia="zh-CN"/>
              </w:rPr>
              <w:t>、</w:t>
            </w:r>
            <w:r>
              <w:rPr>
                <w:rFonts w:ascii="黑体" w:eastAsia="黑体" w:hAnsi="黑体" w:cs="黑体"/>
                <w:spacing w:val="0"/>
                <w:position w:val="0"/>
                <w:szCs w:val="47"/>
              </w:rPr>
              <w:t>设备管</w:t>
            </w:r>
            <w:r>
              <w:rPr>
                <w:rFonts w:ascii="黑体" w:eastAsia="黑体" w:hAnsi="黑体" w:cs="黑体"/>
                <w:spacing w:val="0"/>
                <w:position w:val="0"/>
                <w:szCs w:val="47"/>
              </w:rPr>
              <w:t>理</w:t>
            </w:r>
            <w:r>
              <w:rPr>
                <w:spacing w:val="0"/>
                <w:position w:val="0"/>
              </w:rPr>
              <w:tab/>
            </w:r>
            <w:r>
              <w:rPr>
                <w:spacing w:val="0"/>
                <w:position w:val="0"/>
              </w:rPr>
              <w:fldChar w:fldCharType="begin"/>
            </w:r>
            <w:r>
              <w:rPr>
                <w:spacing w:val="0"/>
                <w:position w:val="0"/>
              </w:rPr>
              <w:instrText xml:space="preserve"> PAGEREF _Toc4207 \h </w:instrText>
            </w:r>
            <w:r>
              <w:rPr>
                <w:spacing w:val="0"/>
                <w:position w:val="0"/>
              </w:rPr>
              <w:fldChar w:fldCharType="separate"/>
            </w:r>
            <w:r>
              <w:rPr>
                <w:spacing w:val="0"/>
                <w:position w:val="0"/>
              </w:rPr>
              <w:t>17</w:t>
            </w:r>
            <w:r>
              <w:rPr>
                <w:spacing w:val="0"/>
                <w:position w:val="0"/>
              </w:rPr>
              <w:fldChar w:fldCharType="end"/>
            </w:r>
          </w:hyperlink>
        </w:p>
        <w:p>
          <w:pPr>
            <w:pStyle w:val="TOC1"/>
            <w:tabs>
              <w:tab w:val="right" w:leader="dot" w:pos="8311"/>
            </w:tabs>
            <w:rPr>
              <w:spacing w:val="0"/>
              <w:position w:val="0"/>
            </w:rPr>
          </w:pPr>
          <w:hyperlink w:anchor="_Toc8959" w:history="1">
            <w:r>
              <w:rPr>
                <w:rFonts w:ascii="黑体" w:eastAsia="黑体" w:hAnsi="黑体" w:cs="黑体"/>
                <w:spacing w:val="0"/>
                <w:position w:val="0"/>
                <w:szCs w:val="47"/>
              </w:rPr>
              <w:t>第八章</w:t>
            </w:r>
            <w:r>
              <w:rPr>
                <w:rFonts w:ascii="黑体" w:eastAsia="黑体" w:hAnsi="黑体" w:cs="黑体" w:hint="eastAsia"/>
                <w:spacing w:val="0"/>
                <w:position w:val="0"/>
                <w:szCs w:val="47"/>
                <w:lang w:eastAsia="zh-CN"/>
              </w:rPr>
              <w:t>、</w:t>
            </w:r>
            <w:r>
              <w:rPr>
                <w:rFonts w:ascii="黑体" w:eastAsia="黑体" w:hAnsi="黑体" w:cs="黑体"/>
                <w:spacing w:val="0"/>
                <w:position w:val="0"/>
                <w:szCs w:val="47"/>
              </w:rPr>
              <w:t>分包管</w:t>
            </w:r>
            <w:r>
              <w:rPr>
                <w:rFonts w:ascii="黑体" w:eastAsia="黑体" w:hAnsi="黑体" w:cs="黑体"/>
                <w:spacing w:val="0"/>
                <w:position w:val="0"/>
                <w:szCs w:val="47"/>
              </w:rPr>
              <w:t>理</w:t>
            </w:r>
            <w:r>
              <w:rPr>
                <w:spacing w:val="0"/>
                <w:position w:val="0"/>
              </w:rPr>
              <w:tab/>
            </w:r>
            <w:r>
              <w:rPr>
                <w:spacing w:val="0"/>
                <w:position w:val="0"/>
              </w:rPr>
              <w:fldChar w:fldCharType="begin"/>
            </w:r>
            <w:r>
              <w:rPr>
                <w:spacing w:val="0"/>
                <w:position w:val="0"/>
              </w:rPr>
              <w:instrText xml:space="preserve"> PAGEREF _Toc8959 \h </w:instrText>
            </w:r>
            <w:r>
              <w:rPr>
                <w:spacing w:val="0"/>
                <w:position w:val="0"/>
              </w:rPr>
              <w:fldChar w:fldCharType="separate"/>
            </w:r>
            <w:r>
              <w:rPr>
                <w:spacing w:val="0"/>
                <w:position w:val="0"/>
              </w:rPr>
              <w:t>19</w:t>
            </w:r>
            <w:r>
              <w:rPr>
                <w:spacing w:val="0"/>
                <w:position w:val="0"/>
              </w:rPr>
              <w:fldChar w:fldCharType="end"/>
            </w:r>
          </w:hyperlink>
        </w:p>
        <w:p>
          <w:pPr>
            <w:pStyle w:val="TOC1"/>
            <w:tabs>
              <w:tab w:val="right" w:leader="dot" w:pos="8311"/>
            </w:tabs>
            <w:rPr>
              <w:spacing w:val="0"/>
              <w:position w:val="0"/>
            </w:rPr>
          </w:pPr>
          <w:hyperlink w:anchor="_Toc11459" w:history="1">
            <w:r>
              <w:rPr>
                <w:rFonts w:ascii="黑体" w:eastAsia="黑体" w:hAnsi="黑体" w:cs="黑体"/>
                <w:spacing w:val="0"/>
                <w:position w:val="0"/>
                <w:szCs w:val="47"/>
              </w:rPr>
              <w:t>第九章</w:t>
            </w:r>
            <w:r>
              <w:rPr>
                <w:rFonts w:ascii="黑体" w:eastAsia="黑体" w:hAnsi="黑体" w:cs="黑体" w:hint="eastAsia"/>
                <w:spacing w:val="0"/>
                <w:position w:val="0"/>
                <w:szCs w:val="47"/>
                <w:lang w:eastAsia="zh-CN"/>
              </w:rPr>
              <w:t>、</w:t>
            </w:r>
            <w:r>
              <w:rPr>
                <w:rFonts w:ascii="黑体" w:eastAsia="黑体" w:hAnsi="黑体" w:cs="黑体"/>
                <w:spacing w:val="0"/>
                <w:position w:val="0"/>
                <w:szCs w:val="47"/>
              </w:rPr>
              <w:t>进度管</w:t>
            </w:r>
            <w:r>
              <w:rPr>
                <w:rFonts w:ascii="黑体" w:eastAsia="黑体" w:hAnsi="黑体" w:cs="黑体"/>
                <w:spacing w:val="0"/>
                <w:position w:val="0"/>
                <w:szCs w:val="47"/>
              </w:rPr>
              <w:t>理</w:t>
            </w:r>
            <w:r>
              <w:rPr>
                <w:spacing w:val="0"/>
                <w:position w:val="0"/>
              </w:rPr>
              <w:tab/>
            </w:r>
            <w:r>
              <w:rPr>
                <w:spacing w:val="0"/>
                <w:position w:val="0"/>
              </w:rPr>
              <w:fldChar w:fldCharType="begin"/>
            </w:r>
            <w:r>
              <w:rPr>
                <w:spacing w:val="0"/>
                <w:position w:val="0"/>
              </w:rPr>
              <w:instrText xml:space="preserve"> PAGEREF _Toc11459 \h </w:instrText>
            </w:r>
            <w:r>
              <w:rPr>
                <w:spacing w:val="0"/>
                <w:position w:val="0"/>
              </w:rPr>
              <w:fldChar w:fldCharType="separate"/>
            </w:r>
            <w:r>
              <w:rPr>
                <w:spacing w:val="0"/>
                <w:position w:val="0"/>
              </w:rPr>
              <w:t>21</w:t>
            </w:r>
            <w:r>
              <w:rPr>
                <w:spacing w:val="0"/>
                <w:position w:val="0"/>
              </w:rPr>
              <w:fldChar w:fldCharType="end"/>
            </w:r>
          </w:hyperlink>
        </w:p>
        <w:p>
          <w:pPr>
            <w:pStyle w:val="TOC1"/>
            <w:tabs>
              <w:tab w:val="right" w:leader="dot" w:pos="8311"/>
            </w:tabs>
            <w:rPr>
              <w:spacing w:val="0"/>
              <w:position w:val="0"/>
            </w:rPr>
          </w:pPr>
          <w:hyperlink w:anchor="_Toc26316" w:history="1">
            <w:r>
              <w:rPr>
                <w:rFonts w:ascii="黑体" w:eastAsia="黑体" w:hAnsi="黑体" w:cs="黑体"/>
                <w:spacing w:val="0"/>
                <w:position w:val="0"/>
                <w:szCs w:val="47"/>
              </w:rPr>
              <w:t>第十章</w:t>
            </w:r>
            <w:r>
              <w:rPr>
                <w:rFonts w:ascii="黑体" w:eastAsia="黑体" w:hAnsi="黑体" w:cs="黑体" w:hint="eastAsia"/>
                <w:spacing w:val="0"/>
                <w:position w:val="0"/>
                <w:szCs w:val="47"/>
                <w:lang w:eastAsia="zh-CN"/>
              </w:rPr>
              <w:t>、</w:t>
            </w:r>
            <w:r>
              <w:rPr>
                <w:rFonts w:ascii="黑体" w:eastAsia="黑体" w:hAnsi="黑体" w:cs="黑体"/>
                <w:spacing w:val="0"/>
                <w:position w:val="0"/>
                <w:szCs w:val="47"/>
              </w:rPr>
              <w:t>技术管</w:t>
            </w:r>
            <w:r>
              <w:rPr>
                <w:rFonts w:ascii="黑体" w:eastAsia="黑体" w:hAnsi="黑体" w:cs="黑体"/>
                <w:spacing w:val="0"/>
                <w:position w:val="0"/>
                <w:szCs w:val="47"/>
              </w:rPr>
              <w:t>理</w:t>
            </w:r>
            <w:r>
              <w:rPr>
                <w:spacing w:val="0"/>
                <w:position w:val="0"/>
              </w:rPr>
              <w:tab/>
            </w:r>
            <w:r>
              <w:rPr>
                <w:spacing w:val="0"/>
                <w:position w:val="0"/>
              </w:rPr>
              <w:fldChar w:fldCharType="begin"/>
            </w:r>
            <w:r>
              <w:rPr>
                <w:spacing w:val="0"/>
                <w:position w:val="0"/>
              </w:rPr>
              <w:instrText xml:space="preserve"> PAGEREF _Toc26316 \h </w:instrText>
            </w:r>
            <w:r>
              <w:rPr>
                <w:spacing w:val="0"/>
                <w:position w:val="0"/>
              </w:rPr>
              <w:fldChar w:fldCharType="separate"/>
            </w:r>
            <w:r>
              <w:rPr>
                <w:spacing w:val="0"/>
                <w:position w:val="0"/>
              </w:rPr>
              <w:t>23</w:t>
            </w:r>
            <w:r>
              <w:rPr>
                <w:spacing w:val="0"/>
                <w:position w:val="0"/>
              </w:rPr>
              <w:fldChar w:fldCharType="end"/>
            </w:r>
          </w:hyperlink>
        </w:p>
        <w:p>
          <w:pPr>
            <w:pStyle w:val="TOC1"/>
            <w:tabs>
              <w:tab w:val="right" w:leader="dot" w:pos="8311"/>
            </w:tabs>
            <w:rPr>
              <w:spacing w:val="0"/>
              <w:position w:val="0"/>
            </w:rPr>
          </w:pPr>
          <w:hyperlink w:anchor="_Toc8094" w:history="1">
            <w:r>
              <w:rPr>
                <w:rFonts w:ascii="黑体" w:eastAsia="黑体" w:hAnsi="黑体" w:cs="黑体"/>
                <w:spacing w:val="0"/>
                <w:position w:val="0"/>
                <w:szCs w:val="47"/>
              </w:rPr>
              <w:t>第</w:t>
            </w:r>
            <w:r>
              <w:rPr>
                <w:rFonts w:ascii="黑体" w:eastAsia="黑体" w:hAnsi="黑体" w:cs="黑体"/>
                <w:spacing w:val="0"/>
                <w:position w:val="0"/>
                <w:szCs w:val="47"/>
              </w:rPr>
              <w:t>十一章</w:t>
            </w:r>
            <w:r>
              <w:rPr>
                <w:rFonts w:ascii="黑体" w:eastAsia="黑体" w:hAnsi="黑体" w:cs="黑体" w:hint="eastAsia"/>
                <w:spacing w:val="0"/>
                <w:position w:val="0"/>
                <w:szCs w:val="47"/>
                <w:lang w:eastAsia="zh-CN"/>
              </w:rPr>
              <w:t>、</w:t>
            </w:r>
            <w:r>
              <w:rPr>
                <w:rFonts w:ascii="黑体" w:eastAsia="黑体" w:hAnsi="黑体" w:cs="黑体"/>
                <w:spacing w:val="0"/>
                <w:position w:val="0"/>
                <w:szCs w:val="47"/>
              </w:rPr>
              <w:t>安全管理</w:t>
            </w:r>
            <w:r>
              <w:rPr>
                <w:spacing w:val="0"/>
                <w:position w:val="0"/>
              </w:rPr>
              <w:tab/>
            </w:r>
            <w:r>
              <w:rPr>
                <w:spacing w:val="0"/>
                <w:position w:val="0"/>
              </w:rPr>
              <w:fldChar w:fldCharType="begin"/>
            </w:r>
            <w:r>
              <w:rPr>
                <w:spacing w:val="0"/>
                <w:position w:val="0"/>
              </w:rPr>
              <w:instrText xml:space="preserve"> PAGEREF _Toc8094 \h </w:instrText>
            </w:r>
            <w:r>
              <w:rPr>
                <w:spacing w:val="0"/>
                <w:position w:val="0"/>
              </w:rPr>
              <w:fldChar w:fldCharType="separate"/>
            </w:r>
            <w:r>
              <w:rPr>
                <w:spacing w:val="0"/>
                <w:position w:val="0"/>
              </w:rPr>
              <w:t>30</w:t>
            </w:r>
            <w:r>
              <w:rPr>
                <w:spacing w:val="0"/>
                <w:position w:val="0"/>
              </w:rPr>
              <w:fldChar w:fldCharType="end"/>
            </w:r>
          </w:hyperlink>
        </w:p>
        <w:p>
          <w:pPr>
            <w:pStyle w:val="TOC1"/>
            <w:tabs>
              <w:tab w:val="right" w:leader="dot" w:pos="8311"/>
            </w:tabs>
            <w:rPr>
              <w:spacing w:val="0"/>
              <w:position w:val="0"/>
            </w:rPr>
          </w:pPr>
          <w:hyperlink w:anchor="_Toc14739" w:history="1">
            <w:r>
              <w:rPr>
                <w:rFonts w:ascii="黑体" w:eastAsia="黑体" w:hAnsi="黑体" w:cs="黑体"/>
                <w:spacing w:val="0"/>
                <w:position w:val="0"/>
                <w:szCs w:val="47"/>
              </w:rPr>
              <w:t>第</w:t>
            </w:r>
            <w:r>
              <w:rPr>
                <w:rFonts w:ascii="黑体" w:eastAsia="黑体" w:hAnsi="黑体" w:cs="黑体"/>
                <w:spacing w:val="0"/>
                <w:position w:val="0"/>
                <w:szCs w:val="47"/>
              </w:rPr>
              <w:t>十二章</w:t>
            </w:r>
            <w:r>
              <w:rPr>
                <w:rFonts w:ascii="黑体" w:eastAsia="黑体" w:hAnsi="黑体" w:cs="黑体" w:hint="eastAsia"/>
                <w:spacing w:val="0"/>
                <w:position w:val="0"/>
                <w:szCs w:val="47"/>
                <w:lang w:eastAsia="zh-CN"/>
              </w:rPr>
              <w:t>、</w:t>
            </w:r>
            <w:r>
              <w:rPr>
                <w:rFonts w:ascii="黑体" w:eastAsia="黑体" w:hAnsi="黑体" w:cs="黑体"/>
                <w:spacing w:val="0"/>
                <w:position w:val="0"/>
                <w:szCs w:val="47"/>
              </w:rPr>
              <w:t>质量管理</w:t>
            </w:r>
            <w:r>
              <w:rPr>
                <w:spacing w:val="0"/>
                <w:position w:val="0"/>
              </w:rPr>
              <w:tab/>
            </w:r>
            <w:r>
              <w:rPr>
                <w:spacing w:val="0"/>
                <w:position w:val="0"/>
              </w:rPr>
              <w:fldChar w:fldCharType="begin"/>
            </w:r>
            <w:r>
              <w:rPr>
                <w:spacing w:val="0"/>
                <w:position w:val="0"/>
              </w:rPr>
              <w:instrText xml:space="preserve"> PAGEREF _Toc14739 \h </w:instrText>
            </w:r>
            <w:r>
              <w:rPr>
                <w:spacing w:val="0"/>
                <w:position w:val="0"/>
              </w:rPr>
              <w:fldChar w:fldCharType="separate"/>
            </w:r>
            <w:r>
              <w:rPr>
                <w:spacing w:val="0"/>
                <w:position w:val="0"/>
              </w:rPr>
              <w:t>32</w:t>
            </w:r>
            <w:r>
              <w:rPr>
                <w:spacing w:val="0"/>
                <w:position w:val="0"/>
              </w:rPr>
              <w:fldChar w:fldCharType="end"/>
            </w:r>
          </w:hyperlink>
        </w:p>
        <w:p>
          <w:pPr>
            <w:pStyle w:val="TOC1"/>
            <w:tabs>
              <w:tab w:val="right" w:leader="dot" w:pos="8311"/>
            </w:tabs>
            <w:rPr>
              <w:spacing w:val="0"/>
              <w:position w:val="0"/>
            </w:rPr>
          </w:pPr>
          <w:hyperlink w:anchor="_Toc29414" w:history="1">
            <w:r>
              <w:rPr>
                <w:rFonts w:ascii="黑体" w:eastAsia="黑体" w:hAnsi="黑体" w:cs="黑体"/>
                <w:spacing w:val="0"/>
                <w:position w:val="0"/>
                <w:szCs w:val="47"/>
              </w:rPr>
              <w:t>第十三章</w:t>
            </w:r>
            <w:r>
              <w:rPr>
                <w:rFonts w:ascii="黑体" w:eastAsia="黑体" w:hAnsi="黑体" w:cs="黑体" w:hint="eastAsia"/>
                <w:spacing w:val="0"/>
                <w:position w:val="0"/>
                <w:szCs w:val="47"/>
                <w:lang w:eastAsia="zh-CN"/>
              </w:rPr>
              <w:t>、</w:t>
            </w:r>
            <w:r>
              <w:rPr>
                <w:rFonts w:ascii="黑体" w:eastAsia="黑体" w:hAnsi="黑体" w:cs="黑体"/>
                <w:spacing w:val="0"/>
                <w:position w:val="0"/>
                <w:szCs w:val="47"/>
              </w:rPr>
              <w:t>环境职业健康卫生管</w:t>
            </w:r>
            <w:r>
              <w:rPr>
                <w:rFonts w:ascii="黑体" w:eastAsia="黑体" w:hAnsi="黑体" w:cs="黑体"/>
                <w:spacing w:val="0"/>
                <w:position w:val="0"/>
                <w:szCs w:val="47"/>
              </w:rPr>
              <w:t>理</w:t>
            </w:r>
            <w:r>
              <w:rPr>
                <w:spacing w:val="0"/>
                <w:position w:val="0"/>
              </w:rPr>
              <w:tab/>
            </w:r>
            <w:r>
              <w:rPr>
                <w:spacing w:val="0"/>
                <w:position w:val="0"/>
              </w:rPr>
              <w:fldChar w:fldCharType="begin"/>
            </w:r>
            <w:r>
              <w:rPr>
                <w:spacing w:val="0"/>
                <w:position w:val="0"/>
              </w:rPr>
              <w:instrText xml:space="preserve"> PAGEREF _Toc29414 \h </w:instrText>
            </w:r>
            <w:r>
              <w:rPr>
                <w:spacing w:val="0"/>
                <w:position w:val="0"/>
              </w:rPr>
              <w:fldChar w:fldCharType="separate"/>
            </w:r>
            <w:r>
              <w:rPr>
                <w:spacing w:val="0"/>
                <w:position w:val="0"/>
              </w:rPr>
              <w:t>33</w:t>
            </w:r>
            <w:r>
              <w:rPr>
                <w:spacing w:val="0"/>
                <w:position w:val="0"/>
              </w:rPr>
              <w:fldChar w:fldCharType="end"/>
            </w:r>
          </w:hyperlink>
        </w:p>
        <w:p>
          <w:pPr>
            <w:pStyle w:val="TOC1"/>
            <w:tabs>
              <w:tab w:val="right" w:leader="dot" w:pos="8311"/>
            </w:tabs>
            <w:rPr>
              <w:spacing w:val="0"/>
              <w:position w:val="0"/>
            </w:rPr>
          </w:pPr>
          <w:hyperlink w:anchor="_Toc29704" w:history="1">
            <w:r>
              <w:rPr>
                <w:rFonts w:ascii="黑体" w:eastAsia="黑体" w:hAnsi="黑体" w:cs="黑体"/>
                <w:spacing w:val="0"/>
                <w:position w:val="0"/>
                <w:szCs w:val="47"/>
              </w:rPr>
              <w:t>第</w:t>
            </w:r>
            <w:r>
              <w:rPr>
                <w:rFonts w:ascii="黑体" w:eastAsia="黑体" w:hAnsi="黑体" w:cs="黑体"/>
                <w:spacing w:val="0"/>
                <w:position w:val="0"/>
                <w:szCs w:val="47"/>
              </w:rPr>
              <w:t>十四章</w:t>
            </w:r>
            <w:r>
              <w:rPr>
                <w:rFonts w:ascii="黑体" w:eastAsia="黑体" w:hAnsi="黑体" w:cs="黑体" w:hint="eastAsia"/>
                <w:spacing w:val="0"/>
                <w:position w:val="0"/>
                <w:szCs w:val="47"/>
                <w:lang w:eastAsia="zh-CN"/>
              </w:rPr>
              <w:t>、</w:t>
            </w:r>
            <w:r>
              <w:rPr>
                <w:rFonts w:ascii="黑体" w:eastAsia="黑体" w:hAnsi="黑体" w:cs="黑体"/>
                <w:spacing w:val="0"/>
                <w:position w:val="0"/>
                <w:szCs w:val="47"/>
              </w:rPr>
              <w:t>财务管理</w:t>
            </w:r>
            <w:r>
              <w:rPr>
                <w:spacing w:val="0"/>
                <w:position w:val="0"/>
              </w:rPr>
              <w:tab/>
            </w:r>
            <w:r>
              <w:rPr>
                <w:spacing w:val="0"/>
                <w:position w:val="0"/>
              </w:rPr>
              <w:fldChar w:fldCharType="begin"/>
            </w:r>
            <w:r>
              <w:rPr>
                <w:spacing w:val="0"/>
                <w:position w:val="0"/>
              </w:rPr>
              <w:instrText xml:space="preserve"> PAGEREF _Toc29704 \h </w:instrText>
            </w:r>
            <w:r>
              <w:rPr>
                <w:spacing w:val="0"/>
                <w:position w:val="0"/>
              </w:rPr>
              <w:fldChar w:fldCharType="separate"/>
            </w:r>
            <w:r>
              <w:rPr>
                <w:spacing w:val="0"/>
                <w:position w:val="0"/>
              </w:rPr>
              <w:t>34</w:t>
            </w:r>
            <w:r>
              <w:rPr>
                <w:spacing w:val="0"/>
                <w:position w:val="0"/>
              </w:rPr>
              <w:fldChar w:fldCharType="end"/>
            </w:r>
          </w:hyperlink>
        </w:p>
        <w:p>
          <w:pPr>
            <w:pStyle w:val="TOC1"/>
            <w:tabs>
              <w:tab w:val="right" w:leader="dot" w:pos="8311"/>
            </w:tabs>
            <w:rPr>
              <w:spacing w:val="0"/>
              <w:position w:val="0"/>
            </w:rPr>
          </w:pPr>
          <w:hyperlink w:anchor="_Toc24891" w:history="1">
            <w:r>
              <w:rPr>
                <w:rFonts w:ascii="黑体" w:eastAsia="黑体" w:hAnsi="黑体" w:cs="黑体"/>
                <w:spacing w:val="0"/>
                <w:position w:val="0"/>
                <w:szCs w:val="47"/>
              </w:rPr>
              <w:t>第</w:t>
            </w:r>
            <w:r>
              <w:rPr>
                <w:rFonts w:ascii="黑体" w:eastAsia="黑体" w:hAnsi="黑体" w:cs="黑体"/>
                <w:spacing w:val="0"/>
                <w:position w:val="0"/>
                <w:szCs w:val="47"/>
              </w:rPr>
              <w:t>十</w:t>
            </w:r>
            <w:r>
              <w:rPr>
                <w:rFonts w:ascii="黑体" w:eastAsia="黑体" w:hAnsi="黑体" w:cs="黑体"/>
                <w:spacing w:val="0"/>
                <w:position w:val="0"/>
                <w:szCs w:val="47"/>
              </w:rPr>
              <w:t>五章</w:t>
            </w:r>
            <w:r>
              <w:rPr>
                <w:rFonts w:ascii="黑体" w:eastAsia="黑体" w:hAnsi="黑体" w:cs="黑体" w:hint="eastAsia"/>
                <w:spacing w:val="0"/>
                <w:position w:val="0"/>
                <w:szCs w:val="47"/>
                <w:lang w:eastAsia="zh-CN"/>
              </w:rPr>
              <w:t>、</w:t>
            </w:r>
            <w:r>
              <w:rPr>
                <w:rFonts w:ascii="黑体" w:eastAsia="黑体" w:hAnsi="黑体" w:cs="黑体"/>
                <w:spacing w:val="0"/>
                <w:position w:val="0"/>
                <w:szCs w:val="47"/>
              </w:rPr>
              <w:t>薪酬与绩效管理</w:t>
            </w:r>
            <w:r>
              <w:rPr>
                <w:spacing w:val="0"/>
                <w:position w:val="0"/>
              </w:rPr>
              <w:tab/>
            </w:r>
            <w:r>
              <w:rPr>
                <w:spacing w:val="0"/>
                <w:position w:val="0"/>
              </w:rPr>
              <w:fldChar w:fldCharType="begin"/>
            </w:r>
            <w:r>
              <w:rPr>
                <w:spacing w:val="0"/>
                <w:position w:val="0"/>
              </w:rPr>
              <w:instrText xml:space="preserve"> PAGEREF _Toc24891 \h </w:instrText>
            </w:r>
            <w:r>
              <w:rPr>
                <w:spacing w:val="0"/>
                <w:position w:val="0"/>
              </w:rPr>
              <w:fldChar w:fldCharType="separate"/>
            </w:r>
            <w:r>
              <w:rPr>
                <w:spacing w:val="0"/>
                <w:position w:val="0"/>
              </w:rPr>
              <w:t>39</w:t>
            </w:r>
            <w:r>
              <w:rPr>
                <w:spacing w:val="0"/>
                <w:position w:val="0"/>
              </w:rPr>
              <w:fldChar w:fldCharType="end"/>
            </w:r>
          </w:hyperlink>
        </w:p>
        <w:p>
          <w:pPr>
            <w:pStyle w:val="TOC1"/>
            <w:tabs>
              <w:tab w:val="right" w:leader="dot" w:pos="8311"/>
            </w:tabs>
            <w:rPr>
              <w:spacing w:val="0"/>
              <w:position w:val="0"/>
            </w:rPr>
          </w:pPr>
          <w:hyperlink w:anchor="_Toc8202" w:history="1">
            <w:r>
              <w:rPr>
                <w:rFonts w:ascii="黑体" w:eastAsia="黑体" w:hAnsi="黑体" w:cs="黑体"/>
                <w:spacing w:val="0"/>
                <w:position w:val="0"/>
                <w:szCs w:val="47"/>
              </w:rPr>
              <w:t>第</w:t>
            </w:r>
            <w:r>
              <w:rPr>
                <w:rFonts w:ascii="黑体" w:eastAsia="黑体" w:hAnsi="黑体" w:cs="黑体"/>
                <w:spacing w:val="0"/>
                <w:position w:val="0"/>
                <w:szCs w:val="47"/>
              </w:rPr>
              <w:t>十</w:t>
            </w:r>
            <w:r>
              <w:rPr>
                <w:rFonts w:ascii="黑体" w:eastAsia="黑体" w:hAnsi="黑体" w:cs="黑体"/>
                <w:spacing w:val="0"/>
                <w:position w:val="0"/>
                <w:szCs w:val="47"/>
              </w:rPr>
              <w:t>六章</w:t>
            </w:r>
            <w:r>
              <w:rPr>
                <w:rFonts w:ascii="黑体" w:eastAsia="黑体" w:hAnsi="黑体" w:cs="黑体" w:hint="eastAsia"/>
                <w:spacing w:val="0"/>
                <w:position w:val="0"/>
                <w:szCs w:val="47"/>
                <w:lang w:eastAsia="zh-CN"/>
              </w:rPr>
              <w:t>、</w:t>
            </w:r>
            <w:r>
              <w:rPr>
                <w:rFonts w:ascii="黑体" w:eastAsia="黑体" w:hAnsi="黑体" w:cs="黑体"/>
                <w:spacing w:val="0"/>
                <w:position w:val="0"/>
                <w:szCs w:val="47"/>
              </w:rPr>
              <w:t>审计与监察管理</w:t>
            </w:r>
            <w:r>
              <w:rPr>
                <w:spacing w:val="0"/>
                <w:position w:val="0"/>
              </w:rPr>
              <w:tab/>
            </w:r>
            <w:r>
              <w:rPr>
                <w:spacing w:val="0"/>
                <w:position w:val="0"/>
              </w:rPr>
              <w:fldChar w:fldCharType="begin"/>
            </w:r>
            <w:r>
              <w:rPr>
                <w:spacing w:val="0"/>
                <w:position w:val="0"/>
              </w:rPr>
              <w:instrText xml:space="preserve"> PAGEREF _Toc8202 \h </w:instrText>
            </w:r>
            <w:r>
              <w:rPr>
                <w:spacing w:val="0"/>
                <w:position w:val="0"/>
              </w:rPr>
              <w:fldChar w:fldCharType="separate"/>
            </w:r>
            <w:r>
              <w:rPr>
                <w:spacing w:val="0"/>
                <w:position w:val="0"/>
              </w:rPr>
              <w:t>41</w:t>
            </w:r>
            <w:r>
              <w:rPr>
                <w:spacing w:val="0"/>
                <w:position w:val="0"/>
              </w:rPr>
              <w:fldChar w:fldCharType="end"/>
            </w:r>
          </w:hyperlink>
        </w:p>
        <w:p>
          <w:pPr>
            <w:pStyle w:val="TOC1"/>
            <w:tabs>
              <w:tab w:val="right" w:leader="dot" w:pos="8311"/>
            </w:tabs>
            <w:rPr>
              <w:spacing w:val="0"/>
              <w:position w:val="0"/>
            </w:rPr>
          </w:pPr>
          <w:hyperlink w:anchor="_Toc2009" w:history="1">
            <w:r>
              <w:rPr>
                <w:rFonts w:ascii="黑体" w:eastAsia="黑体" w:hAnsi="黑体" w:cs="黑体"/>
                <w:spacing w:val="0"/>
                <w:position w:val="0"/>
                <w:szCs w:val="47"/>
              </w:rPr>
              <w:t>第</w:t>
            </w:r>
            <w:r>
              <w:rPr>
                <w:rFonts w:ascii="黑体" w:eastAsia="黑体" w:hAnsi="黑体" w:cs="黑体"/>
                <w:spacing w:val="0"/>
                <w:position w:val="0"/>
                <w:szCs w:val="47"/>
              </w:rPr>
              <w:t>十七章</w:t>
            </w:r>
            <w:r>
              <w:rPr>
                <w:rFonts w:ascii="黑体" w:eastAsia="黑体" w:hAnsi="黑体" w:cs="黑体" w:hint="eastAsia"/>
                <w:spacing w:val="0"/>
                <w:position w:val="0"/>
                <w:szCs w:val="47"/>
                <w:lang w:eastAsia="zh-CN"/>
              </w:rPr>
              <w:t>、</w:t>
            </w:r>
            <w:r>
              <w:rPr>
                <w:rFonts w:ascii="黑体" w:eastAsia="黑体" w:hAnsi="黑体" w:cs="黑体"/>
                <w:spacing w:val="0"/>
                <w:position w:val="0"/>
                <w:szCs w:val="47"/>
              </w:rPr>
              <w:t>综合事务管理</w:t>
            </w:r>
            <w:r>
              <w:rPr>
                <w:spacing w:val="0"/>
                <w:position w:val="0"/>
              </w:rPr>
              <w:tab/>
            </w:r>
            <w:r>
              <w:rPr>
                <w:spacing w:val="0"/>
                <w:position w:val="0"/>
              </w:rPr>
              <w:fldChar w:fldCharType="begin"/>
            </w:r>
            <w:r>
              <w:rPr>
                <w:spacing w:val="0"/>
                <w:position w:val="0"/>
              </w:rPr>
              <w:instrText xml:space="preserve"> PAGEREF _Toc2009 \h </w:instrText>
            </w:r>
            <w:r>
              <w:rPr>
                <w:spacing w:val="0"/>
                <w:position w:val="0"/>
              </w:rPr>
              <w:fldChar w:fldCharType="separate"/>
            </w:r>
            <w:r>
              <w:rPr>
                <w:spacing w:val="0"/>
                <w:position w:val="0"/>
              </w:rPr>
              <w:t>43</w:t>
            </w:r>
            <w:r>
              <w:rPr>
                <w:spacing w:val="0"/>
                <w:position w:val="0"/>
              </w:rPr>
              <w:fldChar w:fldCharType="end"/>
            </w:r>
          </w:hyperlink>
        </w:p>
        <w:p>
          <w:pPr>
            <w:pStyle w:val="TOC1"/>
            <w:tabs>
              <w:tab w:val="right" w:leader="dot" w:pos="8311"/>
            </w:tabs>
            <w:rPr>
              <w:spacing w:val="0"/>
              <w:position w:val="0"/>
            </w:rPr>
          </w:pPr>
          <w:hyperlink w:anchor="_Toc32108" w:history="1">
            <w:r>
              <w:rPr>
                <w:rFonts w:ascii="黑体" w:eastAsia="黑体" w:hAnsi="黑体" w:cs="黑体"/>
                <w:spacing w:val="0"/>
                <w:position w:val="0"/>
                <w:szCs w:val="47"/>
              </w:rPr>
              <w:t>第</w:t>
            </w:r>
            <w:r>
              <w:rPr>
                <w:rFonts w:ascii="黑体" w:eastAsia="黑体" w:hAnsi="黑体" w:cs="黑体"/>
                <w:spacing w:val="0"/>
                <w:position w:val="0"/>
                <w:szCs w:val="47"/>
              </w:rPr>
              <w:t>十八章</w:t>
            </w:r>
            <w:r>
              <w:rPr>
                <w:rFonts w:ascii="黑体" w:eastAsia="黑体" w:hAnsi="黑体" w:cs="黑体" w:hint="eastAsia"/>
                <w:spacing w:val="0"/>
                <w:position w:val="0"/>
                <w:szCs w:val="47"/>
                <w:lang w:eastAsia="zh-CN"/>
              </w:rPr>
              <w:t>、</w:t>
            </w:r>
            <w:r>
              <w:rPr>
                <w:rFonts w:ascii="黑体" w:eastAsia="黑体" w:hAnsi="黑体" w:cs="黑体"/>
                <w:spacing w:val="0"/>
                <w:position w:val="0"/>
                <w:szCs w:val="47"/>
              </w:rPr>
              <w:t>收尾管理</w:t>
            </w:r>
            <w:r>
              <w:rPr>
                <w:spacing w:val="0"/>
                <w:position w:val="0"/>
              </w:rPr>
              <w:tab/>
            </w:r>
            <w:r>
              <w:rPr>
                <w:spacing w:val="0"/>
                <w:position w:val="0"/>
              </w:rPr>
              <w:fldChar w:fldCharType="begin"/>
            </w:r>
            <w:r>
              <w:rPr>
                <w:spacing w:val="0"/>
                <w:position w:val="0"/>
              </w:rPr>
              <w:instrText xml:space="preserve"> PAGEREF _Toc32108 \h </w:instrText>
            </w:r>
            <w:r>
              <w:rPr>
                <w:spacing w:val="0"/>
                <w:position w:val="0"/>
              </w:rPr>
              <w:fldChar w:fldCharType="separate"/>
            </w:r>
            <w:r>
              <w:rPr>
                <w:spacing w:val="0"/>
                <w:position w:val="0"/>
              </w:rPr>
              <w:t>45</w:t>
            </w:r>
            <w:r>
              <w:rPr>
                <w:spacing w:val="0"/>
                <w:position w:val="0"/>
              </w:rPr>
              <w:fldChar w:fldCharType="end"/>
            </w:r>
          </w:hyperlink>
        </w:p>
        <w:p>
          <w:pPr>
            <w:pStyle w:val="TOC1"/>
            <w:tabs>
              <w:tab w:val="right" w:leader="dot" w:pos="8311"/>
            </w:tabs>
            <w:rPr>
              <w:spacing w:val="0"/>
              <w:position w:val="0"/>
            </w:rPr>
          </w:pPr>
          <w:hyperlink w:anchor="_Toc2210" w:history="1">
            <w:r>
              <w:rPr>
                <w:rFonts w:ascii="黑体" w:eastAsia="黑体" w:hAnsi="黑体" w:cs="黑体"/>
                <w:spacing w:val="0"/>
                <w:position w:val="0"/>
                <w:szCs w:val="47"/>
              </w:rPr>
              <w:t>第</w:t>
            </w:r>
            <w:r>
              <w:rPr>
                <w:rFonts w:ascii="黑体" w:eastAsia="黑体" w:hAnsi="黑体" w:cs="黑体"/>
                <w:spacing w:val="0"/>
                <w:position w:val="0"/>
                <w:szCs w:val="47"/>
              </w:rPr>
              <w:t>十九章</w:t>
            </w:r>
            <w:r>
              <w:rPr>
                <w:rFonts w:ascii="黑体" w:eastAsia="黑体" w:hAnsi="黑体" w:cs="黑体" w:hint="eastAsia"/>
                <w:spacing w:val="0"/>
                <w:position w:val="0"/>
                <w:szCs w:val="47"/>
                <w:lang w:eastAsia="zh-CN"/>
              </w:rPr>
              <w:t>、</w:t>
            </w:r>
            <w:r>
              <w:rPr>
                <w:rFonts w:ascii="黑体" w:eastAsia="黑体" w:hAnsi="黑体" w:cs="黑体"/>
                <w:spacing w:val="0"/>
                <w:position w:val="0"/>
                <w:szCs w:val="47"/>
              </w:rPr>
              <w:t>作业层建设</w:t>
            </w:r>
            <w:r>
              <w:rPr>
                <w:spacing w:val="0"/>
                <w:position w:val="0"/>
              </w:rPr>
              <w:tab/>
            </w:r>
            <w:r>
              <w:rPr>
                <w:spacing w:val="0"/>
                <w:position w:val="0"/>
              </w:rPr>
              <w:fldChar w:fldCharType="begin"/>
            </w:r>
            <w:r>
              <w:rPr>
                <w:spacing w:val="0"/>
                <w:position w:val="0"/>
              </w:rPr>
              <w:instrText xml:space="preserve"> PAGEREF _Toc2210 \h </w:instrText>
            </w:r>
            <w:r>
              <w:rPr>
                <w:spacing w:val="0"/>
                <w:position w:val="0"/>
              </w:rPr>
              <w:fldChar w:fldCharType="separate"/>
            </w:r>
            <w:r>
              <w:rPr>
                <w:spacing w:val="0"/>
                <w:position w:val="0"/>
              </w:rPr>
              <w:t>48</w:t>
            </w:r>
            <w:r>
              <w:rPr>
                <w:spacing w:val="0"/>
                <w:position w:val="0"/>
              </w:rPr>
              <w:fldChar w:fldCharType="end"/>
            </w:r>
          </w:hyperlink>
        </w:p>
        <w:p>
          <w:pPr>
            <w:pStyle w:val="TOC1"/>
            <w:tabs>
              <w:tab w:val="right" w:leader="dot" w:pos="8311"/>
            </w:tabs>
            <w:rPr>
              <w:spacing w:val="0"/>
              <w:position w:val="0"/>
            </w:rPr>
          </w:pPr>
          <w:hyperlink w:anchor="_Toc2655" w:history="1">
            <w:r>
              <w:rPr>
                <w:rFonts w:ascii="黑体" w:eastAsia="黑体" w:hAnsi="黑体" w:cs="黑体"/>
                <w:spacing w:val="0"/>
                <w:position w:val="0"/>
                <w:szCs w:val="47"/>
              </w:rPr>
              <w:t>第</w:t>
            </w:r>
            <w:r>
              <w:rPr>
                <w:rFonts w:ascii="黑体" w:eastAsia="黑体" w:hAnsi="黑体" w:cs="黑体"/>
                <w:spacing w:val="0"/>
                <w:position w:val="0"/>
                <w:szCs w:val="47"/>
              </w:rPr>
              <w:t>二十章</w:t>
            </w:r>
            <w:r>
              <w:rPr>
                <w:rFonts w:ascii="黑体" w:eastAsia="黑体" w:hAnsi="黑体" w:cs="黑体" w:hint="eastAsia"/>
                <w:spacing w:val="0"/>
                <w:position w:val="0"/>
                <w:szCs w:val="47"/>
                <w:lang w:eastAsia="zh-CN"/>
              </w:rPr>
              <w:t>、</w:t>
            </w:r>
            <w:r>
              <w:rPr>
                <w:rFonts w:ascii="黑体" w:eastAsia="黑体" w:hAnsi="黑体" w:cs="黑体"/>
                <w:spacing w:val="0"/>
                <w:position w:val="0"/>
                <w:szCs w:val="47"/>
              </w:rPr>
              <w:t>项目文化建设</w:t>
            </w:r>
            <w:r>
              <w:rPr>
                <w:spacing w:val="0"/>
                <w:position w:val="0"/>
              </w:rPr>
              <w:tab/>
            </w:r>
            <w:r>
              <w:rPr>
                <w:spacing w:val="0"/>
                <w:position w:val="0"/>
              </w:rPr>
              <w:fldChar w:fldCharType="begin"/>
            </w:r>
            <w:r>
              <w:rPr>
                <w:spacing w:val="0"/>
                <w:position w:val="0"/>
              </w:rPr>
              <w:instrText xml:space="preserve"> PAGEREF _Toc2655 \h </w:instrText>
            </w:r>
            <w:r>
              <w:rPr>
                <w:spacing w:val="0"/>
                <w:position w:val="0"/>
              </w:rPr>
              <w:fldChar w:fldCharType="separate"/>
            </w:r>
            <w:r>
              <w:rPr>
                <w:spacing w:val="0"/>
                <w:position w:val="0"/>
              </w:rPr>
              <w:t>49</w:t>
            </w:r>
            <w:r>
              <w:rPr>
                <w:spacing w:val="0"/>
                <w:position w:val="0"/>
              </w:rPr>
              <w:fldChar w:fldCharType="end"/>
            </w:r>
          </w:hyperlink>
        </w:p>
        <w:p>
          <w:pPr>
            <w:pStyle w:val="TOC1"/>
            <w:tabs>
              <w:tab w:val="right" w:leader="dot" w:pos="8311"/>
            </w:tabs>
            <w:rPr>
              <w:spacing w:val="0"/>
              <w:position w:val="0"/>
            </w:rPr>
          </w:pPr>
          <w:hyperlink w:anchor="_Toc9592" w:history="1">
            <w:r>
              <w:rPr>
                <w:rFonts w:ascii="黑体" w:eastAsia="黑体" w:hAnsi="黑体" w:cs="黑体"/>
                <w:spacing w:val="0"/>
                <w:position w:val="0"/>
                <w:szCs w:val="47"/>
              </w:rPr>
              <w:t>第</w:t>
            </w:r>
            <w:r>
              <w:rPr>
                <w:rFonts w:ascii="黑体" w:eastAsia="黑体" w:hAnsi="黑体" w:cs="黑体"/>
                <w:spacing w:val="0"/>
                <w:position w:val="0"/>
                <w:szCs w:val="47"/>
              </w:rPr>
              <w:t>二十一章</w:t>
            </w:r>
            <w:r>
              <w:rPr>
                <w:rFonts w:ascii="黑体" w:eastAsia="黑体" w:hAnsi="黑体" w:cs="黑体" w:hint="eastAsia"/>
                <w:spacing w:val="0"/>
                <w:position w:val="0"/>
                <w:szCs w:val="47"/>
                <w:lang w:eastAsia="zh-CN"/>
              </w:rPr>
              <w:t>、</w:t>
            </w:r>
            <w:r>
              <w:rPr>
                <w:rFonts w:ascii="黑体" w:eastAsia="黑体" w:hAnsi="黑体" w:cs="黑体"/>
                <w:spacing w:val="0"/>
                <w:position w:val="0"/>
                <w:szCs w:val="47"/>
              </w:rPr>
              <w:t>后评价</w:t>
            </w:r>
            <w:r>
              <w:rPr>
                <w:spacing w:val="0"/>
                <w:position w:val="0"/>
              </w:rPr>
              <w:tab/>
            </w:r>
            <w:r>
              <w:rPr>
                <w:spacing w:val="0"/>
                <w:position w:val="0"/>
              </w:rPr>
              <w:fldChar w:fldCharType="begin"/>
            </w:r>
            <w:r>
              <w:rPr>
                <w:spacing w:val="0"/>
                <w:position w:val="0"/>
              </w:rPr>
              <w:instrText xml:space="preserve"> PAGEREF _Toc9592 \h </w:instrText>
            </w:r>
            <w:r>
              <w:rPr>
                <w:spacing w:val="0"/>
                <w:position w:val="0"/>
              </w:rPr>
              <w:fldChar w:fldCharType="separate"/>
            </w:r>
            <w:r>
              <w:rPr>
                <w:spacing w:val="0"/>
                <w:position w:val="0"/>
              </w:rPr>
              <w:t>50</w:t>
            </w:r>
            <w:r>
              <w:rPr>
                <w:spacing w:val="0"/>
                <w:position w:val="0"/>
              </w:rPr>
              <w:fldChar w:fldCharType="end"/>
            </w:r>
          </w:hyperlink>
        </w:p>
        <w:p>
          <w:pPr>
            <w:pStyle w:val="TOC1"/>
            <w:tabs>
              <w:tab w:val="right" w:leader="dot" w:pos="8311"/>
            </w:tabs>
            <w:rPr>
              <w:spacing w:val="0"/>
              <w:position w:val="0"/>
            </w:rPr>
            <w:sectPr>
              <w:footerReference w:type="default" r:id="rId7"/>
              <w:footerReference w:type="first" r:id="rId8"/>
              <w:type w:val="nextPage"/>
              <w:pgSz w:w="11905" w:h="16838"/>
              <w:pgMar w:top="1440" w:right="1797" w:bottom="1440" w:left="1797" w:header="0" w:footer="1565" w:gutter="0"/>
              <w:pgNumType w:fmt="decimal" w:start="1"/>
              <w:cols w:num="1" w:space="0"/>
              <w:titlePg w:val="0"/>
              <w:rtlGutter w:val="0"/>
              <w:docGrid w:linePitch="0" w:charSpace="0"/>
            </w:sectPr>
          </w:pPr>
          <w:hyperlink w:anchor="_Toc5100" w:history="1">
            <w:r>
              <w:rPr>
                <w:rFonts w:ascii="黑体" w:eastAsia="黑体" w:hAnsi="黑体" w:cs="黑体"/>
                <w:spacing w:val="0"/>
                <w:position w:val="0"/>
                <w:szCs w:val="47"/>
              </w:rPr>
              <w:t>第</w:t>
            </w:r>
            <w:r>
              <w:rPr>
                <w:rFonts w:ascii="黑体" w:eastAsia="黑体" w:hAnsi="黑体" w:cs="黑体"/>
                <w:spacing w:val="0"/>
                <w:position w:val="0"/>
                <w:szCs w:val="47"/>
              </w:rPr>
              <w:t>二十二章</w:t>
            </w:r>
            <w:r>
              <w:rPr>
                <w:rFonts w:ascii="黑体" w:eastAsia="黑体" w:hAnsi="黑体" w:cs="黑体" w:hint="eastAsia"/>
                <w:spacing w:val="0"/>
                <w:position w:val="0"/>
                <w:szCs w:val="47"/>
                <w:lang w:eastAsia="zh-CN"/>
              </w:rPr>
              <w:t>、</w:t>
            </w:r>
            <w:r>
              <w:rPr>
                <w:rFonts w:ascii="黑体" w:eastAsia="黑体" w:hAnsi="黑体" w:cs="黑体"/>
                <w:spacing w:val="0"/>
                <w:position w:val="0"/>
                <w:szCs w:val="47"/>
              </w:rPr>
              <w:t>监督与检查</w:t>
            </w:r>
            <w:r>
              <w:rPr>
                <w:spacing w:val="0"/>
                <w:position w:val="0"/>
              </w:rPr>
              <w:tab/>
            </w:r>
            <w:r>
              <w:rPr>
                <w:spacing w:val="0"/>
                <w:position w:val="0"/>
              </w:rPr>
              <w:fldChar w:fldCharType="begin"/>
            </w:r>
            <w:r>
              <w:rPr>
                <w:spacing w:val="0"/>
                <w:position w:val="0"/>
              </w:rPr>
              <w:instrText xml:space="preserve"> PAGEREF _Toc5100 \h </w:instrText>
            </w:r>
            <w:r>
              <w:rPr>
                <w:spacing w:val="0"/>
                <w:position w:val="0"/>
              </w:rPr>
              <w:fldChar w:fldCharType="separate"/>
            </w:r>
            <w:r>
              <w:rPr>
                <w:spacing w:val="0"/>
                <w:position w:val="0"/>
              </w:rPr>
              <w:t>51</w:t>
            </w:r>
            <w:r>
              <w:rPr>
                <w:spacing w:val="0"/>
                <w:position w:val="0"/>
              </w:rPr>
              <w:fldChar w:fldCharType="end"/>
            </w:r>
          </w:hyperlink>
          <w:r>
            <w:rPr>
              <w:spacing w:val="0"/>
              <w:position w:val="0"/>
              <w:szCs w:val="22"/>
            </w:rPr>
            <w:fldChar w:fldCharType="end"/>
          </w:r>
        </w:p>
      </w:sdtContent>
    </w:sdt>
    <w:p>
      <w:pPr>
        <w:pStyle w:val="Heading1"/>
        <w:widowControl w:val="0"/>
        <w:kinsoku w:val="0"/>
        <w:wordWrap/>
        <w:overflowPunct/>
        <w:topLinePunct w:val="0"/>
        <w:autoSpaceDE w:val="0"/>
        <w:autoSpaceDN w:val="0"/>
        <w:bidi w:val="0"/>
        <w:adjustRightInd w:val="0"/>
        <w:snapToGrid w:val="0"/>
        <w:textAlignment w:val="baseline"/>
        <w:rPr>
          <w:rFonts w:ascii="黑体" w:eastAsia="黑体" w:hAnsi="黑体" w:cs="黑体"/>
          <w:spacing w:val="0"/>
          <w:position w:val="0"/>
          <w:sz w:val="47"/>
          <w:szCs w:val="47"/>
        </w:rPr>
      </w:pPr>
      <w:bookmarkStart w:id="5" w:name="_Toc20894"/>
      <w:bookmarkStart w:id="6" w:name="_Toc10179"/>
      <w:bookmarkStart w:id="7" w:name="_Toc30549"/>
      <w:r>
        <w:rPr>
          <w:rFonts w:ascii="黑体" w:eastAsia="黑体" w:hAnsi="黑体" w:cs="黑体"/>
          <w:spacing w:val="0"/>
          <w:position w:val="0"/>
          <w:sz w:val="47"/>
          <w:szCs w:val="47"/>
        </w:rPr>
        <w:t>第一</w:t>
      </w:r>
      <w:r>
        <w:rPr>
          <w:rFonts w:ascii="黑体" w:eastAsia="黑体" w:hAnsi="黑体" w:cs="黑体"/>
          <w:spacing w:val="0"/>
          <w:position w:val="0"/>
          <w:sz w:val="47"/>
          <w:szCs w:val="47"/>
        </w:rPr>
        <w:t>章</w:t>
      </w:r>
      <w:r>
        <w:rPr>
          <w:rFonts w:ascii="黑体" w:eastAsia="黑体" w:hAnsi="黑体" w:cs="黑体" w:hint="eastAsia"/>
          <w:spacing w:val="0"/>
          <w:position w:val="0"/>
          <w:sz w:val="47"/>
          <w:szCs w:val="47"/>
          <w:lang w:eastAsia="zh-CN"/>
        </w:rPr>
        <w:t>、</w:t>
      </w:r>
      <w:r>
        <w:rPr>
          <w:rFonts w:ascii="黑体" w:eastAsia="黑体" w:hAnsi="黑体" w:cs="黑体"/>
          <w:spacing w:val="0"/>
          <w:position w:val="0"/>
          <w:sz w:val="47"/>
          <w:szCs w:val="47"/>
        </w:rPr>
        <w:t>简介</w:t>
      </w:r>
      <w:bookmarkEnd w:id="5"/>
      <w:bookmarkEnd w:id="6"/>
      <w:bookmarkEnd w:id="7"/>
    </w:p>
    <w:p>
      <w:pPr>
        <w:widowControl w:val="0"/>
        <w:kinsoku w:val="0"/>
        <w:wordWrap/>
        <w:overflowPunct/>
        <w:topLinePunct w:val="0"/>
        <w:autoSpaceDE w:val="0"/>
        <w:autoSpaceDN w:val="0"/>
        <w:bidi w:val="0"/>
        <w:adjustRightInd w:val="0"/>
        <w:snapToGrid w:val="0"/>
        <w:spacing w:before="213" w:line="360" w:lineRule="auto"/>
        <w:ind w:left="62" w:right="26" w:firstLine="975"/>
        <w:textAlignment w:val="baseline"/>
        <w:rPr>
          <w:rFonts w:ascii="宋体" w:hAnsi="宋体" w:cs="宋体" w:hint="eastAsia"/>
          <w:spacing w:val="0"/>
          <w:position w:val="0"/>
          <w:szCs w:val="24"/>
        </w:rPr>
      </w:pPr>
      <w:r>
        <w:rPr>
          <w:rFonts w:ascii="宋体" w:eastAsia="宋体" w:hAnsi="宋体" w:cs="宋体" w:hint="eastAsia"/>
          <w:spacing w:val="0"/>
          <w:position w:val="0"/>
          <w:sz w:val="24"/>
          <w:szCs w:val="24"/>
        </w:rPr>
        <w:t>第</w:t>
      </w:r>
      <w:r>
        <w:rPr>
          <w:rFonts w:ascii="宋体" w:eastAsia="宋体" w:hAnsi="宋体" w:cs="宋体" w:hint="eastAsia"/>
          <w:spacing w:val="0"/>
          <w:position w:val="0"/>
          <w:sz w:val="24"/>
          <w:szCs w:val="24"/>
        </w:rPr>
        <w:t>一条</w:t>
      </w:r>
      <w:r>
        <w:rPr>
          <w:rFonts w:ascii="宋体" w:hAnsi="宋体" w:cs="宋体" w:hint="eastAsia"/>
          <w:spacing w:val="0"/>
          <w:position w:val="0"/>
          <w:sz w:val="24"/>
          <w:szCs w:val="24"/>
          <w:lang w:eastAsia="zh-CN"/>
        </w:rPr>
        <w:t>、</w:t>
      </w:r>
      <w:r>
        <w:rPr>
          <w:rFonts w:ascii="宋体" w:eastAsia="宋体" w:hAnsi="宋体" w:cs="宋体" w:hint="eastAsia"/>
          <w:spacing w:val="0"/>
          <w:position w:val="0"/>
          <w:sz w:val="24"/>
          <w:szCs w:val="24"/>
        </w:rPr>
        <w:t>为加强工程项目管理，规范项目管理行为，健</w:t>
      </w:r>
      <w:r>
        <w:rPr>
          <w:rFonts w:ascii="宋体" w:eastAsia="宋体" w:hAnsi="宋体" w:cs="宋体" w:hint="eastAsia"/>
          <w:spacing w:val="0"/>
          <w:position w:val="0"/>
          <w:sz w:val="24"/>
          <w:szCs w:val="24"/>
        </w:rPr>
        <w:t>全</w:t>
      </w:r>
      <w:r>
        <w:rPr>
          <w:rFonts w:ascii="宋体" w:eastAsia="宋体" w:hAnsi="宋体" w:cs="宋体" w:hint="eastAsia"/>
          <w:spacing w:val="0"/>
          <w:position w:val="0"/>
          <w:sz w:val="24"/>
          <w:szCs w:val="24"/>
        </w:rPr>
        <w:t>项</w:t>
      </w:r>
      <w:r>
        <w:rPr>
          <w:rFonts w:ascii="宋体" w:eastAsia="宋体" w:hAnsi="宋体" w:cs="宋体" w:hint="eastAsia"/>
          <w:spacing w:val="0"/>
          <w:position w:val="0"/>
          <w:sz w:val="24"/>
          <w:szCs w:val="24"/>
        </w:rPr>
        <w:t>目管理体系，提高工程项目管理水平和盈利能力，特制</w:t>
      </w:r>
      <w:r>
        <w:rPr>
          <w:rFonts w:ascii="宋体" w:eastAsia="宋体" w:hAnsi="宋体" w:cs="宋体" w:hint="eastAsia"/>
          <w:spacing w:val="0"/>
          <w:position w:val="0"/>
          <w:sz w:val="24"/>
          <w:szCs w:val="24"/>
        </w:rPr>
        <w:t>定</w:t>
      </w:r>
      <w:r>
        <w:rPr>
          <w:rFonts w:ascii="宋体" w:eastAsia="宋体" w:hAnsi="宋体" w:cs="宋体" w:hint="eastAsia"/>
          <w:spacing w:val="0"/>
          <w:position w:val="0"/>
          <w:sz w:val="24"/>
          <w:szCs w:val="24"/>
        </w:rPr>
        <w:t>本办法。</w:t>
      </w:r>
    </w:p>
    <w:p>
      <w:pPr>
        <w:widowControl w:val="0"/>
        <w:kinsoku w:val="0"/>
        <w:wordWrap/>
        <w:overflowPunct/>
        <w:topLinePunct w:val="0"/>
        <w:autoSpaceDE w:val="0"/>
        <w:autoSpaceDN w:val="0"/>
        <w:bidi w:val="0"/>
        <w:adjustRightInd w:val="0"/>
        <w:snapToGrid w:val="0"/>
        <w:spacing w:before="10" w:line="360" w:lineRule="auto"/>
        <w:ind w:left="51" w:right="22" w:firstLine="986"/>
        <w:textAlignment w:val="baseline"/>
        <w:rPr>
          <w:rFonts w:ascii="宋体" w:hAnsi="宋体" w:cs="宋体" w:hint="eastAsia"/>
          <w:spacing w:val="0"/>
          <w:position w:val="0"/>
          <w:szCs w:val="24"/>
        </w:rPr>
      </w:pPr>
      <w:r>
        <w:rPr>
          <w:rFonts w:ascii="宋体" w:eastAsia="宋体" w:hAnsi="宋体" w:cs="宋体" w:hint="eastAsia"/>
          <w:spacing w:val="0"/>
          <w:position w:val="0"/>
          <w:sz w:val="24"/>
          <w:szCs w:val="24"/>
        </w:rPr>
        <w:t>第</w:t>
      </w:r>
      <w:r>
        <w:rPr>
          <w:rFonts w:ascii="宋体" w:eastAsia="宋体" w:hAnsi="宋体" w:cs="宋体" w:hint="eastAsia"/>
          <w:spacing w:val="0"/>
          <w:position w:val="0"/>
          <w:sz w:val="24"/>
          <w:szCs w:val="24"/>
        </w:rPr>
        <w:t>二条</w:t>
      </w:r>
      <w:r>
        <w:rPr>
          <w:rFonts w:ascii="宋体" w:hAnsi="宋体" w:cs="宋体" w:hint="eastAsia"/>
          <w:spacing w:val="0"/>
          <w:position w:val="0"/>
          <w:sz w:val="24"/>
          <w:szCs w:val="24"/>
          <w:lang w:eastAsia="zh-CN"/>
        </w:rPr>
        <w:t>、</w:t>
      </w:r>
      <w:r>
        <w:rPr>
          <w:rFonts w:ascii="宋体" w:eastAsia="宋体" w:hAnsi="宋体" w:cs="宋体" w:hint="eastAsia"/>
          <w:spacing w:val="0"/>
          <w:position w:val="0"/>
          <w:sz w:val="24"/>
          <w:szCs w:val="24"/>
        </w:rPr>
        <w:t>工程项目管理遵循“集约化、标准化、精细化、</w:t>
      </w:r>
      <w:r>
        <w:rPr>
          <w:rFonts w:ascii="宋体" w:eastAsia="宋体" w:hAnsi="宋体" w:cs="宋体" w:hint="eastAsia"/>
          <w:spacing w:val="0"/>
          <w:position w:val="0"/>
          <w:sz w:val="24"/>
          <w:szCs w:val="24"/>
        </w:rPr>
        <w:t>全员、全过程、全覆盖”原则，标准化、精细化突出体现</w:t>
      </w:r>
      <w:r>
        <w:rPr>
          <w:rFonts w:ascii="宋体" w:eastAsia="宋体" w:hAnsi="宋体" w:cs="宋体" w:hint="eastAsia"/>
          <w:spacing w:val="0"/>
          <w:position w:val="0"/>
          <w:sz w:val="24"/>
          <w:szCs w:val="24"/>
        </w:rPr>
        <w:t>在</w:t>
      </w:r>
      <w:r>
        <w:rPr>
          <w:rFonts w:ascii="宋体" w:eastAsia="宋体" w:hAnsi="宋体" w:cs="宋体" w:hint="eastAsia"/>
          <w:spacing w:val="0"/>
          <w:position w:val="0"/>
          <w:sz w:val="24"/>
          <w:szCs w:val="24"/>
        </w:rPr>
        <w:t>项目管理层级化、要素管控集约化、资源配置市场化、产</w:t>
      </w:r>
      <w:r>
        <w:rPr>
          <w:rFonts w:ascii="宋体" w:eastAsia="宋体" w:hAnsi="宋体" w:cs="宋体" w:hint="eastAsia"/>
          <w:spacing w:val="0"/>
          <w:position w:val="0"/>
          <w:sz w:val="24"/>
          <w:szCs w:val="24"/>
        </w:rPr>
        <w:t>品</w:t>
      </w:r>
      <w:r>
        <w:rPr>
          <w:rFonts w:ascii="宋体" w:eastAsia="宋体" w:hAnsi="宋体" w:cs="宋体" w:hint="eastAsia"/>
          <w:spacing w:val="0"/>
          <w:position w:val="0"/>
          <w:sz w:val="24"/>
          <w:szCs w:val="24"/>
        </w:rPr>
        <w:t>清单预算化、管理责任矩阵化、成本控制精细化、管理流</w:t>
      </w:r>
      <w:r>
        <w:rPr>
          <w:rFonts w:ascii="宋体" w:eastAsia="宋体" w:hAnsi="宋体" w:cs="宋体" w:hint="eastAsia"/>
          <w:spacing w:val="0"/>
          <w:position w:val="0"/>
          <w:sz w:val="24"/>
          <w:szCs w:val="24"/>
        </w:rPr>
        <w:t>程</w:t>
      </w:r>
      <w:r>
        <w:rPr>
          <w:rFonts w:ascii="宋体" w:eastAsia="宋体" w:hAnsi="宋体" w:cs="宋体" w:hint="eastAsia"/>
          <w:spacing w:val="0"/>
          <w:position w:val="0"/>
          <w:sz w:val="24"/>
          <w:szCs w:val="24"/>
        </w:rPr>
        <w:t>标准化、作业队伍组织化、管理报告格式化、经济活动分</w:t>
      </w:r>
      <w:r>
        <w:rPr>
          <w:rFonts w:ascii="宋体" w:eastAsia="宋体" w:hAnsi="宋体" w:cs="宋体" w:hint="eastAsia"/>
          <w:spacing w:val="0"/>
          <w:position w:val="0"/>
          <w:sz w:val="24"/>
          <w:szCs w:val="24"/>
        </w:rPr>
        <w:t>析</w:t>
      </w:r>
      <w:r>
        <w:rPr>
          <w:rFonts w:ascii="宋体" w:eastAsia="宋体" w:hAnsi="宋体" w:cs="宋体" w:hint="eastAsia"/>
          <w:spacing w:val="0"/>
          <w:position w:val="0"/>
          <w:sz w:val="24"/>
          <w:szCs w:val="24"/>
        </w:rPr>
        <w:t>制度化、绩效考核科学化、管理手段信息化、团队理念国</w:t>
      </w:r>
      <w:r>
        <w:rPr>
          <w:rFonts w:ascii="宋体" w:eastAsia="宋体" w:hAnsi="宋体" w:cs="宋体" w:hint="eastAsia"/>
          <w:spacing w:val="0"/>
          <w:position w:val="0"/>
          <w:sz w:val="24"/>
          <w:szCs w:val="24"/>
        </w:rPr>
        <w:t>际</w:t>
      </w:r>
      <w:r>
        <w:rPr>
          <w:rFonts w:ascii="宋体" w:eastAsia="宋体" w:hAnsi="宋体" w:cs="宋体" w:hint="eastAsia"/>
          <w:spacing w:val="0"/>
          <w:position w:val="0"/>
          <w:sz w:val="24"/>
          <w:szCs w:val="24"/>
        </w:rPr>
        <w:t>化</w:t>
      </w:r>
      <w:r>
        <w:rPr>
          <w:rFonts w:ascii="宋体" w:eastAsia="宋体" w:hAnsi="宋体" w:cs="宋体" w:hint="eastAsia"/>
          <w:spacing w:val="0"/>
          <w:position w:val="0"/>
          <w:sz w:val="24"/>
          <w:szCs w:val="24"/>
        </w:rPr>
        <w:t>等</w:t>
      </w:r>
      <w:r>
        <w:rPr>
          <w:rFonts w:ascii="宋体" w:eastAsia="宋体" w:hAnsi="宋体" w:cs="宋体" w:hint="eastAsia"/>
          <w:spacing w:val="0"/>
          <w:position w:val="0"/>
          <w:sz w:val="24"/>
          <w:szCs w:val="24"/>
        </w:rPr>
        <w:t>“13化”管理内容。</w:t>
      </w:r>
    </w:p>
    <w:p>
      <w:pPr>
        <w:widowControl w:val="0"/>
        <w:kinsoku w:val="0"/>
        <w:wordWrap/>
        <w:overflowPunct/>
        <w:topLinePunct w:val="0"/>
        <w:autoSpaceDE w:val="0"/>
        <w:autoSpaceDN w:val="0"/>
        <w:bidi w:val="0"/>
        <w:adjustRightInd w:val="0"/>
        <w:snapToGrid w:val="0"/>
        <w:spacing w:before="15" w:line="360" w:lineRule="auto"/>
        <w:ind w:left="55" w:right="26" w:firstLine="983"/>
        <w:textAlignment w:val="baseline"/>
        <w:rPr>
          <w:rFonts w:ascii="宋体" w:hAnsi="宋体" w:cs="宋体" w:hint="eastAsia"/>
          <w:spacing w:val="0"/>
          <w:position w:val="0"/>
          <w:szCs w:val="24"/>
        </w:rPr>
        <w:sectPr>
          <w:footerReference w:type="default" r:id="rId9"/>
          <w:footerReference w:type="first" r:id="rId10"/>
          <w:type w:val="nextPage"/>
          <w:pgSz w:w="11905" w:h="16838"/>
          <w:pgMar w:top="1440" w:right="1797" w:bottom="1440" w:left="1797" w:header="0" w:footer="1565" w:gutter="0"/>
          <w:pgNumType w:fmt="decimal" w:start="2"/>
          <w:cols w:num="1" w:space="0"/>
          <w:titlePg w:val="0"/>
          <w:rtlGutter w:val="0"/>
          <w:docGrid w:linePitch="0" w:charSpace="0"/>
        </w:sectPr>
      </w:pPr>
      <w:r>
        <w:rPr>
          <w:rFonts w:ascii="宋体" w:eastAsia="宋体" w:hAnsi="宋体" w:cs="宋体" w:hint="eastAsia"/>
          <w:spacing w:val="0"/>
          <w:position w:val="0"/>
          <w:sz w:val="24"/>
          <w:szCs w:val="24"/>
        </w:rPr>
        <w:t>第三条</w:t>
      </w:r>
      <w:r>
        <w:rPr>
          <w:rFonts w:ascii="宋体" w:hAnsi="宋体" w:cs="宋体" w:hint="eastAsia"/>
          <w:spacing w:val="0"/>
          <w:position w:val="0"/>
          <w:sz w:val="24"/>
          <w:szCs w:val="24"/>
          <w:lang w:eastAsia="zh-CN"/>
        </w:rPr>
        <w:t>、</w:t>
      </w:r>
      <w:r>
        <w:rPr>
          <w:rFonts w:ascii="宋体" w:eastAsia="宋体" w:hAnsi="宋体" w:cs="宋体" w:hint="eastAsia"/>
          <w:spacing w:val="0"/>
          <w:position w:val="0"/>
          <w:sz w:val="24"/>
          <w:szCs w:val="24"/>
        </w:rPr>
        <w:t>项目管理集约化突出体现在“12大集中”管控</w:t>
      </w:r>
      <w:r>
        <w:rPr>
          <w:rFonts w:ascii="宋体" w:eastAsia="宋体" w:hAnsi="宋体" w:cs="宋体" w:hint="eastAsia"/>
          <w:spacing w:val="0"/>
          <w:position w:val="0"/>
          <w:sz w:val="24"/>
          <w:szCs w:val="24"/>
        </w:rPr>
        <w:t>，</w:t>
      </w:r>
      <w:r>
        <w:rPr>
          <w:rFonts w:ascii="宋体" w:eastAsia="宋体" w:hAnsi="宋体" w:cs="宋体" w:hint="eastAsia"/>
          <w:spacing w:val="0"/>
          <w:position w:val="0"/>
          <w:sz w:val="24"/>
          <w:szCs w:val="24"/>
        </w:rPr>
        <w:t>包括</w:t>
      </w:r>
      <w:r>
        <w:rPr>
          <w:rFonts w:ascii="宋体" w:eastAsia="宋体" w:hAnsi="宋体" w:cs="宋体" w:hint="eastAsia"/>
          <w:spacing w:val="0"/>
          <w:position w:val="0"/>
          <w:sz w:val="24"/>
          <w:szCs w:val="24"/>
        </w:rPr>
        <w:t>：</w:t>
      </w:r>
      <w:r>
        <w:rPr>
          <w:rFonts w:ascii="宋体" w:eastAsia="宋体" w:hAnsi="宋体" w:cs="宋体" w:hint="eastAsia"/>
          <w:spacing w:val="0"/>
          <w:position w:val="0"/>
          <w:sz w:val="24"/>
          <w:szCs w:val="24"/>
        </w:rPr>
        <w:t>物资集中采购配送、设备集中采购和租赁、劳务分包</w:t>
      </w:r>
      <w:r>
        <w:rPr>
          <w:rFonts w:ascii="宋体" w:eastAsia="宋体" w:hAnsi="宋体" w:cs="宋体" w:hint="eastAsia"/>
          <w:spacing w:val="0"/>
          <w:position w:val="0"/>
          <w:sz w:val="24"/>
          <w:szCs w:val="24"/>
        </w:rPr>
        <w:t>集中</w:t>
      </w:r>
      <w:r>
        <w:rPr>
          <w:rFonts w:ascii="宋体" w:eastAsia="宋体" w:hAnsi="宋体" w:cs="宋体" w:hint="eastAsia"/>
          <w:spacing w:val="0"/>
          <w:position w:val="0"/>
          <w:sz w:val="24"/>
          <w:szCs w:val="24"/>
        </w:rPr>
        <w:t>管理、资金集中管理、施工组织设计集中管理、限价集</w:t>
      </w:r>
      <w:r>
        <w:rPr>
          <w:rFonts w:ascii="宋体" w:eastAsia="宋体" w:hAnsi="宋体" w:cs="宋体" w:hint="eastAsia"/>
          <w:spacing w:val="0"/>
          <w:position w:val="0"/>
          <w:sz w:val="24"/>
          <w:szCs w:val="24"/>
        </w:rPr>
        <w:t>中管</w:t>
      </w:r>
      <w:r>
        <w:rPr>
          <w:rFonts w:ascii="宋体" w:eastAsia="宋体" w:hAnsi="宋体" w:cs="宋体" w:hint="eastAsia"/>
          <w:spacing w:val="0"/>
          <w:position w:val="0"/>
          <w:sz w:val="24"/>
          <w:szCs w:val="24"/>
        </w:rPr>
        <w:t>理</w:t>
      </w:r>
      <w:r>
        <w:rPr>
          <w:rFonts w:ascii="宋体" w:eastAsia="宋体" w:hAnsi="宋体" w:cs="宋体" w:hint="eastAsia"/>
          <w:spacing w:val="0"/>
          <w:position w:val="0"/>
          <w:sz w:val="24"/>
          <w:szCs w:val="24"/>
        </w:rPr>
        <w:t>、管理策划集中进行、责任成本集中管控、二次经营</w:t>
      </w:r>
      <w:r>
        <w:rPr>
          <w:rFonts w:ascii="宋体" w:eastAsia="宋体" w:hAnsi="宋体" w:cs="宋体" w:hint="eastAsia"/>
          <w:spacing w:val="0"/>
          <w:position w:val="0"/>
          <w:sz w:val="24"/>
          <w:szCs w:val="24"/>
        </w:rPr>
        <w:t>集中</w:t>
      </w:r>
      <w:r>
        <w:rPr>
          <w:rFonts w:ascii="宋体" w:eastAsia="宋体" w:hAnsi="宋体" w:cs="宋体" w:hint="eastAsia"/>
          <w:spacing w:val="0"/>
          <w:position w:val="0"/>
          <w:sz w:val="24"/>
          <w:szCs w:val="24"/>
        </w:rPr>
        <w:t>组织、合同集中管理、业务流程集中制定、督导检查集</w:t>
      </w:r>
      <w:r>
        <w:rPr>
          <w:rFonts w:ascii="宋体" w:eastAsia="宋体" w:hAnsi="宋体" w:cs="宋体" w:hint="eastAsia"/>
          <w:spacing w:val="0"/>
          <w:position w:val="0"/>
          <w:sz w:val="24"/>
          <w:szCs w:val="24"/>
        </w:rPr>
        <w:t>中进</w:t>
      </w:r>
      <w:r>
        <w:rPr>
          <w:rFonts w:ascii="宋体" w:eastAsia="宋体" w:hAnsi="宋体" w:cs="宋体" w:hint="eastAsia"/>
          <w:spacing w:val="0"/>
          <w:position w:val="0"/>
          <w:sz w:val="24"/>
          <w:szCs w:val="24"/>
        </w:rPr>
        <w:t>行。增强公司对项目的控制力，实现项目管理由前台管</w:t>
      </w:r>
      <w:r>
        <w:rPr>
          <w:rFonts w:ascii="宋体" w:eastAsia="宋体" w:hAnsi="宋体" w:cs="宋体" w:hint="eastAsia"/>
          <w:spacing w:val="0"/>
          <w:position w:val="0"/>
          <w:sz w:val="24"/>
          <w:szCs w:val="24"/>
        </w:rPr>
        <w:t>理</w:t>
      </w:r>
      <w:r>
        <w:rPr>
          <w:rFonts w:ascii="宋体" w:eastAsia="宋体" w:hAnsi="宋体" w:cs="宋体" w:hint="eastAsia"/>
          <w:spacing w:val="0"/>
          <w:position w:val="0"/>
          <w:sz w:val="24"/>
          <w:szCs w:val="24"/>
        </w:rPr>
        <w:t>向后台管控转变，提高项目运行质量。</w:t>
      </w:r>
    </w:p>
    <w:p>
      <w:pPr>
        <w:pStyle w:val="Heading1"/>
        <w:widowControl w:val="0"/>
        <w:kinsoku w:val="0"/>
        <w:wordWrap/>
        <w:overflowPunct/>
        <w:topLinePunct w:val="0"/>
        <w:autoSpaceDE w:val="0"/>
        <w:autoSpaceDN w:val="0"/>
        <w:bidi w:val="0"/>
        <w:adjustRightInd w:val="0"/>
        <w:snapToGrid w:val="0"/>
        <w:textAlignment w:val="baseline"/>
        <w:rPr>
          <w:rFonts w:ascii="黑体" w:eastAsia="黑体" w:hAnsi="黑体" w:cs="黑体"/>
          <w:spacing w:val="0"/>
          <w:position w:val="0"/>
          <w:sz w:val="47"/>
          <w:szCs w:val="47"/>
        </w:rPr>
      </w:pPr>
      <w:bookmarkStart w:id="8" w:name="_Toc28557"/>
      <w:bookmarkStart w:id="9" w:name="_Toc15372"/>
      <w:bookmarkStart w:id="10" w:name="_Toc26699"/>
      <w:r>
        <w:rPr>
          <w:rFonts w:ascii="黑体" w:eastAsia="黑体" w:hAnsi="黑体" w:cs="黑体"/>
          <w:spacing w:val="0"/>
          <w:position w:val="0"/>
          <w:sz w:val="47"/>
          <w:szCs w:val="47"/>
        </w:rPr>
        <w:t>第二章</w:t>
      </w:r>
      <w:r>
        <w:rPr>
          <w:rFonts w:ascii="黑体" w:eastAsia="黑体" w:hAnsi="黑体" w:cs="黑体" w:hint="eastAsia"/>
          <w:spacing w:val="0"/>
          <w:position w:val="0"/>
          <w:sz w:val="47"/>
          <w:szCs w:val="47"/>
          <w:lang w:eastAsia="zh-CN"/>
        </w:rPr>
        <w:t>、</w:t>
      </w:r>
      <w:r>
        <w:rPr>
          <w:rFonts w:ascii="黑体" w:eastAsia="黑体" w:hAnsi="黑体" w:cs="黑体"/>
          <w:spacing w:val="0"/>
          <w:position w:val="0"/>
          <w:sz w:val="47"/>
          <w:szCs w:val="47"/>
        </w:rPr>
        <w:t>前期策</w:t>
      </w:r>
      <w:r>
        <w:rPr>
          <w:rFonts w:ascii="黑体" w:eastAsia="黑体" w:hAnsi="黑体" w:cs="黑体"/>
          <w:spacing w:val="0"/>
          <w:position w:val="0"/>
          <w:sz w:val="47"/>
          <w:szCs w:val="47"/>
        </w:rPr>
        <w:t>划</w:t>
      </w:r>
      <w:bookmarkEnd w:id="8"/>
      <w:bookmarkEnd w:id="9"/>
      <w:bookmarkEnd w:id="10"/>
    </w:p>
    <w:p>
      <w:pPr>
        <w:widowControl w:val="0"/>
        <w:kinsoku w:val="0"/>
        <w:wordWrap/>
        <w:overflowPunct/>
        <w:topLinePunct w:val="0"/>
        <w:autoSpaceDE w:val="0"/>
        <w:autoSpaceDN w:val="0"/>
        <w:bidi w:val="0"/>
        <w:adjustRightInd w:val="0"/>
        <w:snapToGrid w:val="0"/>
        <w:spacing w:before="213" w:line="360" w:lineRule="auto"/>
        <w:ind w:left="62" w:right="26" w:firstLine="975"/>
        <w:textAlignment w:val="baseline"/>
        <w:rPr>
          <w:rFonts w:ascii="宋体" w:hAnsi="宋体" w:cs="宋体" w:hint="eastAsia"/>
          <w:spacing w:val="0"/>
          <w:position w:val="0"/>
          <w:szCs w:val="24"/>
        </w:rPr>
      </w:pPr>
      <w:r>
        <w:rPr>
          <w:rFonts w:ascii="宋体" w:eastAsia="宋体" w:hAnsi="宋体" w:cs="宋体" w:hint="eastAsia"/>
          <w:spacing w:val="0"/>
          <w:position w:val="0"/>
          <w:sz w:val="24"/>
          <w:szCs w:val="24"/>
        </w:rPr>
        <w:t>第四</w:t>
      </w:r>
      <w:r>
        <w:rPr>
          <w:rFonts w:ascii="宋体" w:hAnsi="宋体" w:cs="宋体" w:hint="eastAsia"/>
          <w:spacing w:val="0"/>
          <w:position w:val="0"/>
          <w:sz w:val="24"/>
          <w:szCs w:val="24"/>
          <w:lang w:eastAsia="zh-CN"/>
        </w:rPr>
        <w:t>条、</w:t>
      </w:r>
      <w:r>
        <w:rPr>
          <w:rFonts w:ascii="宋体" w:eastAsia="宋体" w:hAnsi="宋体" w:cs="宋体" w:hint="eastAsia"/>
          <w:spacing w:val="0"/>
          <w:position w:val="0"/>
          <w:sz w:val="24"/>
          <w:szCs w:val="24"/>
        </w:rPr>
        <w:t>施工调查营销交底后，公司应组织有关部门进行施工调查。1.人员组成公司分管领导牵头，工程管理部门组织，技术部门、市场营销部门、安全质量部门、人力资源部门、成本管理部门、物资机械部门和项目部参加，必要时邀请上级单位或专家参与。</w:t>
      </w:r>
    </w:p>
    <w:p>
      <w:pPr>
        <w:widowControl w:val="0"/>
        <w:kinsoku w:val="0"/>
        <w:wordWrap/>
        <w:overflowPunct/>
        <w:topLinePunct w:val="0"/>
        <w:autoSpaceDE w:val="0"/>
        <w:autoSpaceDN w:val="0"/>
        <w:bidi w:val="0"/>
        <w:adjustRightInd w:val="0"/>
        <w:snapToGrid w:val="0"/>
        <w:spacing w:before="213" w:line="360" w:lineRule="auto"/>
        <w:ind w:left="62" w:right="26" w:firstLine="975"/>
        <w:textAlignment w:val="baseline"/>
        <w:rPr>
          <w:rFonts w:ascii="宋体" w:hAnsi="宋体" w:cs="宋体" w:hint="eastAsia"/>
          <w:spacing w:val="0"/>
          <w:position w:val="0"/>
          <w:szCs w:val="24"/>
        </w:rPr>
      </w:pPr>
      <w:r>
        <w:rPr>
          <w:rFonts w:ascii="宋体" w:eastAsia="宋体" w:hAnsi="宋体" w:cs="宋体" w:hint="eastAsia"/>
          <w:spacing w:val="0"/>
          <w:position w:val="0"/>
          <w:sz w:val="24"/>
          <w:szCs w:val="24"/>
        </w:rPr>
        <w:t>2.施工调查内容：主要应包含工程概况、工程地质水文自然条件、施工现场勘察、施工方案的选择、重点工程情况、成本要素的调查、项目管理策划的基础信息、材料供应情况等。</w:t>
      </w:r>
    </w:p>
    <w:p>
      <w:pPr>
        <w:widowControl w:val="0"/>
        <w:kinsoku w:val="0"/>
        <w:wordWrap/>
        <w:overflowPunct/>
        <w:topLinePunct w:val="0"/>
        <w:autoSpaceDE w:val="0"/>
        <w:autoSpaceDN w:val="0"/>
        <w:bidi w:val="0"/>
        <w:adjustRightInd w:val="0"/>
        <w:snapToGrid w:val="0"/>
        <w:spacing w:before="213" w:line="360" w:lineRule="auto"/>
        <w:ind w:left="62" w:right="26" w:firstLine="975"/>
        <w:textAlignment w:val="baseline"/>
        <w:rPr>
          <w:rFonts w:ascii="宋体" w:hAnsi="宋体" w:cs="宋体" w:hint="eastAsia"/>
          <w:spacing w:val="0"/>
          <w:position w:val="0"/>
          <w:szCs w:val="24"/>
        </w:rPr>
      </w:pPr>
      <w:r>
        <w:rPr>
          <w:rFonts w:ascii="宋体" w:eastAsia="宋体" w:hAnsi="宋体" w:cs="宋体" w:hint="eastAsia"/>
          <w:spacing w:val="0"/>
          <w:position w:val="0"/>
          <w:sz w:val="24"/>
          <w:szCs w:val="24"/>
        </w:rPr>
        <w:t>3.施工调查报告施工调查报告作为管理交底、编制项目管理策划书和实施性施工组织设计的依据。</w:t>
      </w:r>
    </w:p>
    <w:p>
      <w:pPr>
        <w:widowControl w:val="0"/>
        <w:kinsoku w:val="0"/>
        <w:wordWrap/>
        <w:overflowPunct/>
        <w:topLinePunct w:val="0"/>
        <w:autoSpaceDE w:val="0"/>
        <w:autoSpaceDN w:val="0"/>
        <w:bidi w:val="0"/>
        <w:adjustRightInd w:val="0"/>
        <w:snapToGrid w:val="0"/>
        <w:spacing w:before="213" w:line="360" w:lineRule="auto"/>
        <w:ind w:left="62" w:right="26" w:firstLine="975"/>
        <w:textAlignment w:val="baseline"/>
        <w:rPr>
          <w:rFonts w:ascii="宋体" w:hAnsi="宋体" w:cs="宋体" w:hint="eastAsia"/>
          <w:spacing w:val="0"/>
          <w:position w:val="0"/>
          <w:szCs w:val="24"/>
        </w:rPr>
      </w:pPr>
      <w:r>
        <w:rPr>
          <w:rFonts w:ascii="宋体" w:eastAsia="宋体" w:hAnsi="宋体" w:cs="宋体" w:hint="eastAsia"/>
          <w:spacing w:val="0"/>
          <w:position w:val="0"/>
          <w:sz w:val="24"/>
          <w:szCs w:val="24"/>
        </w:rPr>
        <w:t>第五</w:t>
      </w:r>
      <w:r>
        <w:rPr>
          <w:rFonts w:ascii="宋体" w:hAnsi="宋体" w:cs="宋体" w:hint="eastAsia"/>
          <w:spacing w:val="0"/>
          <w:position w:val="0"/>
          <w:sz w:val="24"/>
          <w:szCs w:val="24"/>
          <w:lang w:eastAsia="zh-CN"/>
        </w:rPr>
        <w:t>条、</w:t>
      </w:r>
      <w:r>
        <w:rPr>
          <w:rFonts w:ascii="宋体" w:eastAsia="宋体" w:hAnsi="宋体" w:cs="宋体" w:hint="eastAsia"/>
          <w:spacing w:val="0"/>
          <w:position w:val="0"/>
          <w:sz w:val="24"/>
          <w:szCs w:val="24"/>
        </w:rPr>
        <w:t>项目管理策划书项目部根据合同、施工调查报告和公司管理交底及时组织有关人员研究编制《项目管理策划书》，经公司相关部门评审，分管领导审批后执行。</w:t>
      </w:r>
    </w:p>
    <w:p>
      <w:pPr>
        <w:widowControl w:val="0"/>
        <w:kinsoku w:val="0"/>
        <w:wordWrap/>
        <w:overflowPunct/>
        <w:topLinePunct w:val="0"/>
        <w:autoSpaceDE w:val="0"/>
        <w:autoSpaceDN w:val="0"/>
        <w:bidi w:val="0"/>
        <w:adjustRightInd w:val="0"/>
        <w:snapToGrid w:val="0"/>
        <w:spacing w:before="213" w:line="360" w:lineRule="auto"/>
        <w:ind w:left="62" w:right="26" w:firstLine="975"/>
        <w:textAlignment w:val="baseline"/>
        <w:rPr>
          <w:rFonts w:ascii="宋体" w:hAnsi="宋体" w:cs="宋体" w:hint="eastAsia"/>
          <w:spacing w:val="0"/>
          <w:position w:val="0"/>
          <w:szCs w:val="24"/>
        </w:rPr>
      </w:pPr>
      <w:r>
        <w:rPr>
          <w:rFonts w:ascii="宋体" w:eastAsia="宋体" w:hAnsi="宋体" w:cs="宋体" w:hint="eastAsia"/>
          <w:spacing w:val="0"/>
          <w:position w:val="0"/>
          <w:sz w:val="24"/>
          <w:szCs w:val="24"/>
        </w:rPr>
        <w:t>《项目管理策划书》应包括(但不限于)以下内容：项目概况、管理目标、产品清单、管理责任矩阵、现金流分析及资金计划、责任成本预算、机构和部门责任书、项目部一般员工绩效考核办法、项目的管理模式及分包模式、实施要点、资源配置计划、进度计划、风险分析与对策、变更索赔、主要施工方案及大临工程布置方案、安全质量管控重点及措施、成本管理等。</w:t>
      </w:r>
    </w:p>
    <w:p>
      <w:pPr>
        <w:widowControl w:val="0"/>
        <w:kinsoku w:val="0"/>
        <w:wordWrap/>
        <w:overflowPunct/>
        <w:topLinePunct w:val="0"/>
        <w:autoSpaceDE w:val="0"/>
        <w:autoSpaceDN w:val="0"/>
        <w:bidi w:val="0"/>
        <w:adjustRightInd w:val="0"/>
        <w:snapToGrid w:val="0"/>
        <w:spacing w:before="213" w:line="360" w:lineRule="auto"/>
        <w:ind w:left="62" w:right="26" w:firstLine="975"/>
        <w:textAlignment w:val="baseline"/>
        <w:rPr>
          <w:rFonts w:ascii="宋体" w:hAnsi="宋体" w:cs="宋体" w:hint="eastAsia"/>
          <w:spacing w:val="0"/>
          <w:position w:val="0"/>
          <w:szCs w:val="24"/>
        </w:rPr>
      </w:pPr>
      <w:r>
        <w:rPr>
          <w:rFonts w:ascii="宋体" w:eastAsia="宋体" w:hAnsi="宋体" w:cs="宋体" w:hint="eastAsia"/>
          <w:spacing w:val="0"/>
          <w:position w:val="0"/>
          <w:sz w:val="24"/>
          <w:szCs w:val="24"/>
        </w:rPr>
        <w:t>第六</w:t>
      </w:r>
      <w:r>
        <w:rPr>
          <w:rFonts w:ascii="宋体" w:hAnsi="宋体" w:cs="宋体" w:hint="eastAsia"/>
          <w:spacing w:val="0"/>
          <w:position w:val="0"/>
          <w:sz w:val="24"/>
          <w:szCs w:val="24"/>
          <w:lang w:eastAsia="zh-CN"/>
        </w:rPr>
        <w:t>条、</w:t>
      </w:r>
      <w:r>
        <w:rPr>
          <w:rFonts w:ascii="宋体" w:eastAsia="宋体" w:hAnsi="宋体" w:cs="宋体" w:hint="eastAsia"/>
          <w:spacing w:val="0"/>
          <w:position w:val="0"/>
          <w:sz w:val="24"/>
          <w:szCs w:val="24"/>
        </w:rPr>
        <w:t>建立标准化流程</w:t>
      </w:r>
    </w:p>
    <w:p>
      <w:pPr>
        <w:widowControl w:val="0"/>
        <w:kinsoku w:val="0"/>
        <w:wordWrap/>
        <w:overflowPunct/>
        <w:topLinePunct w:val="0"/>
        <w:autoSpaceDE w:val="0"/>
        <w:autoSpaceDN w:val="0"/>
        <w:bidi w:val="0"/>
        <w:adjustRightInd w:val="0"/>
        <w:snapToGrid w:val="0"/>
        <w:spacing w:before="213" w:line="360" w:lineRule="auto"/>
        <w:ind w:left="62" w:right="26" w:firstLine="975"/>
        <w:textAlignment w:val="baseline"/>
        <w:rPr>
          <w:rFonts w:ascii="宋体" w:hAnsi="宋体" w:cs="宋体" w:hint="eastAsia"/>
          <w:spacing w:val="0"/>
          <w:position w:val="0"/>
          <w:szCs w:val="24"/>
        </w:rPr>
      </w:pPr>
      <w:r>
        <w:rPr>
          <w:rFonts w:ascii="宋体" w:eastAsia="宋体" w:hAnsi="宋体" w:cs="宋体" w:hint="eastAsia"/>
          <w:spacing w:val="0"/>
          <w:position w:val="0"/>
          <w:sz w:val="24"/>
          <w:szCs w:val="24"/>
        </w:rPr>
        <w:t>1.项目管理工作流程主要包括以下十二大类：项目前期控制、项目部以工程产品清单和责任矩阵为主线的各项管理、施工组织设计管理、安全质量环保管理、劳务企业管理、物资机械管理、合同管理、责任成本预算管理及考核、工程经济管理、财务管理、经济活动分析、竣工及收尾管理等流程。</w:t>
      </w:r>
    </w:p>
    <w:p>
      <w:pPr>
        <w:widowControl w:val="0"/>
        <w:kinsoku w:val="0"/>
        <w:wordWrap/>
        <w:overflowPunct/>
        <w:topLinePunct w:val="0"/>
        <w:autoSpaceDE w:val="0"/>
        <w:autoSpaceDN w:val="0"/>
        <w:bidi w:val="0"/>
        <w:adjustRightInd w:val="0"/>
        <w:snapToGrid w:val="0"/>
        <w:spacing w:before="213" w:line="360" w:lineRule="auto"/>
        <w:ind w:left="62" w:right="26" w:firstLine="975"/>
        <w:textAlignment w:val="baseline"/>
        <w:rPr>
          <w:rFonts w:ascii="宋体" w:hAnsi="宋体" w:cs="宋体" w:hint="eastAsia"/>
          <w:spacing w:val="0"/>
          <w:position w:val="0"/>
          <w:szCs w:val="24"/>
        </w:rPr>
        <w:sectPr>
          <w:footerReference w:type="default" r:id="rId11"/>
          <w:footerReference w:type="first" r:id="rId12"/>
          <w:type w:val="nextPage"/>
          <w:pgSz w:w="11905" w:h="16838"/>
          <w:pgMar w:top="1440" w:right="1797" w:bottom="1440" w:left="1797" w:header="0" w:footer="1565" w:gutter="0"/>
          <w:pgNumType w:fmt="decimal" w:start="3"/>
          <w:cols w:num="1" w:space="0"/>
          <w:titlePg w:val="0"/>
          <w:rtlGutter w:val="0"/>
          <w:docGrid w:linePitch="0" w:charSpace="0"/>
        </w:sectPr>
      </w:pPr>
    </w:p>
    <w:p>
      <w:pPr>
        <w:widowControl w:val="0"/>
        <w:kinsoku w:val="0"/>
        <w:wordWrap/>
        <w:overflowPunct/>
        <w:topLinePunct w:val="0"/>
        <w:autoSpaceDE w:val="0"/>
        <w:autoSpaceDN w:val="0"/>
        <w:bidi w:val="0"/>
        <w:adjustRightInd w:val="0"/>
        <w:snapToGrid w:val="0"/>
        <w:spacing w:before="213" w:line="360" w:lineRule="auto"/>
        <w:ind w:left="62" w:right="26" w:firstLine="975"/>
        <w:textAlignment w:val="baseline"/>
        <w:rPr>
          <w:rFonts w:ascii="宋体" w:hAnsi="宋体" w:cs="宋体" w:hint="eastAsia"/>
          <w:spacing w:val="0"/>
          <w:position w:val="0"/>
          <w:szCs w:val="24"/>
        </w:rPr>
      </w:pPr>
      <w:r>
        <w:rPr>
          <w:rFonts w:ascii="宋体" w:eastAsia="宋体" w:hAnsi="宋体" w:cs="宋体" w:hint="eastAsia"/>
          <w:spacing w:val="0"/>
          <w:position w:val="0"/>
          <w:sz w:val="24"/>
          <w:szCs w:val="24"/>
        </w:rPr>
        <w:t>2.每一类管理流程可细分为若干业务流程，如项目前期控制管理中，可细分为施工调查流程、项目管理策划流程、项目管理交底流程、二次经营策划流程、工料机限价测定流程、设计概算差错漏审核流程、设计文件审核流程等。</w:t>
      </w:r>
    </w:p>
    <w:p>
      <w:pPr>
        <w:widowControl w:val="0"/>
        <w:kinsoku w:val="0"/>
        <w:wordWrap/>
        <w:overflowPunct/>
        <w:topLinePunct w:val="0"/>
        <w:autoSpaceDE w:val="0"/>
        <w:autoSpaceDN w:val="0"/>
        <w:bidi w:val="0"/>
        <w:adjustRightInd w:val="0"/>
        <w:snapToGrid w:val="0"/>
        <w:spacing w:before="213" w:line="360" w:lineRule="auto"/>
        <w:ind w:left="62" w:right="26" w:firstLine="975"/>
        <w:textAlignment w:val="baseline"/>
        <w:rPr>
          <w:rFonts w:ascii="宋体" w:hAnsi="宋体" w:cs="宋体" w:hint="eastAsia"/>
          <w:spacing w:val="0"/>
          <w:position w:val="0"/>
          <w:szCs w:val="24"/>
        </w:rPr>
      </w:pPr>
      <w:r>
        <w:rPr>
          <w:rFonts w:ascii="宋体" w:eastAsia="宋体" w:hAnsi="宋体" w:cs="宋体" w:hint="eastAsia"/>
          <w:spacing w:val="0"/>
          <w:position w:val="0"/>
          <w:sz w:val="24"/>
          <w:szCs w:val="24"/>
        </w:rPr>
        <w:t>第七</w:t>
      </w:r>
      <w:r>
        <w:rPr>
          <w:rFonts w:ascii="宋体" w:hAnsi="宋体" w:cs="宋体" w:hint="eastAsia"/>
          <w:spacing w:val="0"/>
          <w:position w:val="0"/>
          <w:sz w:val="24"/>
          <w:szCs w:val="24"/>
          <w:lang w:eastAsia="zh-CN"/>
        </w:rPr>
        <w:t>条、</w:t>
      </w:r>
      <w:r>
        <w:rPr>
          <w:rFonts w:ascii="宋体" w:eastAsia="宋体" w:hAnsi="宋体" w:cs="宋体" w:hint="eastAsia"/>
          <w:spacing w:val="0"/>
          <w:position w:val="0"/>
          <w:sz w:val="24"/>
          <w:szCs w:val="24"/>
        </w:rPr>
        <w:t>岗位责任书内容包括：部门目标(职能管理目标、职业水准目标、提供服务目标)、岗位职责简述、“三条红线”、“八个注意”、部门基本职能要求(包括组织实施能力、产品交付能力、指导培训能力等)、部门岗位资格要求(学历要求、专业背景要求、知识技能要求、思想素质要求)、实现目标的基本路线、产品列表等。</w:t>
      </w:r>
    </w:p>
    <w:p>
      <w:pPr>
        <w:widowControl w:val="0"/>
        <w:kinsoku w:val="0"/>
        <w:wordWrap/>
        <w:overflowPunct/>
        <w:topLinePunct w:val="0"/>
        <w:autoSpaceDE w:val="0"/>
        <w:autoSpaceDN w:val="0"/>
        <w:bidi w:val="0"/>
        <w:adjustRightInd w:val="0"/>
        <w:snapToGrid w:val="0"/>
        <w:spacing w:before="213" w:line="360" w:lineRule="auto"/>
        <w:ind w:left="62" w:right="26" w:firstLine="975"/>
        <w:textAlignment w:val="baseline"/>
        <w:rPr>
          <w:rFonts w:ascii="宋体" w:hAnsi="宋体" w:cs="宋体" w:hint="eastAsia"/>
          <w:spacing w:val="0"/>
          <w:position w:val="0"/>
          <w:szCs w:val="24"/>
        </w:rPr>
        <w:sectPr>
          <w:footerReference w:type="default" r:id="rId13"/>
          <w:footerReference w:type="first" r:id="rId14"/>
          <w:type w:val="nextPage"/>
          <w:pgSz w:w="11905" w:h="16838"/>
          <w:pgMar w:top="1440" w:right="1797" w:bottom="1440" w:left="1797" w:header="0" w:footer="1565" w:gutter="0"/>
          <w:pgNumType w:fmt="decimal" w:start="4"/>
          <w:cols w:num="1" w:space="0"/>
          <w:titlePg w:val="0"/>
          <w:rtlGutter w:val="0"/>
          <w:docGrid w:linePitch="0" w:charSpace="0"/>
        </w:sectPr>
      </w:pPr>
      <w:r>
        <w:rPr>
          <w:rFonts w:ascii="宋体" w:eastAsia="宋体" w:hAnsi="宋体" w:cs="宋体" w:hint="eastAsia"/>
          <w:spacing w:val="0"/>
          <w:position w:val="0"/>
          <w:sz w:val="24"/>
          <w:szCs w:val="24"/>
        </w:rPr>
        <w:t>第八</w:t>
      </w:r>
      <w:r>
        <w:rPr>
          <w:rFonts w:ascii="宋体" w:hAnsi="宋体" w:cs="宋体" w:hint="eastAsia"/>
          <w:spacing w:val="0"/>
          <w:position w:val="0"/>
          <w:sz w:val="24"/>
          <w:szCs w:val="24"/>
          <w:lang w:eastAsia="zh-CN"/>
        </w:rPr>
        <w:t>条、</w:t>
      </w:r>
      <w:r>
        <w:rPr>
          <w:rFonts w:ascii="宋体" w:eastAsia="宋体" w:hAnsi="宋体" w:cs="宋体" w:hint="eastAsia"/>
          <w:spacing w:val="0"/>
          <w:position w:val="0"/>
          <w:sz w:val="24"/>
          <w:szCs w:val="24"/>
        </w:rPr>
        <w:t>项目管理报告项目经理根据项目实施的具体情况，按照管理策划书的内容和格式编制《项目月度报告》、《项目季度报告》、《项目年度报告》并按时上报公司工程管理部。</w:t>
      </w:r>
    </w:p>
    <w:p>
      <w:pPr>
        <w:pStyle w:val="Heading1"/>
        <w:widowControl w:val="0"/>
        <w:kinsoku w:val="0"/>
        <w:wordWrap/>
        <w:overflowPunct/>
        <w:topLinePunct w:val="0"/>
        <w:autoSpaceDE w:val="0"/>
        <w:autoSpaceDN w:val="0"/>
        <w:bidi w:val="0"/>
        <w:adjustRightInd w:val="0"/>
        <w:snapToGrid w:val="0"/>
        <w:textAlignment w:val="baseline"/>
        <w:rPr>
          <w:rFonts w:ascii="黑体" w:eastAsia="黑体" w:hAnsi="黑体" w:cs="黑体"/>
          <w:spacing w:val="0"/>
          <w:position w:val="0"/>
          <w:sz w:val="47"/>
          <w:szCs w:val="47"/>
        </w:rPr>
      </w:pPr>
      <w:bookmarkStart w:id="11" w:name="_Toc28249"/>
      <w:bookmarkStart w:id="12" w:name="_Toc5916"/>
      <w:bookmarkStart w:id="13" w:name="_Toc8963"/>
      <w:r>
        <w:rPr>
          <w:rFonts w:ascii="黑体" w:eastAsia="黑体" w:hAnsi="黑体" w:cs="黑体"/>
          <w:spacing w:val="0"/>
          <w:position w:val="0"/>
          <w:sz w:val="47"/>
          <w:szCs w:val="47"/>
        </w:rPr>
        <w:t>第三章</w:t>
      </w:r>
      <w:r>
        <w:rPr>
          <w:rFonts w:ascii="黑体" w:eastAsia="黑体" w:hAnsi="黑体" w:cs="黑体" w:hint="eastAsia"/>
          <w:spacing w:val="0"/>
          <w:position w:val="0"/>
          <w:sz w:val="47"/>
          <w:szCs w:val="47"/>
          <w:lang w:eastAsia="zh-CN"/>
        </w:rPr>
        <w:t>、</w:t>
      </w:r>
      <w:r>
        <w:rPr>
          <w:rFonts w:ascii="黑体" w:eastAsia="黑体" w:hAnsi="黑体" w:cs="黑体"/>
          <w:spacing w:val="0"/>
          <w:position w:val="0"/>
          <w:sz w:val="47"/>
          <w:szCs w:val="47"/>
        </w:rPr>
        <w:t>产品清单和责任矩</w:t>
      </w:r>
      <w:r>
        <w:rPr>
          <w:rFonts w:ascii="黑体" w:eastAsia="黑体" w:hAnsi="黑体" w:cs="黑体"/>
          <w:spacing w:val="0"/>
          <w:position w:val="0"/>
          <w:sz w:val="47"/>
          <w:szCs w:val="47"/>
        </w:rPr>
        <w:t>阵</w:t>
      </w:r>
      <w:bookmarkEnd w:id="11"/>
      <w:bookmarkEnd w:id="12"/>
      <w:bookmarkEnd w:id="13"/>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第九</w:t>
      </w:r>
      <w:r>
        <w:rPr>
          <w:rFonts w:ascii="宋体" w:hAnsi="宋体" w:cs="宋体" w:hint="eastAsia"/>
          <w:spacing w:val="0"/>
          <w:position w:val="0"/>
          <w:lang w:eastAsia="zh-CN"/>
        </w:rPr>
        <w:t>条、</w:t>
      </w:r>
      <w:r>
        <w:rPr>
          <w:rFonts w:ascii="宋体" w:eastAsia="宋体" w:hAnsi="宋体" w:cs="宋体" w:hint="eastAsia"/>
          <w:spacing w:val="0"/>
          <w:position w:val="0"/>
        </w:rPr>
        <w:t>建立项目产品清单</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1.项目产品是项目构成和项目预算的基本单元。项目产品清单是指利用工作分解结构(WBS)技术，制定项目分解结构标准，全面梳理项目的工程产品、组织产品、管理产品、社会产品，对构成项目的基本单元或者项目工作单元进行标识和定义，通过项目层、阶段层、产品分类层、产品包层四个层面分解，最终细化到项目产品层，形成项目产品的集合。</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2.项目产品清单的建立：项目部职能部门根据专业分工对产品过程进行分解，形成《项目产品清单》初稿，经项目部管理层专题讨论，报公司批准，以文件形式正式确定，建立一段时期内相对确定的《项目产品清单》。</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3.建立项目产品清单应达到的效果。项目产品清单是项目部管理的纲领性文件，项目通过分解形成产品，使项目全过程条理清楚；项目产品清单的应用，使项目管理从建立目标、明确责任、保证资源、建立制度、计划统计、成本控制以及管理报告的整个过程实现精细化。</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4.工程产品清单预算管理</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建立基于工程产品清单的预算体系。工程产品预算由公司组织制定，项目部参与编制。主要包括：制定项目工程产品清单；制定基于工程产品清单的工程量清单；制定工程量清单项下的成本单价；形成单项产品预算；工程产品清单所列全部产品的预算即构成基于工程产品清单的全面预算体系。确定成本单价的方式包括：参考公司数据库、公司定额或者相关行业定额分析、市场询价、通过施工组织分析确定工料机成本。</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第十</w:t>
      </w:r>
      <w:r>
        <w:rPr>
          <w:rFonts w:ascii="宋体" w:hAnsi="宋体" w:cs="宋体" w:hint="eastAsia"/>
          <w:spacing w:val="0"/>
          <w:position w:val="0"/>
          <w:lang w:eastAsia="zh-CN"/>
        </w:rPr>
        <w:t>条、</w:t>
      </w:r>
      <w:r>
        <w:rPr>
          <w:rFonts w:ascii="宋体" w:eastAsia="宋体" w:hAnsi="宋体" w:cs="宋体" w:hint="eastAsia"/>
          <w:spacing w:val="0"/>
          <w:position w:val="0"/>
        </w:rPr>
        <w:t>建立项目管理责任矩阵</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sectPr>
          <w:footerReference w:type="default" r:id="rId15"/>
          <w:footerReference w:type="first" r:id="rId16"/>
          <w:type w:val="nextPage"/>
          <w:pgSz w:w="11905" w:h="16838"/>
          <w:pgMar w:top="1440" w:right="1797" w:bottom="1440" w:left="1797" w:header="0" w:footer="1565" w:gutter="0"/>
          <w:pgNumType w:fmt="decimal" w:start="5"/>
          <w:cols w:num="1" w:space="0"/>
          <w:titlePg w:val="0"/>
          <w:rtlGutter w:val="0"/>
          <w:docGrid w:linePitch="0" w:charSpace="0"/>
        </w:sectPr>
      </w:pP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sectPr>
          <w:footerReference w:type="default" r:id="rId17"/>
          <w:footerReference w:type="first" r:id="rId18"/>
          <w:type w:val="nextPage"/>
          <w:pgSz w:w="11905" w:h="16838"/>
          <w:pgMar w:top="1440" w:right="1797" w:bottom="1440" w:left="1797" w:header="0" w:footer="1565" w:gutter="0"/>
          <w:pgNumType w:fmt="decimal" w:start="6"/>
          <w:cols w:num="1" w:space="0"/>
          <w:titlePg w:val="0"/>
          <w:rtlGutter w:val="0"/>
          <w:docGrid w:linePitch="0" w:charSpace="0"/>
        </w:sectPr>
      </w:pPr>
      <w:r>
        <w:rPr>
          <w:rFonts w:ascii="宋体" w:eastAsia="宋体" w:hAnsi="宋体" w:cs="宋体" w:hint="eastAsia"/>
          <w:spacing w:val="0"/>
          <w:position w:val="0"/>
        </w:rPr>
        <w:t>运用WBS技术，全面梳理项目部职能管理和服务的具体工作，建立项目管理工作清单，形成管理责任矩阵的纵列；运用RAM的方法，将项目管理工作清单中的每一项工作指派到每一个部门及岗位，形成管理责任矩阵的横排；纵列和横排交叉部分是岗位角色对每项工作的责任关系，用不同符号表示岗位角色的不同责任。项目部以管理工作责任矩阵为基础，制定部门机构责任书和员工岗位责任书。</w:t>
      </w:r>
    </w:p>
    <w:p>
      <w:pPr>
        <w:pStyle w:val="Heading1"/>
        <w:widowControl w:val="0"/>
        <w:kinsoku w:val="0"/>
        <w:wordWrap/>
        <w:overflowPunct/>
        <w:topLinePunct w:val="0"/>
        <w:autoSpaceDE w:val="0"/>
        <w:autoSpaceDN w:val="0"/>
        <w:bidi w:val="0"/>
        <w:adjustRightInd w:val="0"/>
        <w:snapToGrid w:val="0"/>
        <w:textAlignment w:val="baseline"/>
        <w:rPr>
          <w:rFonts w:ascii="黑体" w:eastAsia="黑体" w:hAnsi="黑体" w:cs="黑体"/>
          <w:spacing w:val="0"/>
          <w:position w:val="0"/>
          <w:sz w:val="47"/>
          <w:szCs w:val="47"/>
        </w:rPr>
      </w:pPr>
      <w:bookmarkStart w:id="14" w:name="_Toc4006"/>
      <w:bookmarkStart w:id="15" w:name="_Toc25938"/>
      <w:bookmarkStart w:id="16" w:name="_Toc5439"/>
      <w:r>
        <w:rPr>
          <w:rFonts w:ascii="黑体" w:eastAsia="黑体" w:hAnsi="黑体" w:cs="黑体"/>
          <w:spacing w:val="0"/>
          <w:position w:val="0"/>
          <w:sz w:val="47"/>
          <w:szCs w:val="47"/>
        </w:rPr>
        <w:t>第四章</w:t>
      </w:r>
      <w:r>
        <w:rPr>
          <w:rFonts w:ascii="黑体" w:eastAsia="黑体" w:hAnsi="黑体" w:cs="黑体" w:hint="eastAsia"/>
          <w:spacing w:val="0"/>
          <w:position w:val="0"/>
          <w:sz w:val="47"/>
          <w:szCs w:val="47"/>
          <w:lang w:eastAsia="zh-CN"/>
        </w:rPr>
        <w:t>、</w:t>
      </w:r>
      <w:r>
        <w:rPr>
          <w:rFonts w:ascii="黑体" w:eastAsia="黑体" w:hAnsi="黑体" w:cs="黑体"/>
          <w:spacing w:val="0"/>
          <w:position w:val="0"/>
          <w:sz w:val="47"/>
          <w:szCs w:val="47"/>
        </w:rPr>
        <w:t>合同管</w:t>
      </w:r>
      <w:r>
        <w:rPr>
          <w:rFonts w:ascii="黑体" w:eastAsia="黑体" w:hAnsi="黑体" w:cs="黑体"/>
          <w:spacing w:val="0"/>
          <w:position w:val="0"/>
          <w:sz w:val="47"/>
          <w:szCs w:val="47"/>
        </w:rPr>
        <w:t>理</w:t>
      </w:r>
      <w:bookmarkEnd w:id="14"/>
      <w:bookmarkEnd w:id="15"/>
      <w:bookmarkEnd w:id="16"/>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第十一</w:t>
      </w:r>
      <w:r>
        <w:rPr>
          <w:rFonts w:ascii="宋体" w:hAnsi="宋体" w:cs="宋体" w:hint="eastAsia"/>
          <w:spacing w:val="0"/>
          <w:position w:val="0"/>
          <w:lang w:eastAsia="zh-CN"/>
        </w:rPr>
        <w:t>条、</w:t>
      </w:r>
      <w:r>
        <w:rPr>
          <w:rFonts w:ascii="宋体" w:eastAsia="宋体" w:hAnsi="宋体" w:cs="宋体" w:hint="eastAsia"/>
          <w:spacing w:val="0"/>
          <w:position w:val="0"/>
        </w:rPr>
        <w:t>合同管理原则</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1.分类管理原则。项目部所签订的合同，根据要素的不同，分为分包合同、物资设备采购合同、机械周转材料租赁合同、其他合同(临时用地、技术服务咨询)等，分类进行管理。</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第十二</w:t>
      </w:r>
      <w:r>
        <w:rPr>
          <w:rFonts w:ascii="宋体" w:hAnsi="宋体" w:cs="宋体" w:hint="eastAsia"/>
          <w:spacing w:val="0"/>
          <w:position w:val="0"/>
          <w:lang w:eastAsia="zh-CN"/>
        </w:rPr>
        <w:t>条、</w:t>
      </w:r>
      <w:r>
        <w:rPr>
          <w:rFonts w:ascii="宋体" w:eastAsia="宋体" w:hAnsi="宋体" w:cs="宋体" w:hint="eastAsia"/>
          <w:spacing w:val="0"/>
          <w:position w:val="0"/>
        </w:rPr>
        <w:t>项目合同管理职责分工项目部安排专人管理合同,并上报公司。</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物机部是物资、机械设备类合同管理工作的主责部门;工经部是劳务合同管理工作的主责部门，同时负责建设工程施工合同履行过程管理;办公室是其他类合同管理的主责部门。</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各部门合同管理职责为：组织合同评审，负责向公司有关职能部门报送合同评审，根据评审意见订立合同，建立合同管理台账，负责合同实施工作及合同封闭工作。财务部负责合同价款的支付，并监督合同的履行。</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第十三</w:t>
      </w:r>
      <w:r>
        <w:rPr>
          <w:rFonts w:ascii="宋体" w:hAnsi="宋体" w:cs="宋体" w:hint="eastAsia"/>
          <w:spacing w:val="0"/>
          <w:position w:val="0"/>
          <w:lang w:eastAsia="zh-CN"/>
        </w:rPr>
        <w:t>条、</w:t>
      </w:r>
      <w:r>
        <w:rPr>
          <w:rFonts w:ascii="宋体" w:eastAsia="宋体" w:hAnsi="宋体" w:cs="宋体" w:hint="eastAsia"/>
          <w:spacing w:val="0"/>
          <w:position w:val="0"/>
        </w:rPr>
        <w:t>合同评审和签订</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1.订立合同前，承办部门应当详细掌握合作方的下列情况：主体资格是否真实、合法，资信情况是否全面、可靠，是否有履约能力，要求对方提交《企业法人营业执照》、《组织机构代码证》、《资质证书》、《安全生产许可证》、《法定代表人身份证明书》、业绩证明材料、《法定代表人授权委托书》或《代理协议》等。</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2.项目部应成立合同评审小组，项目经理任组长，班子其他成员任副组长，各部门负责人及经办人员任组员，对拟签合同进行评审，分析评估合同的可行性、经济性、适宜性、合法性，掌握合同风险，制定风险防范措施，形成书面评审意见。</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3.合同在完成评审后应根据公司管理制度要求上报审批，严禁擅自签订。分包合同、物资设备采购合同、机械周转材料租赁合同按规定上报公司审批。</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sectPr>
          <w:footerReference w:type="default" r:id="rId19"/>
          <w:footerReference w:type="first" r:id="rId20"/>
          <w:type w:val="nextPage"/>
          <w:pgSz w:w="11905" w:h="16838"/>
          <w:pgMar w:top="1440" w:right="1797" w:bottom="1440" w:left="1797" w:header="0" w:footer="1565" w:gutter="0"/>
          <w:pgNumType w:fmt="decimal" w:start="7"/>
          <w:cols w:num="1" w:space="0"/>
          <w:titlePg w:val="0"/>
          <w:rtlGutter w:val="0"/>
          <w:docGrid w:linePitch="0" w:charSpace="0"/>
        </w:sectPr>
      </w:pPr>
      <w:r>
        <w:rPr>
          <w:rFonts w:ascii="宋体" w:eastAsia="宋体" w:hAnsi="宋体" w:cs="宋体" w:hint="eastAsia"/>
          <w:spacing w:val="0"/>
          <w:position w:val="0"/>
        </w:rPr>
        <w:t>4.项目部按照审批意见签订正式合同，并及时上报备案，严禁不按审批意见签订合同。</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5.签订合同时原则上应当让签约对方先行签字盖章，或者双方同时签字盖章。加盖骑缝章，由法定代表人或授权委托人在每页上签字。严禁将仅有我方已签字、盖章、无合同条款具体内容的合同末页，交、寄给对方签字盖章。严禁向对方出具盖有我方印章的空白合同书。</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第十四</w:t>
      </w:r>
      <w:r>
        <w:rPr>
          <w:rFonts w:ascii="宋体" w:hAnsi="宋体" w:cs="宋体" w:hint="eastAsia"/>
          <w:spacing w:val="0"/>
          <w:position w:val="0"/>
          <w:lang w:eastAsia="zh-CN"/>
        </w:rPr>
        <w:t>条、</w:t>
      </w:r>
      <w:r>
        <w:rPr>
          <w:rFonts w:ascii="宋体" w:eastAsia="宋体" w:hAnsi="宋体" w:cs="宋体" w:hint="eastAsia"/>
          <w:spacing w:val="0"/>
          <w:position w:val="0"/>
        </w:rPr>
        <w:t>合同履行</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1.合同交底：在建设施工合同签订后，项目部工经部及时就合同的重点内容对其他部门进行交底。其他合同由项目部责任部门对所签订的合同传递到相关部门，并就重点内容进行交底。</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2.合同变更、转让、解除：合同履行期间发生变更、转让、解除的，及时签订补充合同或完善相关手续，并按要求及时进行评审和上报。项目经理变更的，及时办理变更手续，通知合同另一方当事人。</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3.合同纠纷：项目部发生纠纷时，及时报告所属单位法律事务机构，不得隐瞒和私自处理。项目部在收到司法部门或行政执法机关送达的法律文书(包括但不限于传票、应诉通知书、起诉状副本、裁定书、判决书、处罚决定书等法律文书)时，当由所属单位法律事务机构统一签收，不得滞留。</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4.分类管理合同基础资料，包括(但不限于)下列文件：招标文件、投标文件、各类合同、补充合同(协议)；标准、规范及有关技术文件；图纸、工程量清单；业主、监理的各种批示批复、开工指令、工程签证、变更指令、检查验收文件、质量评比通报、信函等；会议纪要、备忘录；测量记录、试验检验报告、施工质量记录、隐蔽工程记录、施工日志、各类报告、申请、报表、验工计价、气象记录及图表、业主及监理的书面答复等；反映工程实施情况的照片、录像资料；在工程实施过程中形成的各种记录文件等。</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项目合同进行编号存档，按规定分类分别建立合同管理台帐，台帐中所登记的合同信息与合同内容、编号保持一致，实行“一合同一登记”原则。各类合同管理台帐应明确反映合同履行、封闭的基本情况。项目各部门分发合同应做好《合同分发记录表》，注明分发日期、合同接收人、合同去向等情况，分发记录上应有分发人和接收人的亲笔签名。</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sectPr>
          <w:footerReference w:type="default" r:id="rId21"/>
          <w:footerReference w:type="first" r:id="rId22"/>
          <w:type w:val="nextPage"/>
          <w:pgSz w:w="11905" w:h="16838"/>
          <w:pgMar w:top="1440" w:right="1797" w:bottom="1440" w:left="1797" w:header="0" w:footer="1565" w:gutter="0"/>
          <w:pgNumType w:fmt="decimal" w:start="8"/>
          <w:cols w:num="1" w:space="0"/>
          <w:titlePg w:val="0"/>
          <w:rtlGutter w:val="0"/>
          <w:docGrid w:linePitch="0" w:charSpace="0"/>
        </w:sectPr>
      </w:pPr>
      <w:r>
        <w:rPr>
          <w:rFonts w:ascii="宋体" w:eastAsia="宋体" w:hAnsi="宋体" w:cs="宋体" w:hint="eastAsia"/>
          <w:spacing w:val="0"/>
          <w:position w:val="0"/>
        </w:rPr>
        <w:t>第十五</w:t>
      </w:r>
      <w:r>
        <w:rPr>
          <w:rFonts w:ascii="宋体" w:hAnsi="宋体" w:cs="宋体" w:hint="eastAsia"/>
          <w:spacing w:val="0"/>
          <w:position w:val="0"/>
          <w:lang w:eastAsia="zh-CN"/>
        </w:rPr>
        <w:t>条、</w:t>
      </w:r>
      <w:r>
        <w:rPr>
          <w:rFonts w:ascii="宋体" w:eastAsia="宋体" w:hAnsi="宋体" w:cs="宋体" w:hint="eastAsia"/>
          <w:spacing w:val="0"/>
          <w:position w:val="0"/>
        </w:rPr>
        <w:t>例外管理</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sectPr>
          <w:footerReference w:type="default" r:id="rId23"/>
          <w:footerReference w:type="first" r:id="rId24"/>
          <w:type w:val="nextPage"/>
          <w:pgSz w:w="11905" w:h="16838"/>
          <w:pgMar w:top="1440" w:right="1797" w:bottom="1440" w:left="1797" w:header="0" w:footer="1565" w:gutter="0"/>
          <w:pgNumType w:fmt="decimal" w:start="9"/>
          <w:cols w:num="1" w:space="0"/>
          <w:titlePg w:val="0"/>
          <w:rtlGutter w:val="0"/>
          <w:docGrid w:linePitch="0" w:charSpace="0"/>
        </w:sectPr>
      </w:pPr>
      <w:r>
        <w:rPr>
          <w:rFonts w:ascii="宋体" w:eastAsia="宋体" w:hAnsi="宋体" w:cs="宋体" w:hint="eastAsia"/>
          <w:spacing w:val="0"/>
          <w:position w:val="0"/>
        </w:rPr>
        <w:t>项目实施过程中，发生偏离制度、程序、计划和预算的事件，项目部需将偏离事件以“例外事件”报告给公司审批，实行例外管理。</w:t>
      </w:r>
    </w:p>
    <w:p>
      <w:pPr>
        <w:pStyle w:val="Heading1"/>
        <w:widowControl w:val="0"/>
        <w:kinsoku w:val="0"/>
        <w:wordWrap/>
        <w:overflowPunct/>
        <w:topLinePunct w:val="0"/>
        <w:autoSpaceDE w:val="0"/>
        <w:autoSpaceDN w:val="0"/>
        <w:bidi w:val="0"/>
        <w:adjustRightInd w:val="0"/>
        <w:snapToGrid w:val="0"/>
        <w:textAlignment w:val="baseline"/>
        <w:rPr>
          <w:rFonts w:ascii="黑体" w:eastAsia="黑体" w:hAnsi="黑体" w:cs="黑体"/>
          <w:spacing w:val="0"/>
          <w:position w:val="0"/>
          <w:sz w:val="47"/>
          <w:szCs w:val="47"/>
        </w:rPr>
      </w:pPr>
      <w:bookmarkStart w:id="17" w:name="_Toc4400"/>
      <w:bookmarkStart w:id="18" w:name="_Toc12829"/>
      <w:bookmarkStart w:id="19" w:name="_Toc13772"/>
      <w:r>
        <w:rPr>
          <w:rFonts w:ascii="黑体" w:eastAsia="黑体" w:hAnsi="黑体" w:cs="黑体"/>
          <w:spacing w:val="0"/>
          <w:position w:val="0"/>
          <w:sz w:val="47"/>
          <w:szCs w:val="47"/>
        </w:rPr>
        <w:t>第五章</w:t>
      </w:r>
      <w:r>
        <w:rPr>
          <w:rFonts w:ascii="黑体" w:eastAsia="黑体" w:hAnsi="黑体" w:cs="黑体" w:hint="eastAsia"/>
          <w:spacing w:val="0"/>
          <w:position w:val="0"/>
          <w:sz w:val="47"/>
          <w:szCs w:val="47"/>
          <w:lang w:eastAsia="zh-CN"/>
        </w:rPr>
        <w:t>、</w:t>
      </w:r>
      <w:r>
        <w:rPr>
          <w:rFonts w:ascii="黑体" w:eastAsia="黑体" w:hAnsi="黑体" w:cs="黑体"/>
          <w:spacing w:val="0"/>
          <w:position w:val="0"/>
          <w:sz w:val="47"/>
          <w:szCs w:val="47"/>
        </w:rPr>
        <w:t>成本管</w:t>
      </w:r>
      <w:r>
        <w:rPr>
          <w:rFonts w:ascii="黑体" w:eastAsia="黑体" w:hAnsi="黑体" w:cs="黑体"/>
          <w:spacing w:val="0"/>
          <w:position w:val="0"/>
          <w:sz w:val="47"/>
          <w:szCs w:val="47"/>
        </w:rPr>
        <w:t>理</w:t>
      </w:r>
      <w:bookmarkEnd w:id="17"/>
      <w:bookmarkEnd w:id="18"/>
      <w:bookmarkEnd w:id="19"/>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第十六</w:t>
      </w:r>
      <w:r>
        <w:rPr>
          <w:rFonts w:ascii="宋体" w:hAnsi="宋体" w:cs="宋体" w:hint="eastAsia"/>
          <w:spacing w:val="0"/>
          <w:position w:val="0"/>
          <w:lang w:eastAsia="zh-CN"/>
        </w:rPr>
        <w:t>条、</w:t>
      </w:r>
      <w:r>
        <w:rPr>
          <w:rFonts w:ascii="宋体" w:eastAsia="宋体" w:hAnsi="宋体" w:cs="宋体" w:hint="eastAsia"/>
          <w:spacing w:val="0"/>
          <w:position w:val="0"/>
        </w:rPr>
        <w:t>成本要素管控影响项目成本的主要因素有：劳务分包模式与分包价格、材料采购价格与现场消耗、机械设备租赁单价与消耗、施工技术方案与资源配置、项目工期与进度安排、质量标准与施工控制水平、施工安全状况、大小临设置方案与标准、项目外部环境、项目资金支付情况、技术创新能力与应用、项目管理体制机制与管理水平等,要将其作为成本管控重点。</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第十七</w:t>
      </w:r>
      <w:r>
        <w:rPr>
          <w:rFonts w:ascii="宋体" w:hAnsi="宋体" w:cs="宋体" w:hint="eastAsia"/>
          <w:spacing w:val="0"/>
          <w:position w:val="0"/>
          <w:lang w:eastAsia="zh-CN"/>
        </w:rPr>
        <w:t>条、</w:t>
      </w:r>
      <w:r>
        <w:rPr>
          <w:rFonts w:ascii="宋体" w:eastAsia="宋体" w:hAnsi="宋体" w:cs="宋体" w:hint="eastAsia"/>
          <w:spacing w:val="0"/>
          <w:position w:val="0"/>
        </w:rPr>
        <w:t>责任成本管理体系项目部是成本管理的执行层，负责建立项目部的成本管理体系，施行以项目经理为第一责任人的成本管理责任制。参与责任成本测算，落实上级的各项管理制度，分解成本管理目标，具体负责成本计划、成本过程控制和核算分析，确保全面完成上级单位下达的责任成本目标和目标利润指标。工经部是成本管理的主责部门。</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第十八</w:t>
      </w:r>
      <w:r>
        <w:rPr>
          <w:rFonts w:ascii="宋体" w:hAnsi="宋体" w:cs="宋体" w:hint="eastAsia"/>
          <w:spacing w:val="0"/>
          <w:position w:val="0"/>
          <w:lang w:eastAsia="zh-CN"/>
        </w:rPr>
        <w:t>条、</w:t>
      </w:r>
      <w:r>
        <w:rPr>
          <w:rFonts w:ascii="宋体" w:eastAsia="宋体" w:hAnsi="宋体" w:cs="宋体" w:hint="eastAsia"/>
          <w:spacing w:val="0"/>
          <w:position w:val="0"/>
        </w:rPr>
        <w:t>项目部责任成本管理分工项目部职能部门根据成本要素的构成,各司其职,做好责任成本管理的各项工作</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第十九</w:t>
      </w:r>
      <w:r>
        <w:rPr>
          <w:rFonts w:ascii="宋体" w:hAnsi="宋体" w:cs="宋体" w:hint="eastAsia"/>
          <w:spacing w:val="0"/>
          <w:position w:val="0"/>
          <w:lang w:eastAsia="zh-CN"/>
        </w:rPr>
        <w:t>条、</w:t>
      </w:r>
      <w:r>
        <w:rPr>
          <w:rFonts w:ascii="宋体" w:eastAsia="宋体" w:hAnsi="宋体" w:cs="宋体" w:hint="eastAsia"/>
          <w:spacing w:val="0"/>
          <w:position w:val="0"/>
        </w:rPr>
        <w:t>成本调查与策划项目施工调查时要做好相关成本要素的调查，进行成本测算,编制成本管控纲要,《项目管理策划书》中应包含成本策划的内容，作为项目成本管理的指导性文件。</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第二十</w:t>
      </w:r>
      <w:r>
        <w:rPr>
          <w:rFonts w:ascii="宋体" w:hAnsi="宋体" w:cs="宋体" w:hint="eastAsia"/>
          <w:spacing w:val="0"/>
          <w:position w:val="0"/>
          <w:lang w:eastAsia="zh-CN"/>
        </w:rPr>
        <w:t>条、</w:t>
      </w:r>
      <w:r>
        <w:rPr>
          <w:rFonts w:ascii="宋体" w:eastAsia="宋体" w:hAnsi="宋体" w:cs="宋体" w:hint="eastAsia"/>
          <w:spacing w:val="0"/>
          <w:position w:val="0"/>
        </w:rPr>
        <w:t>责任成本预算编制</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1.编制依据：建设施工合同、施工图、企业指导价格体系、施工调查报告、《项目管理策划书》、实施性施工组织设计和施工方案、主要材料采购、周转材料租赁、机械设备租赁市场调查价、公司自有周转材料和机械设备折旧的有关规定等。</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2.数量、单价及费用确定原则</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工程数量采用施工图数量、施工组织设计和施工方案确定的措施数量。工、料、机消耗量根据定额确定，定额缺项时，根据施工图和施工规范要求进行分析补充，结合现场实际进行调整。各种资源单价在施工调查的基础上结合企业价格体系限价确定。</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sectPr>
          <w:footerReference w:type="default" r:id="rId25"/>
          <w:footerReference w:type="first" r:id="rId26"/>
          <w:type w:val="nextPage"/>
          <w:pgSz w:w="11905" w:h="16838"/>
          <w:pgMar w:top="1440" w:right="1797" w:bottom="1440" w:left="1797" w:header="0" w:footer="1565" w:gutter="0"/>
          <w:pgNumType w:fmt="decimal" w:start="10"/>
          <w:cols w:num="1" w:space="0"/>
          <w:titlePg w:val="0"/>
          <w:rtlGutter w:val="0"/>
          <w:docGrid w:linePitch="0" w:charSpace="0"/>
        </w:sectPr>
      </w:pPr>
      <w:r>
        <w:rPr>
          <w:rFonts w:ascii="宋体" w:eastAsia="宋体" w:hAnsi="宋体" w:cs="宋体" w:hint="eastAsia"/>
          <w:spacing w:val="0"/>
          <w:position w:val="0"/>
        </w:rPr>
        <w:t>第二十一</w:t>
      </w:r>
      <w:r>
        <w:rPr>
          <w:rFonts w:ascii="宋体" w:hAnsi="宋体" w:cs="宋体" w:hint="eastAsia"/>
          <w:spacing w:val="0"/>
          <w:position w:val="0"/>
          <w:lang w:eastAsia="zh-CN"/>
        </w:rPr>
        <w:t>条、</w:t>
      </w:r>
      <w:r>
        <w:rPr>
          <w:rFonts w:ascii="宋体" w:eastAsia="宋体" w:hAnsi="宋体" w:cs="宋体" w:hint="eastAsia"/>
          <w:spacing w:val="0"/>
          <w:position w:val="0"/>
        </w:rPr>
        <w:t>责任成本预算审批和下达</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公司成本管理部会同项目部编制责任成本预算，报公司领导审批后下达，作为《项目部经济承包责任书》的组成部分，项目部付诸实施，原则上开工后3个月内完成。</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第二十二</w:t>
      </w:r>
      <w:r>
        <w:rPr>
          <w:rFonts w:ascii="宋体" w:hAnsi="宋体" w:cs="宋体" w:hint="eastAsia"/>
          <w:spacing w:val="0"/>
          <w:position w:val="0"/>
          <w:lang w:eastAsia="zh-CN"/>
        </w:rPr>
        <w:t>条、</w:t>
      </w:r>
      <w:r>
        <w:rPr>
          <w:rFonts w:ascii="宋体" w:eastAsia="宋体" w:hAnsi="宋体" w:cs="宋体" w:hint="eastAsia"/>
          <w:spacing w:val="0"/>
          <w:position w:val="0"/>
        </w:rPr>
        <w:t>责任成本分解</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公司下达责任成本预算后，项目经理组织相关部门以分部分项工程为单位进行分解，作为责任成本控制的标准。</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第二十三</w:t>
      </w:r>
      <w:r>
        <w:rPr>
          <w:rFonts w:ascii="宋体" w:hAnsi="宋体" w:cs="宋体" w:hint="eastAsia"/>
          <w:spacing w:val="0"/>
          <w:position w:val="0"/>
          <w:lang w:eastAsia="zh-CN"/>
        </w:rPr>
        <w:t>条、</w:t>
      </w:r>
      <w:r>
        <w:rPr>
          <w:rFonts w:ascii="宋体" w:eastAsia="宋体" w:hAnsi="宋体" w:cs="宋体" w:hint="eastAsia"/>
          <w:spacing w:val="0"/>
          <w:position w:val="0"/>
        </w:rPr>
        <w:t>责任成本控制</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1.公司在发布全公司劳务分包、材料采购、周转材料及机械租赁指导限价的基础上，根据项目具体情况调整后下达本项目的限价，作为项目成本控制的依据。</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2.贯彻“方案决定成本”的指导思想，科学制定施工方案，优化施工工艺，合理配置生产要素，进行技术经济比选，选择最优施工方案。</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3.加强材料的计划、采购、验收、领用、消耗、核算等各环节的管理。对用量大、规格单一的大宗物资实行招标采购，集中供应。加强对砂、石等地材采购数量和单价的控制，充分利用当地资源，就地开采，自行组织生产，降低材料成本。实行限额发料制度，加强材料核算，定期清查盘点。加快项目周转材料的周转次数，降低周转材料成本。</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4.合理配置机械设备，充分做好机械设备租赁和购买方案的经济比选工作；加强对机械设备维护和保养，提高机械设备的完好率和利用率；</w:t>
      </w:r>
      <w:r>
        <w:rPr>
          <w:rFonts w:ascii="宋体" w:eastAsia="宋体" w:hAnsi="宋体" w:cs="宋体" w:hint="eastAsia"/>
          <w:spacing w:val="0"/>
          <w:position w:val="0"/>
        </w:rPr>
        <w:t>实行单机单车核算，按台班产量进行考核，降低燃油料费、电费和维修费；要按工程量大小，合理租赁机械设备，严格按工程量进行费用结算；根据现场实际情况，及时进行清退，严禁机械设备闲置。</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5.组建精干高效的项目部，人员定岗定编，制定现场管理标准，严格控制现场管理费支出。</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6.以工程数量、主要材料、周转材料、租赁设备等数量总控为手段，</w:t>
      </w:r>
      <w:r>
        <w:rPr>
          <w:rFonts w:ascii="宋体" w:eastAsia="宋体" w:hAnsi="宋体" w:cs="宋体" w:hint="eastAsia"/>
          <w:spacing w:val="0"/>
          <w:position w:val="0"/>
        </w:rPr>
        <w:t>依托成本管理信息系统，加强机关部门的审批管理，规范合同签订、结算、付款等行为。</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sectPr>
          <w:footerReference w:type="default" r:id="rId27"/>
          <w:footerReference w:type="first" r:id="rId28"/>
          <w:type w:val="nextPage"/>
          <w:pgSz w:w="11905" w:h="16838"/>
          <w:pgMar w:top="1440" w:right="1797" w:bottom="1440" w:left="1797" w:header="0" w:footer="1565" w:gutter="0"/>
          <w:pgNumType w:fmt="decimal" w:start="11"/>
          <w:cols w:num="1" w:space="0"/>
          <w:titlePg w:val="0"/>
          <w:rtlGutter w:val="0"/>
          <w:docGrid w:linePitch="0" w:charSpace="0"/>
        </w:sectPr>
      </w:pPr>
      <w:r>
        <w:rPr>
          <w:rFonts w:ascii="宋体" w:eastAsia="宋体" w:hAnsi="宋体" w:cs="宋体" w:hint="eastAsia"/>
          <w:spacing w:val="0"/>
          <w:position w:val="0"/>
        </w:rPr>
        <w:t>第二十四条</w:t>
      </w:r>
      <w:r>
        <w:rPr>
          <w:rFonts w:ascii="宋体" w:hAnsi="宋体" w:cs="宋体" w:hint="eastAsia"/>
          <w:spacing w:val="0"/>
          <w:position w:val="0"/>
          <w:lang w:eastAsia="zh-CN"/>
        </w:rPr>
        <w:t>、</w:t>
      </w:r>
      <w:r>
        <w:rPr>
          <w:rFonts w:ascii="宋体" w:eastAsia="宋体" w:hAnsi="宋体" w:cs="宋体" w:hint="eastAsia"/>
          <w:spacing w:val="0"/>
          <w:position w:val="0"/>
        </w:rPr>
        <w:t>责任成本计价</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项目部每季度统计实际完成的工程数量，按照公司下达责任成本预算确定的单价，编制责任成本验工计价表，上报公司审批，作为拨付项目资金的控制依据。</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第二十五条</w:t>
      </w:r>
      <w:r>
        <w:rPr>
          <w:rFonts w:ascii="宋体" w:hAnsi="宋体" w:cs="宋体" w:hint="eastAsia"/>
          <w:spacing w:val="0"/>
          <w:position w:val="0"/>
          <w:lang w:eastAsia="zh-CN"/>
        </w:rPr>
        <w:t>、</w:t>
      </w:r>
      <w:r>
        <w:rPr>
          <w:rFonts w:ascii="宋体" w:eastAsia="宋体" w:hAnsi="宋体" w:cs="宋体" w:hint="eastAsia"/>
          <w:spacing w:val="0"/>
          <w:position w:val="0"/>
        </w:rPr>
        <w:t>责任成本分析</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项目部按月或季度开展责任成本分析，并作为经济活动分析的重要组成部分，责任成本分析由项目经理组织，主要分析实际成本与责任成本的偏差情况。责任成本分析应及时确认收入，正确归集成本，真实反映项目成本状况。坚持实际产值与实际成本“同步”原则，严格划清已完工程成本与未完工程成本的界限。通过责任成本分析查找管理薄弱环节，制定整改措施。</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第二十六条</w:t>
      </w:r>
      <w:r>
        <w:rPr>
          <w:rFonts w:ascii="宋体" w:hAnsi="宋体" w:cs="宋体" w:hint="eastAsia"/>
          <w:spacing w:val="0"/>
          <w:position w:val="0"/>
          <w:lang w:eastAsia="zh-CN"/>
        </w:rPr>
        <w:t>、</w:t>
      </w:r>
      <w:r>
        <w:rPr>
          <w:rFonts w:ascii="宋体" w:eastAsia="宋体" w:hAnsi="宋体" w:cs="宋体" w:hint="eastAsia"/>
          <w:spacing w:val="0"/>
          <w:position w:val="0"/>
        </w:rPr>
        <w:t>项目责任成本检查及预警</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1.项目开工后三至六个月内，由公司分管领导带队，组织相关部门进行责任成本检查，发现问题及时纠正并提出整改要求。情况严重的，公司组织工作组进驻现场帮助进行成本分析并督促整改。</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2.对于施工组织不力、管理不善等原因造成项目实际毛利率低于下达目标毛利率的一定比例时，公司将对项目发出预警通告。并督促项目部查找原因，提交分析报告及整改措施上报公司。</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第二十七条</w:t>
      </w:r>
      <w:r>
        <w:rPr>
          <w:rFonts w:ascii="宋体" w:hAnsi="宋体" w:cs="宋体" w:hint="eastAsia"/>
          <w:spacing w:val="0"/>
          <w:position w:val="0"/>
          <w:lang w:eastAsia="zh-CN"/>
        </w:rPr>
        <w:t>、</w:t>
      </w:r>
      <w:r>
        <w:rPr>
          <w:rFonts w:ascii="宋体" w:eastAsia="宋体" w:hAnsi="宋体" w:cs="宋体" w:hint="eastAsia"/>
          <w:spacing w:val="0"/>
          <w:position w:val="0"/>
        </w:rPr>
        <w:t>责任成本考核和奖惩</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公司应按年度对项目责任成本进行考核，作为项目年度绩效考核的重要依据。项目竣工验收、竣工决算完成后进行终期考核。</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公司对考核完成责任成本目标或目标利润的项目部要及时给予兑现，对未完成责任成本目标或目标利润的项目部根据相关办法进行问责。</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第二十八</w:t>
      </w:r>
      <w:r>
        <w:rPr>
          <w:rFonts w:ascii="宋体" w:hAnsi="宋体" w:cs="宋体" w:hint="eastAsia"/>
          <w:spacing w:val="0"/>
          <w:position w:val="0"/>
          <w:lang w:eastAsia="zh-CN"/>
        </w:rPr>
        <w:t>条、</w:t>
      </w:r>
      <w:r>
        <w:rPr>
          <w:rFonts w:ascii="宋体" w:eastAsia="宋体" w:hAnsi="宋体" w:cs="宋体" w:hint="eastAsia"/>
          <w:spacing w:val="0"/>
          <w:position w:val="0"/>
        </w:rPr>
        <w:t>变更索赔管理</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1.项目部在全面掌握合同条款并结合现场具体情况编制变更索赔策划书，报公司审批，作为本项目变更索赔工作的指导性文件。</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2.项目部应定期召开变更索赔例会，总结前阶段工作，查找存在的问题，部署下一阶段工作重点，明确相关责任人，推进变更索赔工作。</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3.及时收集变更通知单、会议纪要等重要资料，根据合同条款满足变更条件的，应及时上报变更资料。</w:t>
      </w:r>
    </w:p>
    <w:p>
      <w:pPr>
        <w:keepNext w:val="0"/>
        <w:keepLines w:val="0"/>
        <w:pageBreakBefore w:val="0"/>
        <w:widowControl w:val="0"/>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sectPr>
          <w:footerReference w:type="default" r:id="rId29"/>
          <w:footerReference w:type="first" r:id="rId30"/>
          <w:type w:val="nextPage"/>
          <w:pgSz w:w="11905" w:h="16838"/>
          <w:pgMar w:top="1440" w:right="1797" w:bottom="1440" w:left="1797" w:header="0" w:footer="1565" w:gutter="0"/>
          <w:pgNumType w:fmt="decimal" w:start="12"/>
          <w:cols w:num="1" w:space="0"/>
          <w:titlePg w:val="0"/>
          <w:rtlGutter w:val="0"/>
          <w:docGrid w:linePitch="0" w:charSpace="0"/>
        </w:sectPr>
      </w:pPr>
    </w:p>
    <w:p>
      <w:pPr>
        <w:keepNext w:val="0"/>
        <w:keepLines w:val="0"/>
        <w:pageBreakBefore w:val="0"/>
        <w:widowControl w:val="0"/>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sectPr>
          <w:footerReference w:type="default" r:id="rId31"/>
          <w:footerReference w:type="first" r:id="rId32"/>
          <w:type w:val="nextPage"/>
          <w:pgSz w:w="11905" w:h="16838"/>
          <w:pgMar w:top="1440" w:right="1797" w:bottom="1440" w:left="1797" w:header="0" w:footer="1565" w:gutter="0"/>
          <w:pgNumType w:fmt="decimal" w:start="13"/>
          <w:cols w:num="1" w:space="0"/>
          <w:titlePg w:val="0"/>
          <w:rtlGutter w:val="0"/>
          <w:docGrid w:linePitch="0" w:charSpace="0"/>
        </w:sectPr>
      </w:pPr>
      <w:r>
        <w:rPr>
          <w:rFonts w:ascii="宋体" w:eastAsia="宋体" w:hAnsi="宋体" w:cs="宋体" w:hint="eastAsia"/>
          <w:spacing w:val="0"/>
          <w:position w:val="0"/>
        </w:rPr>
        <w:t>4.项目发生索赔事件的，应及时收集相关证据，按照合同约定的时间上报索赔资料。</w:t>
      </w:r>
    </w:p>
    <w:p>
      <w:pPr>
        <w:pStyle w:val="Heading1"/>
        <w:widowControl w:val="0"/>
        <w:kinsoku w:val="0"/>
        <w:wordWrap/>
        <w:overflowPunct/>
        <w:topLinePunct w:val="0"/>
        <w:autoSpaceDE w:val="0"/>
        <w:autoSpaceDN w:val="0"/>
        <w:bidi w:val="0"/>
        <w:adjustRightInd w:val="0"/>
        <w:snapToGrid w:val="0"/>
        <w:textAlignment w:val="baseline"/>
        <w:rPr>
          <w:rFonts w:ascii="黑体" w:eastAsia="黑体" w:hAnsi="黑体" w:cs="黑体"/>
          <w:spacing w:val="0"/>
          <w:position w:val="0"/>
          <w:sz w:val="47"/>
          <w:szCs w:val="47"/>
        </w:rPr>
      </w:pPr>
      <w:bookmarkStart w:id="20" w:name="_Toc27654"/>
      <w:bookmarkStart w:id="21" w:name="_Toc22867"/>
      <w:bookmarkStart w:id="22" w:name="_Toc4881"/>
      <w:r>
        <w:rPr>
          <w:rFonts w:ascii="黑体" w:eastAsia="黑体" w:hAnsi="黑体" w:cs="黑体"/>
          <w:spacing w:val="0"/>
          <w:position w:val="0"/>
          <w:sz w:val="47"/>
          <w:szCs w:val="47"/>
        </w:rPr>
        <w:t>第六章</w:t>
      </w:r>
      <w:r>
        <w:rPr>
          <w:rFonts w:ascii="黑体" w:eastAsia="黑体" w:hAnsi="黑体" w:cs="黑体" w:hint="eastAsia"/>
          <w:spacing w:val="0"/>
          <w:position w:val="0"/>
          <w:sz w:val="47"/>
          <w:szCs w:val="47"/>
          <w:lang w:eastAsia="zh-CN"/>
        </w:rPr>
        <w:t>、</w:t>
      </w:r>
      <w:r>
        <w:rPr>
          <w:rFonts w:ascii="黑体" w:eastAsia="黑体" w:hAnsi="黑体" w:cs="黑体"/>
          <w:spacing w:val="0"/>
          <w:position w:val="0"/>
          <w:sz w:val="47"/>
          <w:szCs w:val="47"/>
        </w:rPr>
        <w:t>物资管</w:t>
      </w:r>
      <w:r>
        <w:rPr>
          <w:rFonts w:ascii="黑体" w:eastAsia="黑体" w:hAnsi="黑体" w:cs="黑体"/>
          <w:spacing w:val="0"/>
          <w:position w:val="0"/>
          <w:sz w:val="47"/>
          <w:szCs w:val="47"/>
        </w:rPr>
        <w:t>理</w:t>
      </w:r>
      <w:bookmarkEnd w:id="20"/>
      <w:bookmarkEnd w:id="21"/>
      <w:bookmarkEnd w:id="22"/>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第二十九</w:t>
      </w:r>
      <w:r>
        <w:rPr>
          <w:rFonts w:ascii="宋体" w:hAnsi="宋体" w:cs="宋体" w:hint="eastAsia"/>
          <w:spacing w:val="0"/>
          <w:position w:val="0"/>
          <w:lang w:eastAsia="zh-CN"/>
        </w:rPr>
        <w:t>条、</w:t>
      </w:r>
      <w:r>
        <w:rPr>
          <w:rFonts w:ascii="宋体" w:eastAsia="宋体" w:hAnsi="宋体" w:cs="宋体" w:hint="eastAsia"/>
          <w:spacing w:val="0"/>
          <w:position w:val="0"/>
        </w:rPr>
        <w:t>物资市场调查</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项目进点后，应组织人员进行物资市场调查。调查内容包括当地及周边各种资源状况、价格、主要资源供应(生产)商情况等。调查分施工前、施工中，定期、不定期调查，并撰写书面调查报告或调查纪要备案，必要时上报公司审核。第三十</w:t>
      </w:r>
      <w:r>
        <w:rPr>
          <w:rFonts w:ascii="宋体" w:hAnsi="宋体" w:cs="宋体" w:hint="eastAsia"/>
          <w:spacing w:val="0"/>
          <w:position w:val="0"/>
          <w:lang w:eastAsia="zh-CN"/>
        </w:rPr>
        <w:t>条、</w:t>
      </w:r>
      <w:r>
        <w:rPr>
          <w:rFonts w:ascii="宋体" w:eastAsia="宋体" w:hAnsi="宋体" w:cs="宋体" w:hint="eastAsia"/>
          <w:spacing w:val="0"/>
          <w:position w:val="0"/>
        </w:rPr>
        <w:t>物资计划管理</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1.项目部工程部门编制《分工号主要物资需用量明细表》，经项目总工程师复核、签认，物机部据此编制《主要物资总量控制台帐》，作为整个项目物资采购、消耗的总控目标；当有变更时，物机部根据工程部提供的变更通知及时调整《分工号主要物资需用量核算表》、《主要物资总量控制台帐》。</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2.实行季(月)度物资申请(采购)计划管理制度。编制申请(采购)计划经项目工程部、工经部和财务部等部门审核，领导审批后组织实施。对钢轨、石化产品等有特殊规定的须上报专项采购申请计划；上报区域物资集中招标采购计划；及时上传网上竞价采购计划。</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第三十一</w:t>
      </w:r>
      <w:r>
        <w:rPr>
          <w:rFonts w:ascii="宋体" w:hAnsi="宋体" w:cs="宋体" w:hint="eastAsia"/>
          <w:spacing w:val="0"/>
          <w:position w:val="0"/>
          <w:lang w:eastAsia="zh-CN"/>
        </w:rPr>
        <w:t>条、</w:t>
      </w:r>
      <w:r>
        <w:rPr>
          <w:rFonts w:ascii="宋体" w:eastAsia="宋体" w:hAnsi="宋体" w:cs="宋体" w:hint="eastAsia"/>
          <w:spacing w:val="0"/>
          <w:position w:val="0"/>
        </w:rPr>
        <w:t>物资供应商管理</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hAnsi="宋体" w:cs="宋体" w:hint="eastAsia"/>
          <w:spacing w:val="0"/>
          <w:position w:val="0"/>
          <w:lang w:val="en-US" w:eastAsia="zh-CN"/>
        </w:rPr>
        <w:t>1</w:t>
      </w:r>
      <w:r>
        <w:rPr>
          <w:rFonts w:ascii="宋体" w:eastAsia="宋体" w:hAnsi="宋体" w:cs="宋体" w:hint="eastAsia"/>
          <w:spacing w:val="0"/>
          <w:position w:val="0"/>
        </w:rPr>
        <w:t>.供应商调查：根据工程项目实际从上级管理单位发布的《合格物资供方名录》中选择供应商，对不在合格名录内的供应商须进行调查。</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hAnsi="宋体" w:cs="宋体" w:hint="eastAsia"/>
          <w:spacing w:val="0"/>
          <w:position w:val="0"/>
          <w:lang w:val="en-US" w:eastAsia="zh-CN"/>
        </w:rPr>
        <w:t>2</w:t>
      </w:r>
      <w:r>
        <w:rPr>
          <w:rFonts w:ascii="宋体" w:eastAsia="宋体" w:hAnsi="宋体" w:cs="宋体" w:hint="eastAsia"/>
          <w:spacing w:val="0"/>
          <w:position w:val="0"/>
        </w:rPr>
        <w:t>.供应商评价：根据“谁采购谁评价”的原则，对物机部调查的供应商进行评审，经评审“合格”的供应商，上报公司纳入《合格物资供方名录》。</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hAnsi="宋体" w:cs="宋体" w:hint="eastAsia"/>
          <w:spacing w:val="0"/>
          <w:position w:val="0"/>
          <w:lang w:val="en-US" w:eastAsia="zh-CN"/>
        </w:rPr>
        <w:t>3</w:t>
      </w:r>
      <w:r>
        <w:rPr>
          <w:rFonts w:ascii="宋体" w:eastAsia="宋体" w:hAnsi="宋体" w:cs="宋体" w:hint="eastAsia"/>
          <w:spacing w:val="0"/>
          <w:position w:val="0"/>
        </w:rPr>
        <w:t>.供应商复评：每年项目部对本单位所评价的合格供应商进行一次复评。复评不合格的列入《不合格物资供方名录》，三年内不得使用。</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第三十二</w:t>
      </w:r>
      <w:r>
        <w:rPr>
          <w:rFonts w:ascii="宋体" w:hAnsi="宋体" w:cs="宋体" w:hint="eastAsia"/>
          <w:spacing w:val="0"/>
          <w:position w:val="0"/>
          <w:lang w:eastAsia="zh-CN"/>
        </w:rPr>
        <w:t>条、</w:t>
      </w:r>
      <w:r>
        <w:rPr>
          <w:rFonts w:ascii="宋体" w:eastAsia="宋体" w:hAnsi="宋体" w:cs="宋体" w:hint="eastAsia"/>
          <w:spacing w:val="0"/>
          <w:position w:val="0"/>
        </w:rPr>
        <w:t>物资采购</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1.按照公司物资采购管理制度要求，积极推行物资集中</w:t>
      </w:r>
      <w:r>
        <w:rPr>
          <w:rFonts w:ascii="宋体" w:eastAsia="宋体" w:hAnsi="宋体" w:cs="宋体" w:hint="eastAsia"/>
          <w:spacing w:val="0"/>
          <w:position w:val="0"/>
        </w:rPr>
        <w:tab/>
      </w:r>
      <w:r>
        <w:rPr>
          <w:rFonts w:ascii="宋体" w:eastAsia="宋体" w:hAnsi="宋体" w:cs="宋体" w:hint="eastAsia"/>
          <w:spacing w:val="0"/>
          <w:position w:val="0"/>
        </w:rPr>
        <w:t>(区域)招标采购、战略采购、网上竞价采购等方式；充分利用股份公司开发的《中国中铁电子商务平台》开展物资采购业务。</w:t>
      </w:r>
    </w:p>
    <w:p>
      <w:pPr>
        <w:keepNext w:val="0"/>
        <w:keepLines w:val="0"/>
        <w:pageBreakBefore w:val="0"/>
        <w:widowControl w:val="0"/>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sectPr>
          <w:footerReference w:type="default" r:id="rId33"/>
          <w:footerReference w:type="first" r:id="rId34"/>
          <w:type w:val="nextPage"/>
          <w:pgSz w:w="11905" w:h="16838"/>
          <w:pgMar w:top="1440" w:right="1797" w:bottom="1440" w:left="1797" w:header="0" w:footer="1565" w:gutter="0"/>
          <w:pgNumType w:fmt="decimal" w:start="14"/>
          <w:cols w:num="1" w:space="0"/>
          <w:titlePg w:val="0"/>
          <w:rtlGutter w:val="0"/>
          <w:docGrid w:linePitch="0" w:charSpace="0"/>
        </w:sectPr>
      </w:pPr>
    </w:p>
    <w:p>
      <w:pPr>
        <w:keepNext w:val="0"/>
        <w:keepLines w:val="0"/>
        <w:pageBreakBefore w:val="0"/>
        <w:widowControl w:val="0"/>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2.二级公司负责对钢材、水泥、商砼、钢绞线、锚具等主要材料实行区域物资集中招标采购；三级公司负责对地材及其它批量物资的招标采购；二三项料、辅助材料等实行网上竞价采购。</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3.对不适宜采取招标采购的物资，项目部可采取竞争性谈判或询价采购等方式进行，妥善保存谈判会议纪要、供应商报价单、采购比价汇总表等资料。</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4.公司应制定切实可行的办法，监督物资招(议)标采购，以确保公平公正公开。</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5.招标及批量采购物资必须与供方签订采购合同，采购合同及相关补充协议签订前须进行两级合同评审，报公司审批后签订。项目部物机部建立物资采购合同管理台帐，对合同的签订、履行情况进行动态监控。</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6.严禁劳务企业自行采购工程实体物资。</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第三十三</w:t>
      </w:r>
      <w:r>
        <w:rPr>
          <w:rFonts w:ascii="宋体" w:hAnsi="宋体" w:cs="宋体" w:hint="eastAsia"/>
          <w:spacing w:val="0"/>
          <w:position w:val="0"/>
          <w:lang w:eastAsia="zh-CN"/>
        </w:rPr>
        <w:t>条、</w:t>
      </w:r>
      <w:r>
        <w:rPr>
          <w:rFonts w:ascii="宋体" w:eastAsia="宋体" w:hAnsi="宋体" w:cs="宋体" w:hint="eastAsia"/>
          <w:spacing w:val="0"/>
          <w:position w:val="0"/>
        </w:rPr>
        <w:t>物资验收与检验</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1.项目部物机部负责对进场物资的数量和质量验收把关；对大宗物资、批量物资实行两人或以上共同验收制度，条件具备的可通过视频监督物资验收过程；及时填写《进场/入库物资验收登记簿》。同时按规定程序进行检验和试验，建立《物资送检台账》。</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2.物资进场经验收合格后，应及时办理入库手续，填制材料验收单，并对入库物资按要求进行标识。</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3.对建设方提供的物资按施工合同约定，做好物资质量、样品、价格确认手续；按合同规定，组织物资进场、验收、检验、贮存、使用管理；及时办理结算手续。</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第三十四</w:t>
      </w:r>
      <w:r>
        <w:rPr>
          <w:rFonts w:ascii="宋体" w:hAnsi="宋体" w:cs="宋体" w:hint="eastAsia"/>
          <w:spacing w:val="0"/>
          <w:position w:val="0"/>
          <w:lang w:eastAsia="zh-CN"/>
        </w:rPr>
        <w:t>条、</w:t>
      </w:r>
      <w:r>
        <w:rPr>
          <w:rFonts w:ascii="宋体" w:eastAsia="宋体" w:hAnsi="宋体" w:cs="宋体" w:hint="eastAsia"/>
          <w:spacing w:val="0"/>
          <w:position w:val="0"/>
        </w:rPr>
        <w:t>物资使用与盘点</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1.物机部必须依据工程部提供的《主要物资需用量核算表》，建立《分工号主要物资限(定)额供应台帐》，按照材料计划执行，定额控制；根据施工进度分次、分批发放，严禁一次性超计划供应。</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2.劳务企业的物资发放。按照合同规定进行发放，领料必须是有权领料人签字；对劳务企业的施工用料进行动态管理，及时掌握现场材料的消耗情况，严禁劳务企业在施工过程中偷工减料以及将施工用料或工地剩余物资对外处理或销售。</w:t>
      </w:r>
    </w:p>
    <w:p>
      <w:pPr>
        <w:keepNext w:val="0"/>
        <w:keepLines w:val="0"/>
        <w:pageBreakBefore w:val="0"/>
        <w:widowControl w:val="0"/>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sectPr>
          <w:footerReference w:type="default" r:id="rId35"/>
          <w:footerReference w:type="first" r:id="rId36"/>
          <w:type w:val="nextPage"/>
          <w:pgSz w:w="11905" w:h="16838"/>
          <w:pgMar w:top="1440" w:right="1797" w:bottom="1440" w:left="1797" w:header="0" w:footer="1565" w:gutter="0"/>
          <w:pgNumType w:fmt="decimal" w:start="15"/>
          <w:cols w:num="1" w:space="0"/>
          <w:titlePg w:val="0"/>
          <w:rtlGutter w:val="0"/>
          <w:docGrid w:linePitch="0" w:charSpace="0"/>
        </w:sectPr>
      </w:pPr>
    </w:p>
    <w:p>
      <w:pPr>
        <w:keepNext w:val="0"/>
        <w:keepLines w:val="0"/>
        <w:pageBreakBefore w:val="0"/>
        <w:widowControl w:val="0"/>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3.物机部应利用信息化管理手段处理物资基础业务，月末由物机部定期编制物资收、发、存动态表、周转材料摊销单等，财务部按月审核单据、进行对账处理。</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4.项目部实行物资月末盘点制度。物资盘点与项目收方、结算同步，库存盘点不仅包括库房及料场的原材料库存，还包括各工号、各工序未投入使用原材料、在制品、半成品库存。</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第三十五</w:t>
      </w:r>
      <w:r>
        <w:rPr>
          <w:rFonts w:ascii="宋体" w:hAnsi="宋体" w:cs="宋体" w:hint="eastAsia"/>
          <w:spacing w:val="0"/>
          <w:position w:val="0"/>
          <w:lang w:eastAsia="zh-CN"/>
        </w:rPr>
        <w:t>条、</w:t>
      </w:r>
      <w:r>
        <w:rPr>
          <w:rFonts w:ascii="宋体" w:eastAsia="宋体" w:hAnsi="宋体" w:cs="宋体" w:hint="eastAsia"/>
          <w:spacing w:val="0"/>
          <w:position w:val="0"/>
        </w:rPr>
        <w:t>物资核算</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1.项目部对主要物资应坚持“月核算、季分析”的核算原则，定期开展材料核算工作。每季度应进行一次详细“量、价、费用”三方面的物资核算、分析，基础数据真实、完整。</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2.项目部应对劳务企业施工用主要材料消耗月核算、定期考核；分析节超原因，提出改进措施，并对超耗材料按合同约定进行结算。</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3.项目部物资核算的程序、方法执行公司物资核算管理办法。</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第三十六</w:t>
      </w:r>
      <w:r>
        <w:rPr>
          <w:rFonts w:ascii="宋体" w:hAnsi="宋体" w:cs="宋体" w:hint="eastAsia"/>
          <w:spacing w:val="0"/>
          <w:position w:val="0"/>
          <w:lang w:eastAsia="zh-CN"/>
        </w:rPr>
        <w:t>条、</w:t>
      </w:r>
      <w:r>
        <w:rPr>
          <w:rFonts w:ascii="宋体" w:eastAsia="宋体" w:hAnsi="宋体" w:cs="宋体" w:hint="eastAsia"/>
          <w:spacing w:val="0"/>
          <w:position w:val="0"/>
        </w:rPr>
        <w:t>周转材料和小型机具管理</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1.公司建立周转材料和小型机具调剂平台，发布指导价，定期更新信息，优先从内部调剂、租赁。</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2.项目部依据编制的《施工组织设计》中周转材料和小型机具需用计划；物机部根据需用计划确定是否新购或租赁，并上报公司审批。</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3.项目部建立健全周转材料和小型机具的收、发、存、领、用、退、租赁台帐，加强周转材料的现场管理。</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第三十七</w:t>
      </w:r>
      <w:r>
        <w:rPr>
          <w:rFonts w:ascii="宋体" w:hAnsi="宋体" w:cs="宋体" w:hint="eastAsia"/>
          <w:spacing w:val="0"/>
          <w:position w:val="0"/>
          <w:lang w:eastAsia="zh-CN"/>
        </w:rPr>
        <w:t>条、</w:t>
      </w:r>
      <w:r>
        <w:rPr>
          <w:rFonts w:ascii="宋体" w:eastAsia="宋体" w:hAnsi="宋体" w:cs="宋体" w:hint="eastAsia"/>
          <w:spacing w:val="0"/>
          <w:position w:val="0"/>
        </w:rPr>
        <w:t>物资调差资料管理</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工程设计变更及施工期间因物价变动需要进行物资调差的，工经部、物机部等部门及时收集、妥善保管本阶段物资采购资料、原始票据，以便向业主提供全面、真实的调价依据。</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第三十八</w:t>
      </w:r>
      <w:r>
        <w:rPr>
          <w:rFonts w:ascii="宋体" w:hAnsi="宋体" w:cs="宋体" w:hint="eastAsia"/>
          <w:spacing w:val="0"/>
          <w:position w:val="0"/>
          <w:lang w:eastAsia="zh-CN"/>
        </w:rPr>
        <w:t>条、</w:t>
      </w:r>
      <w:r>
        <w:rPr>
          <w:rFonts w:ascii="宋体" w:eastAsia="宋体" w:hAnsi="宋体" w:cs="宋体" w:hint="eastAsia"/>
          <w:spacing w:val="0"/>
          <w:position w:val="0"/>
        </w:rPr>
        <w:t>工地剩余物资和废旧物资处理</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sectPr>
          <w:footerReference w:type="default" r:id="rId37"/>
          <w:footerReference w:type="first" r:id="rId38"/>
          <w:type w:val="nextPage"/>
          <w:pgSz w:w="11905" w:h="16838"/>
          <w:pgMar w:top="1440" w:right="1797" w:bottom="1440" w:left="1797" w:header="0" w:footer="1565" w:gutter="0"/>
          <w:pgNumType w:fmt="decimal" w:start="16"/>
          <w:cols w:num="1" w:space="0"/>
          <w:titlePg w:val="0"/>
          <w:rtlGutter w:val="0"/>
          <w:docGrid w:linePitch="0" w:charSpace="0"/>
        </w:sectPr>
      </w:pPr>
      <w:r>
        <w:rPr>
          <w:rFonts w:ascii="宋体" w:eastAsia="宋体" w:hAnsi="宋体" w:cs="宋体" w:hint="eastAsia"/>
          <w:spacing w:val="0"/>
          <w:position w:val="0"/>
        </w:rPr>
        <w:t>项目部应按要求对需处理的废旧物资、工地剩余物资清点造册、评估并提出处理意见，报公司批准后执行；禁止帐外处理。</w:t>
      </w:r>
    </w:p>
    <w:p>
      <w:pPr>
        <w:pStyle w:val="Heading1"/>
        <w:widowControl w:val="0"/>
        <w:kinsoku w:val="0"/>
        <w:wordWrap/>
        <w:overflowPunct/>
        <w:topLinePunct w:val="0"/>
        <w:autoSpaceDE w:val="0"/>
        <w:autoSpaceDN w:val="0"/>
        <w:bidi w:val="0"/>
        <w:adjustRightInd w:val="0"/>
        <w:snapToGrid w:val="0"/>
        <w:textAlignment w:val="baseline"/>
        <w:rPr>
          <w:rFonts w:ascii="黑体" w:eastAsia="黑体" w:hAnsi="黑体" w:cs="黑体"/>
          <w:spacing w:val="0"/>
          <w:position w:val="0"/>
          <w:sz w:val="47"/>
          <w:szCs w:val="47"/>
        </w:rPr>
      </w:pPr>
      <w:bookmarkStart w:id="23" w:name="_Toc6755"/>
      <w:bookmarkStart w:id="24" w:name="_Toc4818"/>
      <w:bookmarkStart w:id="25" w:name="_Toc4207"/>
      <w:r>
        <w:rPr>
          <w:rFonts w:ascii="黑体" w:eastAsia="黑体" w:hAnsi="黑体" w:cs="黑体"/>
          <w:spacing w:val="0"/>
          <w:position w:val="0"/>
          <w:sz w:val="47"/>
          <w:szCs w:val="47"/>
        </w:rPr>
        <w:t>第七章</w:t>
      </w:r>
      <w:r>
        <w:rPr>
          <w:rFonts w:ascii="黑体" w:eastAsia="黑体" w:hAnsi="黑体" w:cs="黑体" w:hint="eastAsia"/>
          <w:spacing w:val="0"/>
          <w:position w:val="0"/>
          <w:sz w:val="47"/>
          <w:szCs w:val="47"/>
          <w:lang w:eastAsia="zh-CN"/>
        </w:rPr>
        <w:t>、</w:t>
      </w:r>
      <w:r>
        <w:rPr>
          <w:rFonts w:ascii="黑体" w:eastAsia="黑体" w:hAnsi="黑体" w:cs="黑体"/>
          <w:spacing w:val="0"/>
          <w:position w:val="0"/>
          <w:sz w:val="47"/>
          <w:szCs w:val="47"/>
        </w:rPr>
        <w:t>设备管</w:t>
      </w:r>
      <w:r>
        <w:rPr>
          <w:rFonts w:ascii="黑体" w:eastAsia="黑体" w:hAnsi="黑体" w:cs="黑体"/>
          <w:spacing w:val="0"/>
          <w:position w:val="0"/>
          <w:sz w:val="47"/>
          <w:szCs w:val="47"/>
        </w:rPr>
        <w:t>理</w:t>
      </w:r>
      <w:bookmarkEnd w:id="23"/>
      <w:bookmarkEnd w:id="24"/>
      <w:bookmarkEnd w:id="25"/>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第三十九</w:t>
      </w:r>
      <w:r>
        <w:rPr>
          <w:rFonts w:ascii="宋体" w:hAnsi="宋体" w:cs="宋体" w:hint="eastAsia"/>
          <w:spacing w:val="0"/>
          <w:position w:val="0"/>
          <w:lang w:eastAsia="zh-CN"/>
        </w:rPr>
        <w:t>条、</w:t>
      </w:r>
      <w:r>
        <w:rPr>
          <w:rFonts w:ascii="宋体" w:eastAsia="宋体" w:hAnsi="宋体" w:cs="宋体" w:hint="eastAsia"/>
          <w:spacing w:val="0"/>
          <w:position w:val="0"/>
        </w:rPr>
        <w:t>编制机械设备配置计划</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1.工程部根据施工组织设计和项目施工进度安排提出《机械设备配置计划》。</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2.物机部依据机械需求计划和项目施工需要提出机械配置计划，明确机械名称、规格型号、数量、使用日期、来源等，上报公司审批执行。</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第四十</w:t>
      </w:r>
      <w:r>
        <w:rPr>
          <w:rFonts w:ascii="宋体" w:hAnsi="宋体" w:cs="宋体" w:hint="eastAsia"/>
          <w:spacing w:val="0"/>
          <w:position w:val="0"/>
          <w:lang w:eastAsia="zh-CN"/>
        </w:rPr>
        <w:t>条、</w:t>
      </w:r>
      <w:r>
        <w:rPr>
          <w:rFonts w:ascii="宋体" w:eastAsia="宋体" w:hAnsi="宋体" w:cs="宋体" w:hint="eastAsia"/>
          <w:spacing w:val="0"/>
          <w:position w:val="0"/>
        </w:rPr>
        <w:t>机械设备购置机械设备购置根据公司相关办法执行，实行集中招标采购。</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第四十一</w:t>
      </w:r>
      <w:r>
        <w:rPr>
          <w:rFonts w:ascii="宋体" w:hAnsi="宋体" w:cs="宋体" w:hint="eastAsia"/>
          <w:spacing w:val="0"/>
          <w:position w:val="0"/>
          <w:lang w:eastAsia="zh-CN"/>
        </w:rPr>
        <w:t>条、</w:t>
      </w:r>
      <w:r>
        <w:rPr>
          <w:rFonts w:ascii="宋体" w:eastAsia="宋体" w:hAnsi="宋体" w:cs="宋体" w:hint="eastAsia"/>
          <w:spacing w:val="0"/>
          <w:position w:val="0"/>
        </w:rPr>
        <w:t>机械设备租赁管理</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1.公司要建立机械设备调剂平台、定期发布租赁指导价。</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2.项目部根据项目施工需要，编制《机械设备租赁计划》，并调查当地市场的机械设备租赁资源和价格情况，形成调查报告，上报公司审批。</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3.公司根据自有机械设备情况对《机械设备租赁计划》进行审批。原则上内部调剂，内部资源不能满足时，通过外部租赁解决。</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4.租赁机械设备必须执行租赁合同评审制度，租赁合同经项目部领导和相关部门评审、会签，并报公司审批后签订。</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5.项目部按月结算租赁费用，零租台班应完善签认手续并及时结算。</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第四十二</w:t>
      </w:r>
      <w:r>
        <w:rPr>
          <w:rFonts w:ascii="宋体" w:hAnsi="宋体" w:cs="宋体" w:hint="eastAsia"/>
          <w:spacing w:val="0"/>
          <w:position w:val="0"/>
          <w:lang w:eastAsia="zh-CN"/>
        </w:rPr>
        <w:t>条、</w:t>
      </w:r>
      <w:r>
        <w:rPr>
          <w:rFonts w:ascii="宋体" w:eastAsia="宋体" w:hAnsi="宋体" w:cs="宋体" w:hint="eastAsia"/>
          <w:spacing w:val="0"/>
          <w:position w:val="0"/>
        </w:rPr>
        <w:t>机械设备进(退)场管理</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1.项目部根据现场实际需要，有计划的组织设备进(退)场，必要时要编制设备进(退)场安(拆)装专项技术方案，经公司物资机械管理部门、技术部门、安质部门会审，总工程师批准后方可实施。</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2.机械设备进(退)场时，要对设备的完好状态、安全及环保性能进行验收，验收时出卖方、出租方、安装单位、项目部机械工程师要共同到场按规定验收签字，并做好机械设备进(退)场验证记录。</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第四十三</w:t>
      </w:r>
      <w:r>
        <w:rPr>
          <w:rFonts w:ascii="宋体" w:hAnsi="宋体" w:cs="宋体" w:hint="eastAsia"/>
          <w:spacing w:val="0"/>
          <w:position w:val="0"/>
          <w:lang w:eastAsia="zh-CN"/>
        </w:rPr>
        <w:t>条、</w:t>
      </w:r>
      <w:r>
        <w:rPr>
          <w:rFonts w:ascii="宋体" w:eastAsia="宋体" w:hAnsi="宋体" w:cs="宋体" w:hint="eastAsia"/>
          <w:spacing w:val="0"/>
          <w:position w:val="0"/>
        </w:rPr>
        <w:t>机械设备现场管理</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sectPr>
          <w:footerReference w:type="default" r:id="rId39"/>
          <w:footerReference w:type="first" r:id="rId40"/>
          <w:type w:val="nextPage"/>
          <w:pgSz w:w="11905" w:h="16838"/>
          <w:pgMar w:top="1440" w:right="1797" w:bottom="1440" w:left="1797" w:header="0" w:footer="1565" w:gutter="0"/>
          <w:pgNumType w:fmt="decimal" w:start="17"/>
          <w:cols w:num="1" w:space="0"/>
          <w:titlePg w:val="0"/>
          <w:rtlGutter w:val="0"/>
          <w:docGrid w:linePitch="0" w:charSpace="0"/>
        </w:sectPr>
      </w:pPr>
      <w:r>
        <w:rPr>
          <w:rFonts w:ascii="宋体" w:eastAsia="宋体" w:hAnsi="宋体" w:cs="宋体" w:hint="eastAsia"/>
          <w:spacing w:val="0"/>
          <w:position w:val="0"/>
        </w:rPr>
        <w:t>1.项目部按机械设备管理规定，对本项目所有机械设备日常运转情况进行监督管理，包括自有设备、外租设备和劳务企业自带设备。</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2.机械操作人员必须经过培训并考试合格，持证上岗。</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3.项目部建立机械设备使用岗位责任制、交接班制度、巡回检查制度以及检查验收制度等；实行“定人、定岗、定机”管理原则，定期对机械设备进行安全检查和设备保养，做好检查记录。</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4.项目部应制定以机械设备的台班或工作量核算办法；建立燃油、电力、配件消耗台账，定期开展机械使用费用成本分析。</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第四十四</w:t>
      </w:r>
      <w:r>
        <w:rPr>
          <w:rFonts w:ascii="宋体" w:hAnsi="宋体" w:cs="宋体" w:hint="eastAsia"/>
          <w:spacing w:val="0"/>
          <w:position w:val="0"/>
          <w:lang w:eastAsia="zh-CN"/>
        </w:rPr>
        <w:t>条、</w:t>
      </w:r>
      <w:r>
        <w:rPr>
          <w:rFonts w:ascii="宋体" w:eastAsia="宋体" w:hAnsi="宋体" w:cs="宋体" w:hint="eastAsia"/>
          <w:spacing w:val="0"/>
          <w:position w:val="0"/>
        </w:rPr>
        <w:t>特种机械设备管理</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无论是自有、外部租赁或劳务企业自带，均应纳入特种设备管理范畴；特种设备必须取得地方特种设备监督管理部门颁发的“安装验收检验报告”和《安全检验合格证》；必须建立安全使用卡控措施，确保现场施工机械正常运转。</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第四十五</w:t>
      </w:r>
      <w:r>
        <w:rPr>
          <w:rFonts w:ascii="宋体" w:hAnsi="宋体" w:cs="宋体" w:hint="eastAsia"/>
          <w:spacing w:val="0"/>
          <w:position w:val="0"/>
          <w:lang w:eastAsia="zh-CN"/>
        </w:rPr>
        <w:t>条、</w:t>
      </w:r>
      <w:r>
        <w:rPr>
          <w:rFonts w:ascii="宋体" w:eastAsia="宋体" w:hAnsi="宋体" w:cs="宋体" w:hint="eastAsia"/>
          <w:spacing w:val="0"/>
          <w:position w:val="0"/>
        </w:rPr>
        <w:t>机械设备台帐管理</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sectPr>
          <w:footerReference w:type="default" r:id="rId41"/>
          <w:footerReference w:type="first" r:id="rId42"/>
          <w:type w:val="nextPage"/>
          <w:pgSz w:w="11905" w:h="16838"/>
          <w:pgMar w:top="1440" w:right="1797" w:bottom="1440" w:left="1797" w:header="0" w:footer="1565" w:gutter="0"/>
          <w:pgNumType w:fmt="decimal" w:start="18"/>
          <w:cols w:num="1" w:space="0"/>
          <w:titlePg w:val="0"/>
          <w:rtlGutter w:val="0"/>
          <w:docGrid w:linePitch="0" w:charSpace="0"/>
        </w:sectPr>
      </w:pPr>
      <w:r>
        <w:rPr>
          <w:rFonts w:ascii="宋体" w:eastAsia="宋体" w:hAnsi="宋体" w:cs="宋体" w:hint="eastAsia"/>
          <w:spacing w:val="0"/>
          <w:position w:val="0"/>
        </w:rPr>
        <w:t>做好机械设备原始资料的统计和收集工作，按要求规范做好各项机械设备管理台帐，并按时上报。台帐及内容执行公司办法规定。</w:t>
      </w:r>
    </w:p>
    <w:p>
      <w:pPr>
        <w:pStyle w:val="Heading1"/>
        <w:widowControl w:val="0"/>
        <w:kinsoku w:val="0"/>
        <w:wordWrap/>
        <w:overflowPunct/>
        <w:topLinePunct w:val="0"/>
        <w:autoSpaceDE w:val="0"/>
        <w:autoSpaceDN w:val="0"/>
        <w:bidi w:val="0"/>
        <w:adjustRightInd w:val="0"/>
        <w:snapToGrid w:val="0"/>
        <w:textAlignment w:val="baseline"/>
        <w:rPr>
          <w:rFonts w:ascii="黑体" w:eastAsia="黑体" w:hAnsi="黑体" w:cs="黑体"/>
          <w:spacing w:val="0"/>
          <w:position w:val="0"/>
          <w:sz w:val="47"/>
          <w:szCs w:val="47"/>
        </w:rPr>
      </w:pPr>
      <w:bookmarkStart w:id="26" w:name="_Toc2079"/>
      <w:bookmarkStart w:id="27" w:name="_Toc1059"/>
      <w:bookmarkStart w:id="28" w:name="_Toc8959"/>
      <w:r>
        <w:rPr>
          <w:rFonts w:ascii="黑体" w:eastAsia="黑体" w:hAnsi="黑体" w:cs="黑体"/>
          <w:spacing w:val="0"/>
          <w:position w:val="0"/>
          <w:sz w:val="47"/>
          <w:szCs w:val="47"/>
        </w:rPr>
        <w:t>第八章</w:t>
      </w:r>
      <w:r>
        <w:rPr>
          <w:rFonts w:ascii="黑体" w:eastAsia="黑体" w:hAnsi="黑体" w:cs="黑体" w:hint="eastAsia"/>
          <w:spacing w:val="0"/>
          <w:position w:val="0"/>
          <w:sz w:val="47"/>
          <w:szCs w:val="47"/>
          <w:lang w:eastAsia="zh-CN"/>
        </w:rPr>
        <w:t>、</w:t>
      </w:r>
      <w:r>
        <w:rPr>
          <w:rFonts w:ascii="黑体" w:eastAsia="黑体" w:hAnsi="黑体" w:cs="黑体"/>
          <w:spacing w:val="0"/>
          <w:position w:val="0"/>
          <w:sz w:val="47"/>
          <w:szCs w:val="47"/>
        </w:rPr>
        <w:t>分包管</w:t>
      </w:r>
      <w:r>
        <w:rPr>
          <w:rFonts w:ascii="黑体" w:eastAsia="黑体" w:hAnsi="黑体" w:cs="黑体"/>
          <w:spacing w:val="0"/>
          <w:position w:val="0"/>
          <w:sz w:val="47"/>
          <w:szCs w:val="47"/>
        </w:rPr>
        <w:t>理</w:t>
      </w:r>
      <w:bookmarkEnd w:id="26"/>
      <w:bookmarkEnd w:id="27"/>
      <w:bookmarkEnd w:id="28"/>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第四十六</w:t>
      </w:r>
      <w:r>
        <w:rPr>
          <w:rFonts w:ascii="宋体" w:hAnsi="宋体" w:cs="宋体" w:hint="eastAsia"/>
          <w:spacing w:val="0"/>
          <w:position w:val="0"/>
          <w:lang w:eastAsia="zh-CN"/>
        </w:rPr>
        <w:t>条、</w:t>
      </w:r>
      <w:r>
        <w:rPr>
          <w:rFonts w:ascii="宋体" w:eastAsia="宋体" w:hAnsi="宋体" w:cs="宋体" w:hint="eastAsia"/>
          <w:spacing w:val="0"/>
          <w:position w:val="0"/>
        </w:rPr>
        <w:t>分包模式</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分包模式分为专业分包和劳务分包。</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第四十七</w:t>
      </w:r>
      <w:r>
        <w:rPr>
          <w:rFonts w:ascii="宋体" w:hAnsi="宋体" w:cs="宋体" w:hint="eastAsia"/>
          <w:spacing w:val="0"/>
          <w:position w:val="0"/>
          <w:lang w:eastAsia="zh-CN"/>
        </w:rPr>
        <w:t>条、</w:t>
      </w:r>
      <w:r>
        <w:rPr>
          <w:rFonts w:ascii="宋体" w:eastAsia="宋体" w:hAnsi="宋体" w:cs="宋体" w:hint="eastAsia"/>
          <w:spacing w:val="0"/>
          <w:position w:val="0"/>
        </w:rPr>
        <w:t>分包原则</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实行专业分包与劳务分包相结合;禁止工程大包、规范专业分包、推进工序分包；积极培育有实力、讲诚信的核心型、紧密型劳务企业，合理控制使用分包方数量；统一领导，分级管理，公开公正，严格审批；和谐诚信，互利双赢。</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第四十八</w:t>
      </w:r>
      <w:r>
        <w:rPr>
          <w:rFonts w:ascii="宋体" w:hAnsi="宋体" w:cs="宋体" w:hint="eastAsia"/>
          <w:spacing w:val="0"/>
          <w:position w:val="0"/>
          <w:lang w:eastAsia="zh-CN"/>
        </w:rPr>
        <w:t>条、</w:t>
      </w:r>
      <w:r>
        <w:rPr>
          <w:rFonts w:ascii="宋体" w:eastAsia="宋体" w:hAnsi="宋体" w:cs="宋体" w:hint="eastAsia"/>
          <w:spacing w:val="0"/>
          <w:position w:val="0"/>
        </w:rPr>
        <w:t>劳务企业选择</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项目部必须在公司《合格劳务企业名录》内选择劳务企业，拟在项目部进行施工分包的单位未办理准入证的，提交书面申请办理准入证后方可使用。</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第四十九</w:t>
      </w:r>
      <w:r>
        <w:rPr>
          <w:rFonts w:ascii="宋体" w:hAnsi="宋体" w:cs="宋体" w:hint="eastAsia"/>
          <w:spacing w:val="0"/>
          <w:position w:val="0"/>
          <w:lang w:eastAsia="zh-CN"/>
        </w:rPr>
        <w:t>条、</w:t>
      </w:r>
      <w:r>
        <w:rPr>
          <w:rFonts w:ascii="宋体" w:eastAsia="宋体" w:hAnsi="宋体" w:cs="宋体" w:hint="eastAsia"/>
          <w:spacing w:val="0"/>
          <w:position w:val="0"/>
        </w:rPr>
        <w:t>劳务企业使用</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凡需进行分包的工程项目，原则上要实行公开竞标选择劳务企业，做到公平竞争、择优录用。原则上200万元以上的分包项目由三级公司负责组织集中招标或议标，200万元以下的分包项目由项目部组织。</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评标结果报公司领导审批确定中标单位，发出中标通知。项目部按程序进行评审报批并签订合同，组织劳务企业进场施工。</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第五十</w:t>
      </w:r>
      <w:r>
        <w:rPr>
          <w:rFonts w:ascii="宋体" w:hAnsi="宋体" w:cs="宋体" w:hint="eastAsia"/>
          <w:spacing w:val="0"/>
          <w:position w:val="0"/>
          <w:lang w:eastAsia="zh-CN"/>
        </w:rPr>
        <w:t>条、</w:t>
      </w:r>
      <w:r>
        <w:rPr>
          <w:rFonts w:ascii="宋体" w:eastAsia="宋体" w:hAnsi="宋体" w:cs="宋体" w:hint="eastAsia"/>
          <w:spacing w:val="0"/>
          <w:position w:val="0"/>
        </w:rPr>
        <w:t>劳务企业进场</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1.劳务企业进场施工前办理进场手续。签订合同前应缴纳履约保证金或提供保函，递交规范用工承诺书，将劳务人员劳动合同交项目部备案。</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2.项目部指导劳务企业进行施工准备，安排有关现场管理人员与外部劳务企业管理人员对接。</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3.项目部应对劳务企业提供的劳务人员花名册、劳动合同原件、身份证复印件、体检健康证明、技能等级证书复印件进行审核验证，如发现问题应立即处理。</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4.劳务人员入场前要进行现场管理制度、安全生产、遵章守纪、安全技术交底、劳动保护等内容的教育。</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sectPr>
          <w:footerReference w:type="default" r:id="rId43"/>
          <w:footerReference w:type="first" r:id="rId44"/>
          <w:type w:val="nextPage"/>
          <w:pgSz w:w="11905" w:h="16838"/>
          <w:pgMar w:top="1440" w:right="1797" w:bottom="1440" w:left="1797" w:header="0" w:footer="1565" w:gutter="0"/>
          <w:pgNumType w:fmt="decimal" w:start="19"/>
          <w:cols w:num="1" w:space="0"/>
          <w:titlePg w:val="0"/>
          <w:rtlGutter w:val="0"/>
          <w:docGrid w:linePitch="0" w:charSpace="0"/>
        </w:sectPr>
      </w:pPr>
      <w:r>
        <w:rPr>
          <w:rFonts w:ascii="宋体" w:eastAsia="宋体" w:hAnsi="宋体" w:cs="宋体" w:hint="eastAsia"/>
          <w:spacing w:val="0"/>
          <w:position w:val="0"/>
        </w:rPr>
        <w:t>第五十一</w:t>
      </w:r>
      <w:r>
        <w:rPr>
          <w:rFonts w:ascii="宋体" w:hAnsi="宋体" w:cs="宋体" w:hint="eastAsia"/>
          <w:spacing w:val="0"/>
          <w:position w:val="0"/>
          <w:lang w:eastAsia="zh-CN"/>
        </w:rPr>
        <w:t>条、</w:t>
      </w:r>
      <w:r>
        <w:rPr>
          <w:rFonts w:ascii="宋体" w:eastAsia="宋体" w:hAnsi="宋体" w:cs="宋体" w:hint="eastAsia"/>
          <w:spacing w:val="0"/>
          <w:position w:val="0"/>
        </w:rPr>
        <w:t>分包方的现场管理</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1.技术和进度管理。及时进行技术交底，下达进度计划，组织分包方负责人参加生产会议，对交底执行情况和施工进度进行检查。</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2.物资和机械设备管理。对构成工程实体的主要材料</w:t>
      </w:r>
      <w:r>
        <w:rPr>
          <w:rFonts w:ascii="宋体" w:eastAsia="宋体" w:hAnsi="宋体" w:cs="宋体" w:hint="eastAsia"/>
          <w:spacing w:val="0"/>
          <w:position w:val="0"/>
        </w:rPr>
        <w:tab/>
      </w:r>
      <w:r>
        <w:rPr>
          <w:rFonts w:ascii="宋体" w:eastAsia="宋体" w:hAnsi="宋体" w:cs="宋体" w:hint="eastAsia"/>
          <w:spacing w:val="0"/>
          <w:position w:val="0"/>
        </w:rPr>
        <w:t>(甲供)，必须按规定检验合格后方可允许分包方使用，并严格过程控制，及时盘点、核算；对分包方的有关物资、机具和设备按规定进行进场验证，其操作人员应持证上岗。</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3.安全、质量、环保和职业健康管理。进行培训和检查，对存在问题提出整改要求，限期整改，对整改未达要求的分包方采取措施予以纠正，情节严重的应解除合同。</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4.劳务人员现场管理。项目部要建立劳务人员《花名册》，进行现场点名，掌握人员动态。</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第五十二</w:t>
      </w:r>
      <w:r>
        <w:rPr>
          <w:rFonts w:ascii="宋体" w:hAnsi="宋体" w:cs="宋体" w:hint="eastAsia"/>
          <w:spacing w:val="0"/>
          <w:position w:val="0"/>
          <w:lang w:eastAsia="zh-CN"/>
        </w:rPr>
        <w:t>条、</w:t>
      </w:r>
      <w:r>
        <w:rPr>
          <w:rFonts w:ascii="宋体" w:eastAsia="宋体" w:hAnsi="宋体" w:cs="宋体" w:hint="eastAsia"/>
          <w:spacing w:val="0"/>
          <w:position w:val="0"/>
        </w:rPr>
        <w:t>分包结算</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1.在工程施工过程中，项目部每月必须对劳务企业完成的合格工程数量进行现场收方，按分包合同规定办理分包结算。</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2.项目部在办理分包结算时必须做到“三统一”(统一合同文本、统一单价、统一台账)、“四不结算”(没有合同不结算、超出技术交底数量不结算、超合同单价不结算、超合同清单项目不结算)、“五不付款”(签发的白条不付款、结算签认手续不完善不付款、结算依据不明确不付款、不使用统一规定格式不付款、不符合财务规定的签字不付款)。4.分包结算必须坚持量价控制。结算开累数量不得超过该队伍所承担任务的分项工程总控数量，单价以合同单价为准，不得超过限价。收方、结算、核算、扣款、审批等必须符合公司管理制度要求。</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sectPr>
          <w:footerReference w:type="default" r:id="rId45"/>
          <w:footerReference w:type="first" r:id="rId46"/>
          <w:type w:val="nextPage"/>
          <w:pgSz w:w="11905" w:h="16838"/>
          <w:pgMar w:top="1440" w:right="1797" w:bottom="1440" w:left="1797" w:header="0" w:footer="1565" w:gutter="0"/>
          <w:pgNumType w:fmt="decimal" w:start="20"/>
          <w:cols w:num="1" w:space="0"/>
          <w:titlePg w:val="0"/>
          <w:rtlGutter w:val="0"/>
          <w:docGrid w:linePitch="0" w:charSpace="0"/>
        </w:sectPr>
      </w:pPr>
      <w:r>
        <w:rPr>
          <w:rFonts w:ascii="宋体" w:eastAsia="宋体" w:hAnsi="宋体" w:cs="宋体" w:hint="eastAsia"/>
          <w:spacing w:val="0"/>
          <w:position w:val="0"/>
        </w:rPr>
        <w:t>5.对已完成合同约定工作量的项目，项目部要及时与分包企业办理末次结算，按程序报公司审批后，签订合同封帐协议。</w:t>
      </w:r>
    </w:p>
    <w:p>
      <w:pPr>
        <w:pStyle w:val="Heading1"/>
        <w:widowControl w:val="0"/>
        <w:kinsoku w:val="0"/>
        <w:wordWrap/>
        <w:overflowPunct/>
        <w:topLinePunct w:val="0"/>
        <w:autoSpaceDE w:val="0"/>
        <w:autoSpaceDN w:val="0"/>
        <w:bidi w:val="0"/>
        <w:adjustRightInd w:val="0"/>
        <w:snapToGrid w:val="0"/>
        <w:textAlignment w:val="baseline"/>
        <w:rPr>
          <w:rFonts w:ascii="黑体" w:eastAsia="黑体" w:hAnsi="黑体" w:cs="黑体"/>
          <w:spacing w:val="0"/>
          <w:position w:val="0"/>
          <w:sz w:val="47"/>
          <w:szCs w:val="47"/>
        </w:rPr>
      </w:pPr>
      <w:bookmarkStart w:id="29" w:name="_Toc30026"/>
      <w:bookmarkStart w:id="30" w:name="_Toc5133"/>
      <w:bookmarkStart w:id="31" w:name="_Toc11459"/>
      <w:r>
        <w:rPr>
          <w:rFonts w:ascii="黑体" w:eastAsia="黑体" w:hAnsi="黑体" w:cs="黑体"/>
          <w:spacing w:val="0"/>
          <w:position w:val="0"/>
          <w:sz w:val="47"/>
          <w:szCs w:val="47"/>
        </w:rPr>
        <w:t>第九章</w:t>
      </w:r>
      <w:r>
        <w:rPr>
          <w:rFonts w:ascii="黑体" w:eastAsia="黑体" w:hAnsi="黑体" w:cs="黑体" w:hint="eastAsia"/>
          <w:spacing w:val="0"/>
          <w:position w:val="0"/>
          <w:sz w:val="47"/>
          <w:szCs w:val="47"/>
          <w:lang w:eastAsia="zh-CN"/>
        </w:rPr>
        <w:t>、</w:t>
      </w:r>
      <w:r>
        <w:rPr>
          <w:rFonts w:ascii="黑体" w:eastAsia="黑体" w:hAnsi="黑体" w:cs="黑体"/>
          <w:spacing w:val="0"/>
          <w:position w:val="0"/>
          <w:sz w:val="47"/>
          <w:szCs w:val="47"/>
        </w:rPr>
        <w:t>进度管</w:t>
      </w:r>
      <w:r>
        <w:rPr>
          <w:rFonts w:ascii="黑体" w:eastAsia="黑体" w:hAnsi="黑体" w:cs="黑体"/>
          <w:spacing w:val="0"/>
          <w:position w:val="0"/>
          <w:sz w:val="47"/>
          <w:szCs w:val="47"/>
        </w:rPr>
        <w:t>理</w:t>
      </w:r>
      <w:bookmarkEnd w:id="29"/>
      <w:bookmarkEnd w:id="30"/>
      <w:bookmarkEnd w:id="31"/>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第五十三</w:t>
      </w:r>
      <w:r>
        <w:rPr>
          <w:rFonts w:ascii="宋体" w:hAnsi="宋体" w:cs="宋体" w:hint="eastAsia"/>
          <w:spacing w:val="0"/>
          <w:position w:val="0"/>
          <w:lang w:eastAsia="zh-CN"/>
        </w:rPr>
        <w:t>条、</w:t>
      </w:r>
      <w:r>
        <w:rPr>
          <w:rFonts w:ascii="宋体" w:eastAsia="宋体" w:hAnsi="宋体" w:cs="宋体" w:hint="eastAsia"/>
          <w:spacing w:val="0"/>
          <w:position w:val="0"/>
        </w:rPr>
        <w:t>项目进度管理的要求</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1.项目进度管理应在确保安全、质量的基础上，以均衡生产为原则，以各项管理措施为保证手段，以实现合同工期为最终目标，实行施工全过程的动态控制。</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2.项目进度管理应建立以项目经理为责任主体，由项目部领导、各部门负责人、作业队长及班组长组成的项目进度控制体系，并明确相应职责。</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3.由项目经理牵头组织相关部门在施工组织设计中根据合同工期，优化资源管理，明确施工进度目标、重要节点目标，并编制总体施工计划。同时按不同阶段将施工总体计划分解为年度、季度、月度和周进度计划。</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4.施工总体、年度、季度、月度进度计划报公司工程管理部门及建设、监理单位审批后，细化分解至各作业队执行。</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5.项目部与劳务企业签定劳务合同时，应明确各阶段工期要求。</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6.项目经理应根据计划组织各部门落实人机料等相应资源及时到位。</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第五十四</w:t>
      </w:r>
      <w:r>
        <w:rPr>
          <w:rFonts w:ascii="宋体" w:hAnsi="宋体" w:cs="宋体" w:hint="eastAsia"/>
          <w:spacing w:val="0"/>
          <w:position w:val="0"/>
          <w:lang w:eastAsia="zh-CN"/>
        </w:rPr>
        <w:t>条、</w:t>
      </w:r>
      <w:r>
        <w:rPr>
          <w:rFonts w:ascii="宋体" w:eastAsia="宋体" w:hAnsi="宋体" w:cs="宋体" w:hint="eastAsia"/>
          <w:spacing w:val="0"/>
          <w:position w:val="0"/>
        </w:rPr>
        <w:t>施工进度跟踪</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1.项目部应设立专(兼)职调度，对计划的实施进行跟踪、监督、记录。各作业队现场施工员每天根据进度实施及管理情况填写《施工员日志》，并报调度。调度汇总后以《调度日报》的形式上报公司。《调度日报》应记录施工现场的气象、生产进度、干扰施工生产的因素及排除情况；按月对进度偏差的状况进行总结，并分析偏差产生的原因及采取的整改措施。</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2.生产副经理应以每日生产交班会、周例会或专题会等方式查找差距、落实计划，实施进度有效控制。</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3.公司工程管理部门应监控项目部施工进度、加强过程预控管理。</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第五十五</w:t>
      </w:r>
      <w:r>
        <w:rPr>
          <w:rFonts w:ascii="宋体" w:hAnsi="宋体" w:cs="宋体" w:hint="eastAsia"/>
          <w:spacing w:val="0"/>
          <w:position w:val="0"/>
          <w:lang w:eastAsia="zh-CN"/>
        </w:rPr>
        <w:t>条、</w:t>
      </w:r>
      <w:r>
        <w:rPr>
          <w:rFonts w:ascii="宋体" w:eastAsia="宋体" w:hAnsi="宋体" w:cs="宋体" w:hint="eastAsia"/>
          <w:spacing w:val="0"/>
          <w:position w:val="0"/>
        </w:rPr>
        <w:t>施工进度检查与计划调整</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1.项目经理或副经理组织相关人员对施工进度进行日检查，周、月汇总进度管理情况。</w:t>
      </w:r>
    </w:p>
    <w:p>
      <w:pPr>
        <w:keepNext w:val="0"/>
        <w:keepLines w:val="0"/>
        <w:pageBreakBefore w:val="0"/>
        <w:widowControl w:val="0"/>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sectPr>
          <w:footerReference w:type="default" r:id="rId47"/>
          <w:footerReference w:type="first" r:id="rId48"/>
          <w:type w:val="nextPage"/>
          <w:pgSz w:w="11905" w:h="16838"/>
          <w:pgMar w:top="1440" w:right="1797" w:bottom="1440" w:left="1797" w:header="0" w:footer="1565" w:gutter="0"/>
          <w:pgNumType w:fmt="decimal" w:start="21"/>
          <w:cols w:num="1" w:space="0"/>
          <w:titlePg w:val="0"/>
          <w:rtlGutter w:val="0"/>
          <w:docGrid w:linePitch="0" w:charSpace="0"/>
        </w:sectPr>
      </w:pPr>
    </w:p>
    <w:p>
      <w:pPr>
        <w:keepNext w:val="0"/>
        <w:keepLines w:val="0"/>
        <w:pageBreakBefore w:val="0"/>
        <w:widowControl w:val="0"/>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2.当进度计划执行出现偏差时，项目经理应组织相关部门研究纠偏措施，调整人、机、料、工序等安排，项目调度督促相关部门落实解决，并及时将落实情况向项目经理汇报或在周例会上通报。</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3.当月没有完成计划的部分，必须调整到次月，确保季度计划能够完成；本季度没有完成的计划，必须调整到下季度，确保年度计划、总体计划顺利实现。</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4.由于建设单位、工程变更、不可抗力等原因造成的关键线路上的工期延误，应及时收集资料，在合同约定的时限内向相关单位提出工期顺延申请，并及时调整各阶段工期计划。</w:t>
      </w:r>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r>
        <w:rPr>
          <w:rFonts w:ascii="宋体" w:eastAsia="宋体" w:hAnsi="宋体" w:cs="宋体" w:hint="eastAsia"/>
          <w:spacing w:val="0"/>
          <w:position w:val="0"/>
        </w:rPr>
        <w:t>5.项目部发生月进度或重要节点进度延误时，公司应按预警等级划分及时发出相应级别预警信号，并进行重点监控与检查。</w:t>
      </w:r>
      <w:r>
        <w:rPr>
          <w:rFonts w:ascii="宋体" w:hAnsi="宋体" w:cs="宋体" w:hint="eastAsia"/>
          <w:spacing w:val="0"/>
          <w:position w:val="0"/>
        </w:rPr>
        <w:br/>
      </w:r>
      <w:r>
        <w:rPr>
          <w:rFonts w:ascii="宋体" w:hAnsi="宋体" w:cs="宋体" w:hint="eastAsia"/>
          <w:spacing w:val="0"/>
          <w:position w:val="0"/>
        </w:rPr>
        <w:br/>
      </w:r>
    </w:p>
    <w:p>
      <w:pPr>
        <w:kinsoku/>
        <w:autoSpaceDE/>
        <w:autoSpaceDN/>
        <w:adjustRightInd/>
        <w:snapToGrid/>
        <w:spacing w:line="240" w:lineRule="auto"/>
        <w:jc w:val="left"/>
        <w:textAlignment w:val="auto"/>
        <w:rPr>
          <w:rFonts w:ascii="SimSun" w:eastAsia="SimSun" w:hAnsi="SimSun" w:cs="SimSun"/>
          <w:b/>
          <w:bCs/>
          <w:snapToGrid/>
          <w:kern w:val="0"/>
          <w:sz w:val="30"/>
          <w:szCs w:val="30"/>
        </w:rPr>
      </w:pPr>
      <w:r>
        <w:rPr>
          <w:rFonts w:ascii="SimSun" w:eastAsia="SimSun" w:hAnsi="SimSun" w:cs="SimSun"/>
          <w:b/>
          <w:bCs/>
          <w:snapToGrid/>
          <w:kern w:val="0"/>
          <w:sz w:val="30"/>
          <w:szCs w:val="30"/>
        </w:rPr>
        <w:t>以上内容仅为本文档的试下载部分，为可阅读页数的一半内容。如要下载或阅读全文，请访问：</w:t>
      </w:r>
      <w:hyperlink r:id="rId49" w:history="1">
        <w:r>
          <w:rPr>
            <w:rFonts w:ascii="SimSun" w:eastAsia="SimSun" w:hAnsi="SimSun" w:cs="SimSun"/>
            <w:b/>
            <w:bCs/>
            <w:snapToGrid/>
            <w:color w:val="0000EE"/>
            <w:kern w:val="0"/>
            <w:sz w:val="30"/>
            <w:szCs w:val="30"/>
            <w:u w:val="single" w:color="0000EE"/>
          </w:rPr>
          <w:t>https://d.book118.com/626043115230010102</w:t>
        </w:r>
      </w:hyperlink>
    </w:p>
    <w:p>
      <w:pPr>
        <w:keepNext w:val="0"/>
        <w:keepLines w:val="0"/>
        <w:pageBreakBefore w:val="0"/>
        <w:widowControl/>
        <w:kinsoku w:val="0"/>
        <w:wordWrap/>
        <w:overflowPunct/>
        <w:topLinePunct w:val="0"/>
        <w:autoSpaceDE w:val="0"/>
        <w:autoSpaceDN w:val="0"/>
        <w:bidi w:val="0"/>
        <w:adjustRightInd w:val="0"/>
        <w:snapToGrid w:val="0"/>
        <w:ind w:firstLine="480" w:firstLineChars="200"/>
        <w:textAlignment w:val="baseline"/>
        <w:rPr>
          <w:rFonts w:ascii="宋体" w:hAnsi="宋体" w:cs="宋体" w:hint="eastAsia"/>
          <w:spacing w:val="0"/>
          <w:position w:val="0"/>
        </w:rPr>
      </w:pPr>
    </w:p>
    <w:sectPr>
      <w:footerReference w:type="default" r:id="rId50"/>
      <w:footerReference w:type="first" r:id="rId51"/>
      <w:type w:val="nextPage"/>
      <w:pgSz w:w="11905" w:h="16838"/>
      <w:pgMar w:top="1440" w:right="1797" w:bottom="1440" w:left="1797" w:header="0" w:footer="1565" w:gutter="0"/>
      <w:pgNumType w:fmt="decimal" w:start="22"/>
      <w:cols w:num="1" w:space="0"/>
      <w:titlePg w:val="0"/>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default"/>
        <w:lang w:val="en-US"/>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51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default"/>
        <w:lang w:val="en-US"/>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74858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default"/>
        <w:lang w:val="en-US"/>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202720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default"/>
        <w:lang w:val="en-US"/>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8285119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default"/>
        <w:lang w:val="en-US"/>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7171665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default"/>
        <w:lang w:val="en-US"/>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23991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default"/>
        <w:lang w:val="en-US"/>
      </w:rP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90579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default"/>
        <w:lang w:val="en-US"/>
      </w:rP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9478765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default"/>
        <w:lang w:val="en-US"/>
      </w:rP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4248674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default"/>
        <w:lang w:val="en-US"/>
      </w:rP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58454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default"/>
        <w:lang w:val="en-US"/>
      </w:rP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154738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default"/>
        <w:lang w:val="en-US"/>
      </w:rP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7218879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default"/>
        <w:lang w:val="en-US"/>
      </w:rP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447903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default"/>
        <w:lang w:val="en-US"/>
      </w:rP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904476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default"/>
        <w:lang w:val="en-US"/>
      </w:rP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183695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default"/>
        <w:lang w:val="en-US"/>
      </w:rP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575081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15</w:t>
                    </w:r>
                    <w: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default"/>
        <w:lang w:val="en-US"/>
      </w:rP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86511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default"/>
        <w:lang w:val="en-US"/>
      </w:rP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5710070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default"/>
        <w:lang w:val="en-US"/>
      </w:rP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5655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fldChar w:fldCharType="begin"/>
                    </w:r>
                    <w:r>
                      <w:instrText xml:space="preserve"> PAGE  \* MERGEFORMAT </w:instrText>
                    </w:r>
                    <w:r>
                      <w:fldChar w:fldCharType="separate"/>
                    </w:r>
                    <w:r>
                      <w:t>18</w:t>
                    </w:r>
                    <w:r>
                      <w:fldChar w:fldCharType="end"/>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default"/>
        <w:lang w:val="en-US"/>
      </w:rP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97220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19</w:t>
                    </w:r>
                    <w:r>
                      <w:fldChar w:fldCharType="end"/>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default"/>
        <w:lang w:val="en-US"/>
      </w:rP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5257406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fldChar w:fldCharType="begin"/>
                    </w:r>
                    <w:r>
                      <w:instrText xml:space="preserve"> PAGE  \* MERGEFORMAT </w:instrText>
                    </w:r>
                    <w:r>
                      <w:fldChar w:fldCharType="separate"/>
                    </w:r>
                    <w:r>
                      <w:t>20</w:t>
                    </w:r>
                    <w:r>
                      <w:fldChar w:fldCharType="end"/>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default"/>
        <w:lang w:val="en-US"/>
      </w:rP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4725679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default"/>
        <w:lang w:val="en-US"/>
      </w:rPr>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5205628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fldChar w:fldCharType="begin"/>
                    </w:r>
                    <w:r>
                      <w:instrText xml:space="preserve"> PAGE  \* MERGEFORMAT </w:instrText>
                    </w:r>
                    <w:r>
                      <w:fldChar w:fldCharType="separate"/>
                    </w:r>
                    <w:r>
                      <w:t>22</w:t>
                    </w:r>
                    <w:r>
                      <w:fldChar w:fldCharType="end"/>
                    </w:r>
                  </w:p>
                </w:txbxContent>
              </v:textbox>
              <w10:wrap anchorx="margin"/>
            </v:shape>
          </w:pict>
        </mc:Fallback>
      </mc:AlternateConten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AA84292"/>
    <w:multiLevelType w:val="singleLevel"/>
    <w:tmpl w:val="9AA84292"/>
    <w:lvl w:ilvl="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4A4DF0"/>
    <w:rsid w:val="0B2838F5"/>
    <w:rsid w:val="0C755862"/>
    <w:rsid w:val="0E9246B3"/>
    <w:rsid w:val="12A26BE8"/>
    <w:rsid w:val="14535E0C"/>
    <w:rsid w:val="1A67285E"/>
    <w:rsid w:val="214A4DF0"/>
    <w:rsid w:val="21920158"/>
    <w:rsid w:val="24066741"/>
    <w:rsid w:val="2720667F"/>
    <w:rsid w:val="2BA246DE"/>
    <w:rsid w:val="35997CE4"/>
    <w:rsid w:val="35AB564B"/>
    <w:rsid w:val="38FA326A"/>
    <w:rsid w:val="3B2716A6"/>
    <w:rsid w:val="3B672905"/>
    <w:rsid w:val="403D6E51"/>
    <w:rsid w:val="42176448"/>
    <w:rsid w:val="47815A03"/>
    <w:rsid w:val="49891591"/>
    <w:rsid w:val="4E2A2A32"/>
    <w:rsid w:val="59DB6405"/>
    <w:rsid w:val="5C7C0C62"/>
    <w:rsid w:val="679271FE"/>
    <w:rsid w:val="6A7B3254"/>
    <w:rsid w:val="6B2E2E89"/>
    <w:rsid w:val="7F652792"/>
  </w:rsids>
  <w:docVars>
    <w:docVar w:name="commondata" w:val="eyJoZGlkIjoiN2JhNDkwNDFkZGI5NjYzOGY2Njg4MGE5N2EyYmE5YTEifQ=="/>
    <w:docVar w:name="KSO_WPS_MARK_KEY" w:val="336c629c-977a-40b1-87e9-df387110a407"/>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kinsoku w:val="0"/>
      <w:autoSpaceDE w:val="0"/>
      <w:autoSpaceDN w:val="0"/>
      <w:adjustRightInd w:val="0"/>
      <w:snapToGrid w:val="0"/>
      <w:spacing w:line="360" w:lineRule="auto"/>
      <w:jc w:val="left"/>
      <w:textAlignment w:val="baseline"/>
    </w:pPr>
    <w:rPr>
      <w:rFonts w:ascii="Arial" w:eastAsia="宋体" w:hAnsi="Arial" w:cs="Arial"/>
      <w:snapToGrid w:val="0"/>
      <w:color w:val="000000"/>
      <w:kern w:val="0"/>
      <w:sz w:val="24"/>
      <w:szCs w:val="21"/>
    </w:rPr>
  </w:style>
  <w:style w:type="paragraph" w:styleId="Heading1">
    <w:name w:val="heading 1"/>
    <w:basedOn w:val="Title"/>
    <w:next w:val="Normal"/>
    <w:link w:val="1Char"/>
    <w:qFormat/>
    <w:pPr>
      <w:keepNext/>
      <w:keepLines/>
      <w:pageBreakBefore/>
      <w:spacing w:before="220" w:after="220" w:line="360" w:lineRule="auto"/>
      <w:outlineLvl w:val="0"/>
    </w:pPr>
    <w:rPr>
      <w:rFonts w:ascii="Times New Roman" w:eastAsia="宋体" w:hAnsi="Times New Roman" w:cs="Times New Roman"/>
      <w:kern w:val="44"/>
      <w:sz w:val="36"/>
      <w:szCs w:val="20"/>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Title">
    <w:name w:val="Title"/>
    <w:basedOn w:val="Normal"/>
    <w:qFormat/>
    <w:pPr>
      <w:spacing w:before="240" w:beforeLines="0" w:beforeAutospacing="0" w:after="60" w:afterLines="0" w:afterAutospacing="0"/>
      <w:jc w:val="center"/>
      <w:outlineLvl w:val="0"/>
    </w:pPr>
    <w:rPr>
      <w:rFonts w:ascii="Arial" w:hAnsi="Arial"/>
      <w:b/>
      <w:sz w:val="32"/>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qFormat/>
  </w:style>
  <w:style w:type="character" w:customStyle="1" w:styleId="1Char">
    <w:name w:val="标题 1 Char"/>
    <w:basedOn w:val="DefaultParagraphFont"/>
    <w:link w:val="Heading1"/>
    <w:qFormat/>
    <w:rPr>
      <w:rFonts w:ascii="Times New Roman" w:eastAsia="宋体" w:hAnsi="Times New Roman" w:cs="Times New Roman"/>
      <w:kern w:val="44"/>
      <w:sz w:val="36"/>
      <w:szCs w:val="20"/>
    </w:rPr>
  </w:style>
  <w:style w:type="paragraph" w:customStyle="1" w:styleId="WPSOffice1">
    <w:name w:val="WPSOffice手动目录 1"/>
    <w:qFormat/>
    <w:pPr>
      <w:ind w:leftChars="0"/>
    </w:pPr>
    <w:rPr>
      <w:rFonts w:ascii="Arial" w:eastAsia="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footer" Target="footer33.xml" /><Relationship Id="rId38" Type="http://schemas.openxmlformats.org/officeDocument/2006/relationships/footer" Target="footer34.xml" /><Relationship Id="rId39" Type="http://schemas.openxmlformats.org/officeDocument/2006/relationships/footer" Target="footer35.xml" /><Relationship Id="rId4" Type="http://schemas.openxmlformats.org/officeDocument/2006/relationships/customXml" Target="../customXml/item1.xml" /><Relationship Id="rId40" Type="http://schemas.openxmlformats.org/officeDocument/2006/relationships/footer" Target="footer36.xml" /><Relationship Id="rId41" Type="http://schemas.openxmlformats.org/officeDocument/2006/relationships/footer" Target="footer37.xml" /><Relationship Id="rId42" Type="http://schemas.openxmlformats.org/officeDocument/2006/relationships/footer" Target="footer38.xml" /><Relationship Id="rId43" Type="http://schemas.openxmlformats.org/officeDocument/2006/relationships/footer" Target="footer39.xml" /><Relationship Id="rId44" Type="http://schemas.openxmlformats.org/officeDocument/2006/relationships/footer" Target="footer40.xml" /><Relationship Id="rId45" Type="http://schemas.openxmlformats.org/officeDocument/2006/relationships/footer" Target="footer41.xml" /><Relationship Id="rId46" Type="http://schemas.openxmlformats.org/officeDocument/2006/relationships/footer" Target="footer42.xml" /><Relationship Id="rId47" Type="http://schemas.openxmlformats.org/officeDocument/2006/relationships/footer" Target="footer43.xml" /><Relationship Id="rId48" Type="http://schemas.openxmlformats.org/officeDocument/2006/relationships/footer" Target="footer44.xml" /><Relationship Id="rId49" Type="http://schemas.openxmlformats.org/officeDocument/2006/relationships/hyperlink" Target="https://d.book118.com/626043115230010102" TargetMode="External" /><Relationship Id="rId5" Type="http://schemas.openxmlformats.org/officeDocument/2006/relationships/footer" Target="footer1.xml" /><Relationship Id="rId50" Type="http://schemas.openxmlformats.org/officeDocument/2006/relationships/footer" Target="footer45.xml" /><Relationship Id="rId51" Type="http://schemas.openxmlformats.org/officeDocument/2006/relationships/footer" Target="footer46.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23</Pages>
  <Words>27980</Words>
  <Characters>28321</Characters>
  <Application>Microsoft Office Word</Application>
  <DocSecurity>0</DocSecurity>
  <Lines>0</Lines>
  <Paragraphs>0</Paragraphs>
  <ScaleCrop>false</ScaleCrop>
  <Company/>
  <LinksUpToDate>false</LinksUpToDate>
  <CharactersWithSpaces>28627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雷喻</dc:creator>
  <cp:lastModifiedBy>雷喻</cp:lastModifiedBy>
  <cp:revision>1</cp:revision>
  <dcterms:created xsi:type="dcterms:W3CDTF">2024-01-11T03:24:00Z</dcterms:created>
  <dcterms:modified xsi:type="dcterms:W3CDTF">2024-01-11T05:56:55Z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6041ED87A5E24AA4A43EC7D3EB0697E6_11</vt:lpwstr>
  </property>
  <property fmtid="{D5CDD505-2E9C-101B-9397-08002B2CF9AE}" pid="3" name="KSOProductBuildVer">
    <vt:lpwstr>2052-11.1.0.14309</vt:lpwstr>
  </property>
</Properties>
</file>