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碳纤维增强塑料行业相关公司设立可行性研究报告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_Toc25998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二、碳纤维增强塑料筹建公司基本信息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_Toc14925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四、碳纤维增强塑料项目概况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(二)、碳纤维增强塑料项目提出的理由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(三)、碳纤维增强塑料项目选址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(六)、碳纤维增强塑料项目投资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(七)、碳纤维增强塑料项目进度规划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eastAsia="zh-CN"/>
          </w:rPr>
          <w:t>(九)、碳纤维增强塑料项目综合评价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(一)、碳纤维增强塑料项目进度安排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(二)、碳纤维增强塑料项目实施保障措施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_Toc25102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_Toc30453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(一)、碳纤维增强塑料项目背景分析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(二)、碳纤维增强塑料项目建设必要性分析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_Toc25075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_Toc6573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_Toc15297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3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3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https://d.book118.com/626100012241010041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碳纤维增强塑料行业相关公司设立可行性研究报告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碳纤维增强塑料行业相关公司设立可行性研究报告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碳纤维增强塑料行业相关公司设立可行性研究报告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碳纤维增强塑料行业相关公司设立可行性研究报告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碳纤维增强塑料行业相关公司设立可行性研究报告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100012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2024-01-22T22:28:00Z</dcterms:created>
  <dcterms:modified xsi:type="dcterms:W3CDTF">2024-01-22T22:28:54Z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41A9AE1CA1CD4B81A015A3481F951DD1_11</vt:lpwstr>
  </property>
  <property fmtid="{D5CDD505-2E9C-101B-9397-08002B2CF9AE}" pid="3" name="KSOProductBuildVer">
    <vt:lpwstr>2052-12.1.0.16120</vt:lpwstr>
  </property>
</Properties>
</file>