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248B" w:rsidRPr="008A248B" w:rsidP="008A248B" w14:paraId="2D516896" w14:textId="77777777">
      <w:pPr>
        <w:jc w:val="center"/>
      </w:pPr>
      <w:r w:rsidRPr="008A248B">
        <w:rPr>
          <w:rFonts w:hint="eastAsia"/>
        </w:rPr>
        <w:t>药物动力学在临床药学中的应用</w:t>
      </w:r>
    </w:p>
    <w:p w:rsidR="008A248B" w:rsidRPr="008A248B" w:rsidP="008A248B" w14:paraId="27261105" w14:textId="77777777">
      <w:pPr>
        <w:rPr>
          <w:rFonts w:hint="eastAsia"/>
        </w:rPr>
      </w:pPr>
      <w:r w:rsidRPr="008A248B">
        <w:rPr>
          <w:rFonts w:hint="eastAsia"/>
        </w:rPr>
        <w:t>药物应用后在体内产生的治疗作用常受到多种因素的影响，如制剂的质量与稳定性、给药途径、给药剂量、给药时间间隔、药物之间的相互作用、患者的生理病理因素等。这些因素有时不仅影响药物的作用强度、还可改变药物的作用性质。近年来，随着临床用药品种的增加，滥用药物或不合理用药而造成的严重医疗事故及药源性疾病不断发生，因此临床合理用药显得尤为重要。</w:t>
      </w:r>
    </w:p>
    <w:p w:rsidR="008A248B" w:rsidRPr="008A248B" w:rsidP="008A248B" w14:paraId="7A67AE13" w14:textId="77777777">
      <w:pPr>
        <w:rPr>
          <w:rFonts w:hint="eastAsia"/>
        </w:rPr>
      </w:pPr>
      <w:r w:rsidRPr="008A248B">
        <w:rPr>
          <w:rFonts w:hint="eastAsia"/>
        </w:rPr>
        <w:t>临床药物动力学（clinical pharmacokinetics）是20世纪60～70年代发展起来的一门新兴学科。临床药物动力学是应用药物动力学基本规律与原理，指导临床合理用药以治疗疾病的一门学科。它也是临床药学、临床药理学的重要组成部分。具体来说，临床药物动力学是以人体为对象，研究药物的</w:t>
      </w:r>
      <w:r w:rsidRPr="008A248B">
        <w:rPr>
          <w:rFonts w:hint="eastAsia"/>
        </w:rPr>
        <w:t>体内过程</w:t>
      </w:r>
      <w:r w:rsidRPr="008A248B">
        <w:rPr>
          <w:rFonts w:hint="eastAsia"/>
        </w:rPr>
        <w:t>及体内药物浓度随时间变化的规律，阐明内部因素（生理、病理和遗传）、外部因素（药物剂型、给药方式及食物等）与药物效应之间的相互关系。临床药物动力学的研究和发展对药物评价，新药设计，药物剂型改进，指导临床安全、有效与合理用药，优化临床给药方案与设计个体化给药方案（包括给药途径、给药剂量、给药间隔时间等），以及指导中医临床合理用药等都具有重大意义。</w:t>
      </w:r>
    </w:p>
    <w:p w:rsidR="008A248B" w:rsidRPr="008A248B" w:rsidP="008A248B" w14:paraId="768E171E" w14:textId="77777777">
      <w:pPr>
        <w:rPr>
          <w:rFonts w:hint="eastAsia"/>
        </w:rPr>
      </w:pPr>
      <w:r w:rsidRPr="008A248B">
        <w:br/>
      </w:r>
    </w:p>
    <w:p w:rsidR="008A248B" w:rsidRPr="008A248B" w:rsidP="008A248B" w14:paraId="4419E2CB" w14:textId="77777777">
      <w:r w:rsidRPr="008A248B">
        <w:rPr>
          <w:rFonts w:hint="eastAsia"/>
        </w:rPr>
        <w:t>第一节</w:t>
      </w:r>
      <w:r w:rsidRPr="008A248B">
        <w:rPr>
          <w:rFonts w:hint="eastAsia"/>
        </w:rPr>
        <w:br/>
        <w:t>治疗药物监测</w:t>
      </w:r>
    </w:p>
    <w:p w:rsidR="008A248B" w:rsidRPr="008A248B" w:rsidP="008A248B" w14:paraId="301E5A31" w14:textId="77777777">
      <w:pPr>
        <w:rPr>
          <w:rFonts w:hint="eastAsia"/>
        </w:rPr>
        <w:sectPr>
          <w:pgSz w:w="11906" w:h="16838"/>
          <w:pgMar w:top="1440" w:right="1800" w:bottom="1440" w:left="1800" w:header="851" w:footer="992" w:gutter="0"/>
          <w:cols w:space="425"/>
          <w:docGrid w:type="lines" w:linePitch="312"/>
        </w:sectPr>
      </w:pPr>
      <w:r w:rsidRPr="008A248B">
        <w:rPr>
          <w:rFonts w:hint="eastAsia"/>
        </w:rPr>
        <w:t>治疗药物监测（therapeutic drug monitoring，TDM）是20世纪70年代发展起来的一项临床药学专业技术。它以药动学、药效学理论为基础，应用现代分析技术，测定体液药物浓度，研究药物浓度与疗效和毒性之间的关系，为临床设计和调整给药方案、实现给药方案个体化提供科学依据。</w:t>
      </w:r>
    </w:p>
    <w:p w:rsidR="008A248B" w:rsidRPr="008A248B" w:rsidP="008A248B" w14:paraId="1776D87A" w14:textId="77777777">
      <w:pPr>
        <w:rPr>
          <w:rFonts w:hint="eastAsia"/>
        </w:rPr>
      </w:pPr>
      <w:r w:rsidRPr="008A248B">
        <w:rPr>
          <w:rFonts w:hint="eastAsia"/>
        </w:rPr>
        <w:t>一、治疗药物监测的目的</w:t>
      </w:r>
    </w:p>
    <w:p w:rsidR="008A248B" w:rsidRPr="008A248B" w:rsidP="008A248B" w14:paraId="455B8F85" w14:textId="77777777">
      <w:pPr>
        <w:rPr>
          <w:rFonts w:hint="eastAsia"/>
        </w:rPr>
      </w:pPr>
      <w:r w:rsidRPr="008A248B">
        <w:rPr>
          <w:rFonts w:hint="eastAsia"/>
        </w:rPr>
        <w:t>在一个群体中，每个个体对药物的反应是有差异的，生物个体间可允许的差异变化范围一般在30%以内，个别情况下可达到50%。引起这种差异的原因是多方面的，按照重要性依次排序为遗传、疾病、年龄与体重、合并用药、环境因素、时辰节律、生活习惯等。当变异范围较大时，不能简单使用平均药动学参数指导用药。在此情况下，可以选择个体化药物治疗（individualizing drug therapy）。即根据不同患者的生理、病理状况，调整适合的剂量及给药间隔，使临床用药更安全有效。例如，对于心脏瓣膜置换手术患者，术后常需反复测定凝血酶原时间，以调整每个患者服用华法林的剂量，这是以药效学指</w:t>
      </w:r>
      <w:r w:rsidRPr="008A248B">
        <w:rPr>
          <w:rFonts w:hint="eastAsia"/>
        </w:rPr>
        <w:t>征作为</w:t>
      </w:r>
      <w:r w:rsidRPr="008A248B">
        <w:rPr>
          <w:rFonts w:hint="eastAsia"/>
        </w:rPr>
        <w:t>监测指标；而用水杨酸治疗风湿病，一般先将用药剂量递增到出现耳鸣、恶心，然后采用略低于此的剂量，则是以毒性症状作为监测指标；观察临床药效学指标来制定个体化给药方案，是临床上习用且行之有效的方法，如通过监测血压来调整抗高血压药物剂量，测定血糖以调节降血糖药的用量等。</w:t>
      </w:r>
    </w:p>
    <w:p w:rsidR="008A248B" w:rsidRPr="008A248B" w:rsidP="008A248B" w14:paraId="649DBAEE" w14:textId="77777777">
      <w:pPr>
        <w:rPr>
          <w:rFonts w:hint="eastAsia"/>
        </w:rPr>
      </w:pPr>
      <w:r w:rsidRPr="008A248B">
        <w:rPr>
          <w:rFonts w:hint="eastAsia"/>
        </w:rPr>
        <w:t>大量研究表明，引起药物作用个体差异的主要原因是药物动力学的差异，即不同个体由于遗传因素以及内外环境因素的不同，造成对药物的吸收、分布与消除不同，导致作用部位的药物浓度存在较大差异，从而产生显著的药理作用差异。如茶碱公认的有效治疗浓度是10～20μg/mL，但对有些患者在血药浓度低于20μg/mL时就会出现中枢神经系统兴奋和失眠等中毒症状，而对有些患者在血药浓度低于10μg/mL时也有效。产生某一特定药理作用的药物剂量也因人而异，如15名患心血管疾病的患者服用华法林，使凝血酶原时间提高到18～21.5s的剂量为0.04～0.20mg/kg/day，相差大约5倍。不仅个体间存在血药浓度的显著差异，即使对于同一个体，在不同情况下服用同一药物血药浓度也会产生很大差异。</w:t>
      </w:r>
    </w:p>
    <w:p w:rsidR="008A248B" w:rsidRPr="008A248B" w:rsidP="008A248B" w14:paraId="12191F98"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8A248B">
        <w:rPr>
          <w:rFonts w:hint="eastAsia"/>
        </w:rPr>
        <w:t>目前普遍认为，药物效应取决于作用部位的药物浓度，但受目前研究技术与水平的限制，难以测定作用部位的药物浓度。对于多数药物来说，作用部位的药物浓度与血药浓度存在着平</w:t>
      </w:r>
    </w:p>
    <w:p w:rsidR="008A248B" w:rsidRPr="008A248B" w:rsidP="008A248B" w14:textId="77777777">
      <w:pPr>
        <w:rPr>
          <w:rFonts w:hint="eastAsia"/>
        </w:rPr>
      </w:pPr>
      <w:r w:rsidRPr="008A248B">
        <w:rPr>
          <w:rFonts w:hint="eastAsia"/>
        </w:rPr>
        <w:t>行关系，血药浓度对作用强度的影响比剂量对作用强度的影响更直接，通过治疗药物监测可了解所用剂量的治疗作用大小，从而指导临床对用药剂量的调整，使血药浓度处于有效范围之内，从而避免中毒或治疗失败。给药方案个体化是提高临床疗效的重要保证，治疗药物监测则是实行给药方案个体化的重要手段。</w:t>
      </w:r>
    </w:p>
    <w:p w:rsidR="008A248B" w:rsidRPr="008A248B" w:rsidP="008A248B" w14:paraId="68DDC99B" w14:textId="77777777">
      <w:pPr>
        <w:rPr>
          <w:rFonts w:hint="eastAsia"/>
        </w:rPr>
      </w:pPr>
      <w:r w:rsidRPr="008A248B">
        <w:rPr>
          <w:rFonts w:hint="eastAsia"/>
        </w:rPr>
        <w:t>二、治疗药物监测的应用原则</w:t>
      </w:r>
    </w:p>
    <w:p w:rsidR="008A248B" w:rsidRPr="008A248B" w:rsidP="008A248B" w14:paraId="1F8C32C7" w14:textId="77777777">
      <w:pPr>
        <w:rPr>
          <w:rFonts w:hint="eastAsia"/>
        </w:rPr>
      </w:pPr>
      <w:r w:rsidRPr="008A248B">
        <w:rPr>
          <w:rFonts w:hint="eastAsia"/>
        </w:rPr>
        <w:t>临床医师申请治疗药物监测时必须考虑：①TDM可得到何种对治疗有用的信息；②所监测药物是否有已知的有效治疗浓度范围，监测目的是什么；③血药浓度过高或过低，对患者疗效或不良反应有何影响；④从治疗效果与患者经济状况考虑，</w:t>
      </w:r>
      <w:r w:rsidRPr="008A248B">
        <w:rPr>
          <w:rFonts w:hint="eastAsia"/>
        </w:rPr>
        <w:t>TDM</w:t>
      </w:r>
      <w:r w:rsidRPr="008A248B">
        <w:rPr>
          <w:rFonts w:hint="eastAsia"/>
        </w:rPr>
        <w:t>的价值如何等。</w:t>
      </w:r>
    </w:p>
    <w:p w:rsidR="008A248B" w:rsidRPr="008A248B" w:rsidP="008A248B" w14:paraId="6084AC3F" w14:textId="77777777">
      <w:pPr>
        <w:rPr>
          <w:rFonts w:hint="eastAsia"/>
        </w:rPr>
      </w:pPr>
      <w:r w:rsidRPr="008A248B">
        <w:rPr>
          <w:rFonts w:hint="eastAsia"/>
        </w:rPr>
        <w:t>（一）治疗药物监测的适用范围</w:t>
      </w:r>
    </w:p>
    <w:p w:rsidR="008A248B" w:rsidRPr="008A248B" w:rsidP="008A248B" w14:paraId="5CD0D051" w14:textId="77777777">
      <w:pPr>
        <w:rPr>
          <w:rFonts w:hint="eastAsia"/>
        </w:rPr>
      </w:pPr>
      <w:r w:rsidRPr="008A248B">
        <w:rPr>
          <w:rFonts w:hint="eastAsia"/>
        </w:rPr>
        <w:t>治疗浓度监测具有重要的临床价值，但它并不适用于所有的药物。一般来说，临床需要进行血药浓度监测的药物应该符合以下基本条件：①血药浓度与药理效应之间具有明确的量效关系。②临床上缺少及时的、易观察的、可量化的疗效指标。具体有以下几种情况需要进行治疗药物监测：</w:t>
      </w:r>
    </w:p>
    <w:p w:rsidR="008A248B" w:rsidRPr="008A248B" w:rsidP="008A248B" w14:paraId="51D48EB0" w14:textId="77777777">
      <w:pPr>
        <w:rPr>
          <w:rFonts w:hint="eastAsia"/>
        </w:rPr>
      </w:pPr>
      <w:r w:rsidRPr="008A248B">
        <w:rPr>
          <w:rFonts w:hint="eastAsia"/>
        </w:rPr>
        <w:t>1.治疗指数低的药物 治疗指数（therapeutic index）是衡量药物安全性的指标，常用半数致死量（ </w:t>
      </w:r>
      <w:r w:rsidRPr="008A248B">
        <w:rPr>
          <w:rFonts w:hint="eastAsia"/>
          <w:i/>
          <w:iCs/>
        </w:rPr>
        <w:t>LD </w:t>
      </w:r>
      <w:r w:rsidRPr="008A248B">
        <w:rPr>
          <w:rFonts w:hint="eastAsia"/>
        </w:rPr>
        <w:t>50 ）和半数有效量（ </w:t>
      </w:r>
      <w:r w:rsidRPr="008A248B">
        <w:rPr>
          <w:rFonts w:hint="eastAsia"/>
          <w:i/>
          <w:iCs/>
        </w:rPr>
        <w:t>ED </w:t>
      </w:r>
      <w:r w:rsidRPr="008A248B">
        <w:rPr>
          <w:rFonts w:hint="eastAsia"/>
        </w:rPr>
        <w:t>50 ）的比值来表示。治疗指数低的药物即血药浓度安全范围较窄、毒性反应较强的药物，如强心苷类、氨基糖苷类抗生素、抗癫痫药等。</w:t>
      </w:r>
    </w:p>
    <w:p w:rsidR="008A248B" w:rsidRPr="008A248B" w:rsidP="008A248B" w14:paraId="6272D8EA" w14:textId="77777777">
      <w:pPr>
        <w:rPr>
          <w:rFonts w:hint="eastAsia"/>
        </w:rPr>
      </w:pPr>
      <w:r w:rsidRPr="008A248B">
        <w:rPr>
          <w:rFonts w:hint="eastAsia"/>
        </w:rPr>
        <w:t>2.具有非线性药动学特征的药物 某些药物当血药浓度达到一定水平后，剂量的少量增加就可导致血药浓度不成比例的大幅度增加，半衰期显著延长，易使药物在体内蓄积，产生毒副作用，呈现明显的非线性过程。如苯妥英钠、茶碱等。</w:t>
      </w:r>
    </w:p>
    <w:p w:rsidR="008A248B" w:rsidRPr="008A248B" w:rsidP="008A248B" w14:paraId="6AF8872F" w14:textId="77777777">
      <w:pPr>
        <w:rPr>
          <w:rFonts w:hint="eastAsia"/>
        </w:rPr>
      </w:pPr>
      <w:r w:rsidRPr="008A248B">
        <w:rPr>
          <w:rFonts w:hint="eastAsia"/>
        </w:rPr>
        <w:t>3.血药浓度个体差异大的药物 有些药物（如三环类抗抑郁药）按同一剂量给药后，个体间血药浓度差异较大，表现在临床治疗上疗效差异亦较大。</w:t>
      </w:r>
    </w:p>
    <w:p w:rsidR="008A248B" w:rsidRPr="008A248B" w:rsidP="008A248B" w14:paraId="5B6711C8"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8A248B">
        <w:rPr>
          <w:rFonts w:hint="eastAsia"/>
        </w:rPr>
        <w:t>4.疾病导致</w:t>
      </w:r>
      <w:r w:rsidRPr="008A248B">
        <w:rPr>
          <w:rFonts w:hint="eastAsia"/>
        </w:rPr>
        <w:t>体内过程</w:t>
      </w:r>
    </w:p>
    <w:p w:rsidR="008A248B" w:rsidRPr="008A248B" w:rsidP="008A248B" w14:textId="77777777">
      <w:pPr>
        <w:rPr>
          <w:rFonts w:hint="eastAsia"/>
        </w:rPr>
      </w:pPr>
      <w:r w:rsidRPr="008A248B">
        <w:rPr>
          <w:rFonts w:hint="eastAsia"/>
        </w:rPr>
        <w:t>改变的药物 患者肝、肾功能损伤以及蛋白质水平降低等病理状况将会导致药物体内过程的显著变化，如肝损害导致主要经肝代谢的药物（如利多卡因、茶碱等）消除减慢，而肾功能障碍时则主要导致经肾排泄的药物（如氨基糖苷类抗生素）排泄减少。</w:t>
      </w:r>
    </w:p>
    <w:p w:rsidR="008A248B" w:rsidRPr="008A248B" w:rsidP="008A248B" w14:paraId="1C21FB4D" w14:textId="77777777">
      <w:pPr>
        <w:rPr>
          <w:rFonts w:hint="eastAsia"/>
        </w:rPr>
      </w:pPr>
      <w:r w:rsidRPr="008A248B">
        <w:rPr>
          <w:rFonts w:hint="eastAsia"/>
        </w:rPr>
        <w:t>5.需要长期使用的药物 长期服药的患者可能会由于酶诱导或酶抑制引发药效变化及中毒反应等问题；由于各种生理、病理因素的改变使血药浓度受到影响，可能需要通过血药浓度监测重新调整剂量；有些药物长期使用可能会出现耐药性或代谢酶活性发生改变的情况。</w:t>
      </w:r>
    </w:p>
    <w:p w:rsidR="008A248B" w:rsidRPr="008A248B" w:rsidP="008A248B" w14:paraId="5EB2840D" w14:textId="77777777">
      <w:pPr>
        <w:rPr>
          <w:rFonts w:hint="eastAsia"/>
        </w:rPr>
      </w:pPr>
      <w:r w:rsidRPr="008A248B">
        <w:rPr>
          <w:rFonts w:hint="eastAsia"/>
        </w:rPr>
        <w:t>6.联合用药相互作用导致药动学特征改变 药物的相互作用可改变药物的体内动力学过程，影响药物的疗效，需要通过TDM进行剂量调整。</w:t>
      </w:r>
    </w:p>
    <w:p w:rsidR="008A248B" w:rsidRPr="008A248B" w:rsidP="008A248B" w14:paraId="0180C0B7" w14:textId="77777777">
      <w:pPr>
        <w:rPr>
          <w:rFonts w:hint="eastAsia"/>
        </w:rPr>
      </w:pPr>
      <w:r w:rsidRPr="008A248B">
        <w:rPr>
          <w:rFonts w:hint="eastAsia"/>
        </w:rPr>
        <w:t>7.治疗症状与中毒症状类似的药物 尤其是药物的中毒症状与剂量不足的症状类似，临床难以区分。例如地高</w:t>
      </w:r>
      <w:r w:rsidRPr="008A248B">
        <w:rPr>
          <w:rFonts w:hint="eastAsia"/>
        </w:rPr>
        <w:t>辛可以</w:t>
      </w:r>
      <w:r w:rsidRPr="008A248B">
        <w:rPr>
          <w:rFonts w:hint="eastAsia"/>
        </w:rPr>
        <w:t>用于治疗室上性心律失常，但也具有引发室上性心律失常的毒性反应；苯妥英钠中毒症状也可以表现为抽搐，与癫痫发作症状类似。TDM有助于对临床具体情况做出正确的判断。</w:t>
      </w:r>
    </w:p>
    <w:p w:rsidR="008A248B" w:rsidRPr="008A248B" w:rsidP="008A248B" w14:paraId="436DE5BA" w14:textId="77777777">
      <w:pPr>
        <w:rPr>
          <w:rFonts w:hint="eastAsia"/>
        </w:rPr>
      </w:pPr>
      <w:r w:rsidRPr="008A248B">
        <w:rPr>
          <w:rFonts w:hint="eastAsia"/>
        </w:rPr>
        <w:t>（二）常规监测品种</w:t>
      </w:r>
    </w:p>
    <w:p w:rsidR="008A248B" w:rsidRPr="008A248B" w:rsidP="008A248B" w14:paraId="6A12E1B7" w14:textId="77777777">
      <w:pPr>
        <w:rPr>
          <w:rFonts w:hint="eastAsia"/>
        </w:rPr>
      </w:pPr>
      <w:r w:rsidRPr="008A248B">
        <w:rPr>
          <w:rFonts w:hint="eastAsia"/>
        </w:rPr>
        <w:t>目前认为有临床监测意义的药物大约有100多种，其中需要进行常规化监测的药物品种见表15-1。</w:t>
      </w:r>
    </w:p>
    <w:p w:rsidR="008A248B" w:rsidRPr="008A248B" w:rsidP="008A248B" w14:paraId="716A2A48" w14:textId="77777777">
      <w:pPr>
        <w:rPr>
          <w:rFonts w:hint="eastAsia"/>
        </w:rPr>
      </w:pPr>
      <w:r w:rsidRPr="008A248B">
        <w:rPr>
          <w:rFonts w:hint="eastAsia"/>
        </w:rPr>
        <w:t>表15-1　常见临床监测药物品种</w:t>
      </w:r>
    </w:p>
    <w:p w:rsidR="008A248B" w:rsidRPr="008A248B" w:rsidP="008A248B" w14:paraId="10E4EF37" w14:textId="3B6868D2">
      <w:pPr>
        <w:rPr>
          <w:rFonts w:hint="eastAsia"/>
        </w:rPr>
        <w:sectPr>
          <w:type w:val="nextPage"/>
          <w:pgSz w:w="11906" w:h="16838"/>
          <w:pgMar w:top="1440" w:right="1800" w:bottom="1440" w:left="1800" w:header="851" w:footer="992" w:gutter="0"/>
          <w:pgNumType w:start="4"/>
          <w:cols w:space="425"/>
          <w:titlePg w:val="0"/>
          <w:docGrid w:type="lines" w:linePitch="312"/>
        </w:sectPr>
      </w:pPr>
      <w:r w:rsidRPr="008A248B">
        <w:drawing>
          <wp:inline distT="0" distB="0" distL="0" distR="0">
            <wp:extent cx="5274310" cy="2666365"/>
            <wp:effectExtent l="0" t="0" r="2540" b="635"/>
            <wp:docPr id="1468575349"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75349" name="Picture 1"/>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66365"/>
                    </a:xfrm>
                    <a:prstGeom prst="rect">
                      <a:avLst/>
                    </a:prstGeom>
                    <a:noFill/>
                    <a:ln>
                      <a:noFill/>
                    </a:ln>
                  </pic:spPr>
                </pic:pic>
              </a:graphicData>
            </a:graphic>
          </wp:inline>
        </w:drawing>
      </w:r>
    </w:p>
    <w:p w:rsidR="008A248B" w:rsidRPr="008A248B" w:rsidP="008A248B" w14:paraId="39B9C98D" w14:textId="77777777">
      <w:r w:rsidRPr="008A248B">
        <w:rPr>
          <w:rFonts w:hint="eastAsia"/>
        </w:rPr>
        <w:t>例如苯妥英钠为临床治疗癫痫大发作的一线抗癫痫药物。临床实践表明，其血药浓度与临床疗效、毒副作用密切相关，有明确的效应浓度范围和中毒界限。苯妥英钠的</w:t>
      </w:r>
      <w:r w:rsidRPr="008A248B">
        <w:rPr>
          <w:rFonts w:hint="eastAsia"/>
        </w:rPr>
        <w:t>最</w:t>
      </w:r>
      <w:r w:rsidRPr="008A248B">
        <w:rPr>
          <w:rFonts w:hint="eastAsia"/>
        </w:rPr>
        <w:t>适血药浓度范围比较窄，为10～20μg/mL。苯妥英钠剂量与血药浓度关系还存在一定的个体差异。此外，苯妥英钠在体内的清除主要通过肝脏羟基化，肝脏对苯妥英钠的羟基化能力是有限的，血药浓度</w:t>
      </w:r>
      <w:r w:rsidRPr="008A248B">
        <w:rPr>
          <w:rFonts w:hint="eastAsia"/>
        </w:rPr>
        <w:t>低时苯妥</w:t>
      </w:r>
      <w:r w:rsidRPr="008A248B">
        <w:rPr>
          <w:rFonts w:hint="eastAsia"/>
        </w:rPr>
        <w:t>英钠呈线性消除，血药浓度达到治疗水平后，肝脏羟基化能力达到饱和，苯妥英钠在体内的代谢呈非线性药动学过程。此时，苯妥英钠剂量的少量增加会导致血药浓度的大幅度升高。目前认为，苯妥英钠是最需要进行血药浓度监测的抗癫痫药物，对其进行TDM已得到普遍认可，成为临床常规治疗中不可缺少的一部分。但要注意，苯妥英钠游离药物比例变化范围很大，有时可能需要用血浆（或血清）中游离药物浓度来指导剂量调整。</w:t>
      </w:r>
    </w:p>
    <w:p w:rsidR="008A248B" w:rsidRPr="008A248B" w:rsidP="008A248B" w14:paraId="27760562" w14:textId="77777777">
      <w:pPr>
        <w:rPr>
          <w:rFonts w:hint="eastAsia"/>
        </w:rPr>
      </w:pPr>
      <w:r w:rsidRPr="008A248B">
        <w:rPr>
          <w:rFonts w:hint="eastAsia"/>
        </w:rPr>
        <w:t>三、治疗药物监测结果的解读</w:t>
      </w:r>
    </w:p>
    <w:p w:rsidR="008A248B" w:rsidRPr="008A248B" w:rsidP="008A248B" w14:paraId="75B94E4D" w14:textId="77777777">
      <w:pPr>
        <w:rPr>
          <w:rFonts w:hint="eastAsia"/>
        </w:rPr>
      </w:pPr>
      <w:r w:rsidRPr="008A248B">
        <w:rPr>
          <w:rFonts w:hint="eastAsia"/>
        </w:rPr>
        <w:t>治疗药物监测的程序包括申请、取样、测定、数据处理与结果解释五个步骤。监测结果的解读是TDM的关键，结果解释水平的高低决定TDM的意义大小。结果解释需进行如下过程：</w:t>
      </w:r>
    </w:p>
    <w:p w:rsidR="008A248B" w:rsidRPr="008A248B" w:rsidP="008A248B" w14:paraId="60FDC7AC" w14:textId="77777777">
      <w:pPr>
        <w:rPr>
          <w:rFonts w:hint="eastAsia"/>
        </w:rPr>
      </w:pPr>
      <w:r w:rsidRPr="008A248B">
        <w:rPr>
          <w:rFonts w:hint="eastAsia"/>
        </w:rPr>
        <w:t>1.临床资料 包括患者的生理、病理状态，影响药物蛋白结合率的因素，患者的用药情况，特别是被监测药物的用药过程等。此外，由于临床医师最清楚患者的病情、用药情况及药效，因此，应加强与临床医师的交流、虚心听取医师的意见，必要时应访问患者。</w:t>
      </w:r>
    </w:p>
    <w:p w:rsidR="008A248B" w:rsidRPr="008A248B" w:rsidP="008A248B" w14:paraId="02E1FA50" w14:textId="77777777">
      <w:pPr>
        <w:rPr>
          <w:rFonts w:hint="eastAsia"/>
        </w:rPr>
      </w:pPr>
      <w:r w:rsidRPr="008A248B">
        <w:rPr>
          <w:rFonts w:hint="eastAsia"/>
        </w:rPr>
        <w:t>2.药动学资料 包括药物的有效血药浓度范围、药物的剂量-血药浓度-效应间的相关程度及影响因素、药物的群体药动学参数等。</w:t>
      </w:r>
    </w:p>
    <w:p w:rsidR="008A248B" w:rsidRPr="008A248B" w:rsidP="008A248B" w14:paraId="324C86F6" w14:textId="77777777">
      <w:pPr>
        <w:rPr>
          <w:rFonts w:hint="eastAsia"/>
        </w:rPr>
      </w:pPr>
      <w:r w:rsidRPr="008A248B">
        <w:rPr>
          <w:rFonts w:hint="eastAsia"/>
        </w:rPr>
        <w:t>3.结果解释 根据药动学资料计算血药浓度水平作为预测值，比较实测值与预测值，根据患者的情况（包括病理的、生理的、合并用药等）综合判断，确定是否需要调整给药方案。</w:t>
      </w:r>
    </w:p>
    <w:p w:rsidR="008A248B" w:rsidRPr="008A248B" w:rsidP="008A248B" w14:paraId="3CE2522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8A248B" w:rsidRPr="008A248B" w:rsidP="008A248B" w14:textId="77777777">
      <w:pPr>
        <w:rPr>
          <w:rFonts w:hint="eastAsia"/>
        </w:rPr>
      </w:pPr>
      <w:r w:rsidRPr="008A248B">
        <w:rPr>
          <w:rFonts w:hint="eastAsia"/>
        </w:rPr>
        <w:t>4.TDM报告 报告内容包括：①资料：患者姓名、年龄、体重、药品名、给药时间表、血药浓度实测值、血药浓度的药动学分析、患者药动学参数（消除率、表观分布容积、生物半衰期等）的评价以及同文献资料的比较；②分析误差产生的原因（如没有达到稳态血药浓度、不适当的采样时间等）；③总结：对当前给药方案的评价；当需要进一步调整时，应制定合适的给药方案，并拟定测定血药浓度的取样方案。</w:t>
      </w:r>
    </w:p>
    <w:p w:rsidR="008A248B" w:rsidRPr="008A248B" w:rsidP="008A248B" w14:paraId="51776BC7" w14:textId="77777777">
      <w:pPr>
        <w:rPr>
          <w:rFonts w:hint="eastAsia"/>
        </w:rPr>
      </w:pPr>
      <w:r w:rsidRPr="008A248B">
        <w:br/>
      </w:r>
    </w:p>
    <w:p w:rsidR="008A248B" w:rsidRPr="008A248B" w:rsidP="008A248B" w14:paraId="6D6E8C8E" w14:textId="77777777">
      <w:r w:rsidRPr="008A248B">
        <w:rPr>
          <w:rFonts w:hint="eastAsia"/>
        </w:rPr>
        <w:t>第二节</w:t>
      </w:r>
      <w:r w:rsidRPr="008A248B">
        <w:rPr>
          <w:rFonts w:hint="eastAsia"/>
        </w:rPr>
        <w:br/>
        <w:t>临床给药方案制定与调整</w:t>
      </w:r>
    </w:p>
    <w:p w:rsidR="008A248B" w:rsidRPr="008A248B" w:rsidP="008A248B" w14:paraId="45130691" w14:textId="77777777">
      <w:pPr>
        <w:rPr>
          <w:rFonts w:hint="eastAsia"/>
        </w:rPr>
      </w:pPr>
      <w:r w:rsidRPr="008A248B">
        <w:rPr>
          <w:rFonts w:hint="eastAsia"/>
        </w:rPr>
        <w:t>临床给药方案的设计取决于各种因素，首先要考虑与药物有效性、安全性有关的因素，即药物的效应与毒性；其次要考虑机体对药物和剂型的反应，即药物动力学因素；再要考虑患者</w:t>
      </w:r>
      <w:r w:rsidRPr="008A248B">
        <w:rPr>
          <w:rFonts w:hint="eastAsia"/>
        </w:rPr>
        <w:t>的临床状态和整体治疗方案；最后还要考虑诸如遗传差异、耐药性以及药物相互作用等因素。所有这些因素既相互关联又相互独立，其关系如图15-1所描述。</w:t>
      </w:r>
    </w:p>
    <w:p w:rsidR="008A248B" w:rsidRPr="008A248B" w:rsidP="008A248B" w14:paraId="05EFC092" w14:textId="796AACFA">
      <w:pPr>
        <w:rPr>
          <w:rFonts w:hint="eastAsia"/>
        </w:rPr>
        <w:sectPr>
          <w:type w:val="nextPage"/>
          <w:pgSz w:w="11906" w:h="16838"/>
          <w:pgMar w:top="1440" w:right="1800" w:bottom="1440" w:left="1800" w:header="851" w:footer="992" w:gutter="0"/>
          <w:pgNumType w:start="6"/>
          <w:cols w:space="425"/>
          <w:titlePg w:val="0"/>
          <w:docGrid w:type="lines" w:linePitch="312"/>
        </w:sectPr>
      </w:pPr>
      <w:r w:rsidRPr="008A248B">
        <w:drawing>
          <wp:inline distT="0" distB="0" distL="0" distR="0">
            <wp:extent cx="5274310" cy="4578985"/>
            <wp:effectExtent l="0" t="0" r="2540" b="0"/>
            <wp:docPr id="1280222445"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222445"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78985"/>
                    </a:xfrm>
                    <a:prstGeom prst="rect">
                      <a:avLst/>
                    </a:prstGeom>
                    <a:noFill/>
                    <a:ln>
                      <a:noFill/>
                    </a:ln>
                  </pic:spPr>
                </pic:pic>
              </a:graphicData>
            </a:graphic>
          </wp:inline>
        </w:drawing>
      </w:r>
    </w:p>
    <w:p w:rsidR="008A248B" w:rsidRPr="008A248B" w:rsidP="008A248B" w14:paraId="59BB56FC" w14:textId="77777777">
      <w:r w:rsidRPr="008A248B">
        <w:rPr>
          <w:rFonts w:hint="eastAsia"/>
        </w:rPr>
        <w:t>图15-1　决定给药方案的因素</w:t>
      </w:r>
    </w:p>
    <w:p w:rsidR="008A248B" w:rsidRPr="008A248B" w:rsidP="008A248B" w14:paraId="0304F95C" w14:textId="77777777">
      <w:pPr>
        <w:rPr>
          <w:rFonts w:hint="eastAsia"/>
        </w:rPr>
      </w:pPr>
      <w:r w:rsidRPr="008A248B">
        <w:rPr>
          <w:rFonts w:hint="eastAsia"/>
        </w:rPr>
        <w:t>一、“治疗窗”的概念</w:t>
      </w:r>
    </w:p>
    <w:p w:rsidR="008A248B" w:rsidRPr="008A248B" w:rsidP="008A248B" w14:paraId="70DF02E7" w14:textId="77777777">
      <w:pPr>
        <w:rPr>
          <w:rFonts w:hint="eastAsia"/>
        </w:rPr>
      </w:pPr>
      <w:r w:rsidRPr="008A248B">
        <w:rPr>
          <w:rFonts w:hint="eastAsia"/>
        </w:rPr>
        <w:t>20世纪40年代后期，Brodie等发现多数药物的血药浓度与药理作用强度之间呈平行关系。相同的血药浓度在不同种属动物中得出的药理反应极为相似。例如保泰松</w:t>
      </w:r>
      <w:r w:rsidRPr="008A248B">
        <w:rPr>
          <w:rFonts w:hint="eastAsia"/>
        </w:rPr>
        <w:t>对兔与人</w:t>
      </w:r>
      <w:r w:rsidRPr="008A248B">
        <w:rPr>
          <w:rFonts w:hint="eastAsia"/>
        </w:rPr>
        <w:t>的抗炎作用有效剂量各为300mg/kg与5～10mg/kg，相差几十倍，但有效血药浓度都在100～150mg/mL附近。更有临床意义的是，苯妥英</w:t>
      </w:r>
      <w:r w:rsidRPr="008A248B">
        <w:rPr>
          <w:rFonts w:hint="eastAsia"/>
        </w:rPr>
        <w:t>钠对于</w:t>
      </w:r>
      <w:r w:rsidRPr="008A248B">
        <w:rPr>
          <w:rFonts w:hint="eastAsia"/>
        </w:rPr>
        <w:t>大多数患者抗惊厥和抗心律失常的有效血药浓度在10～20μg/mL之间，低于10μg/mL无显著疗效，而20μg/mL以上就可能出现中毒现象。因此，研究体内血药浓度的变化规律，对于了解药理作用强度的变化规律至关重要，这正是药物动力学所研究的中心内容。表15-2所示为一些在治疗上已确定了安全有效血药浓度范围的药物。</w:t>
      </w:r>
    </w:p>
    <w:p w:rsidR="008A248B" w:rsidRPr="008A248B" w:rsidP="008A248B" w14:paraId="367F58DF" w14:textId="77777777">
      <w:pPr>
        <w:rPr>
          <w:rFonts w:hint="eastAsia"/>
        </w:rPr>
      </w:pPr>
      <w:r w:rsidRPr="008A248B">
        <w:rPr>
          <w:rFonts w:hint="eastAsia"/>
        </w:rPr>
        <w:t>表15-2　一些药物的安全有效血清药物浓度范围</w:t>
      </w:r>
    </w:p>
    <w:p w:rsidR="008A248B" w:rsidRPr="008A248B" w:rsidP="008A248B" w14:paraId="4E8144A5" w14:textId="5B0525A6">
      <w:pPr>
        <w:rPr>
          <w:rFonts w:hint="eastAsia"/>
        </w:rPr>
      </w:pPr>
      <w:r w:rsidRPr="008A248B">
        <w:drawing>
          <wp:inline distT="0" distB="0" distL="0" distR="0">
            <wp:extent cx="5274310" cy="2461895"/>
            <wp:effectExtent l="0" t="0" r="2540" b="0"/>
            <wp:docPr id="400017557"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017557" name="Picture 3"/>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61895"/>
                    </a:xfrm>
                    <a:prstGeom prst="rect">
                      <a:avLst/>
                    </a:prstGeom>
                    <a:noFill/>
                    <a:ln>
                      <a:noFill/>
                    </a:ln>
                  </pic:spPr>
                </pic:pic>
              </a:graphicData>
            </a:graphic>
          </wp:inline>
        </w:drawing>
      </w:r>
    </w:p>
    <w:p w:rsidR="008A248B" w:rsidRPr="008A248B" w:rsidP="008A248B" w14:paraId="50333B6B" w14:textId="77777777">
      <w:r w:rsidRPr="008A248B">
        <w:rPr>
          <w:rFonts w:hint="eastAsia"/>
        </w:rPr>
        <w:t>从表15-2中可以看出，这些药物中多数的治疗浓度范围都比较窄，上下限只差1～3倍，浓度范围越窄，就越难将治疗浓度控制在此范围之内。当然，对于其他许多药物，这一浓度</w:t>
      </w:r>
      <w:r w:rsidRPr="008A248B">
        <w:rPr>
          <w:rFonts w:hint="eastAsia"/>
        </w:rPr>
        <w:t>范围会宽得</w:t>
      </w:r>
      <w:r w:rsidRPr="008A248B">
        <w:rPr>
          <w:rFonts w:hint="eastAsia"/>
        </w:rPr>
        <w:t>多。对于多数患者来说，根据药物的治疗浓度范围并应用药动学原理即可确定安全有效的治疗方案。</w:t>
      </w:r>
    </w:p>
    <w:p w:rsidR="008A248B" w:rsidRPr="008A248B" w:rsidP="008A248B" w14:paraId="587B4AAA"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8A248B" w:rsidRPr="008A248B" w:rsidP="008A248B" w14:textId="77777777">
      <w:pPr>
        <w:rPr>
          <w:rFonts w:hint="eastAsia"/>
        </w:rPr>
      </w:pPr>
      <w:r w:rsidRPr="008A248B">
        <w:rPr>
          <w:rFonts w:hint="eastAsia"/>
        </w:rPr>
        <w:t>有些药物可用于治疗多种疾病，而治疗浓度范围会随病种而改变。例如，实质性改善慢性气管炎患者肺功能所需的茶碱血药浓度就高于治疗早产儿窒息反复发作的血药浓度。另外，血药浓度超上限可能有多种后果：如去甲替林，浓度更高</w:t>
      </w:r>
      <w:r w:rsidRPr="008A248B">
        <w:rPr>
          <w:rFonts w:hint="eastAsia"/>
        </w:rPr>
        <w:t>时作用</w:t>
      </w:r>
      <w:r w:rsidRPr="008A248B">
        <w:rPr>
          <w:rFonts w:hint="eastAsia"/>
        </w:rPr>
        <w:t>消失，但不会出现毒性增加迹象；而环</w:t>
      </w:r>
      <w:r w:rsidRPr="008A248B">
        <w:rPr>
          <w:rFonts w:hint="eastAsia"/>
        </w:rPr>
        <w:t>孢</w:t>
      </w:r>
      <w:r w:rsidRPr="008A248B">
        <w:rPr>
          <w:rFonts w:hint="eastAsia"/>
        </w:rPr>
        <w:t>素浓度过高则有可能产生肾中毒。毒性既可能与药物的药理属性有关，亦可能与治疗效果毫无关系；口服抗凝血药华法林由于血药浓度过高引起出血的倾向属于前者，而由庆大霉素引起的耳毒性则属于后者。</w:t>
      </w:r>
    </w:p>
    <w:p w:rsidR="008A248B" w:rsidRPr="008A248B" w:rsidP="008A248B" w14:paraId="0CEC50F3" w14:textId="77777777">
      <w:pPr>
        <w:rPr>
          <w:rFonts w:hint="eastAsia"/>
        </w:rPr>
      </w:pPr>
      <w:r w:rsidRPr="008A248B">
        <w:rPr>
          <w:rFonts w:hint="eastAsia"/>
        </w:rPr>
        <w:t>也有不少药物，其血药浓度与药理作用不平行。例如，利血平、单胺氧化酶抑制剂等，其药理作用的持续时间较药物在血液中的时间长得多。有些药物与作用部位的结合是不可逆的，例如有机磷酸酯类、抗胆碱酯酶药物。也有些则是造成细胞生化损害的药物，如生物烷化剂。严格说这些药物都不适合应用药物动力学规律预测其作用强弱的变化。</w:t>
      </w:r>
    </w:p>
    <w:p w:rsidR="008A248B" w:rsidRPr="008A248B" w:rsidP="008A248B" w14:paraId="60EA310C" w14:textId="77777777">
      <w:pPr>
        <w:rPr>
          <w:rFonts w:hint="eastAsia"/>
        </w:rPr>
      </w:pPr>
      <w:r w:rsidRPr="008A248B">
        <w:rPr>
          <w:rFonts w:hint="eastAsia"/>
        </w:rPr>
        <w:t>一般当患者的血药浓度低于最低有效浓度（minimum effective concentration，MEC）时，就无法产生治疗作用；而当血药浓度超出最大安全浓度（maximum safety concentration，MSC）时，药物将呈现较大的毒副作用。在MEC至MSC区间内的浓度范围常被称为该药物的“治疗窗”（therapeutic window，TW），也称之为治疗浓度范围（</w:t>
      </w:r>
      <w:r w:rsidRPr="008A248B">
        <w:rPr>
          <w:rFonts w:hint="eastAsia"/>
        </w:rPr>
        <w:t>therepeutic</w:t>
      </w:r>
      <w:r w:rsidRPr="008A248B">
        <w:rPr>
          <w:rFonts w:hint="eastAsia"/>
        </w:rPr>
        <w:t xml:space="preserve"> concentration range）。在这个浓度范围内，人们所希望治疗效应的概率相对较高，而毒性反应的概率相对较低。</w:t>
      </w:r>
    </w:p>
    <w:p w:rsidR="008A248B" w:rsidRPr="008A248B" w:rsidP="008A248B" w14:paraId="13689119"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8A248B" w:rsidRPr="008A248B" w:rsidP="008A248B" w14:textId="77777777">
      <w:pPr>
        <w:rPr>
          <w:rFonts w:hint="eastAsia"/>
        </w:rPr>
      </w:pPr>
      <w:r w:rsidRPr="008A248B">
        <w:rPr>
          <w:rFonts w:hint="eastAsia"/>
        </w:rPr>
        <w:t>这一概念可用图15-2来描述。如图（A）中所示的一类药物，若药物浓度低于5μg/mL，则产生所希望的治疗效应的概率是很低的（&lt;10%），引起中毒的概率也同样很低；假若浓度范围在5～20μg/mL之间，则产生治疗作用的可能性从低于10%增至约75%，在同样浓度范围，产生毒性的概率却增加很缓慢，从低于5%仅增至约10%，超过20μg/mL则产生毒性反应的概率迅速随浓度增加；因此将治疗浓度范围确定为10～20μg/mL的好处是显而易见的，因为低于这个范围产生治疗效应的概率相当低，高于这个范围则产生治疗效应的概率并没有显著增加，但引起毒副反应的概率却增加得相当快。对这类药物，假若它们的药动学参数变化大（个体差异大），或其毒副反应后果严重，就有必要进行血药浓度监测。图（B）表示了另一类药物，这类药物在产生治疗效应的最大概率浓度时，实际上毒性反应很小。对此类药物，只要选择一个能可靠地引起最大治疗反应概率的浓度（如图中20μg/mL）就可以了，一般不必进行常规的血药浓度监测。而图（C）则表示了另一些治疗窗口较窄的药物，出现窗口较窄的原因是由于治疗效应与毒性反应两条曲线重叠度很高，因此很难找出既可产生疗效又毒</w:t>
      </w:r>
      <w:r w:rsidRPr="008A248B">
        <w:rPr>
          <w:rFonts w:hint="eastAsia"/>
        </w:rPr>
        <w:t>性很小的血药浓度。</w:t>
      </w:r>
    </w:p>
    <w:p w:rsidR="008A248B" w:rsidRPr="008A248B" w:rsidP="008A248B" w14:paraId="2D93299A" w14:textId="7B24DACD">
      <w:pPr>
        <w:rPr>
          <w:rFonts w:hint="eastAsia"/>
        </w:rPr>
      </w:pPr>
      <w:r w:rsidRPr="008A248B">
        <w:drawing>
          <wp:inline distT="0" distB="0" distL="0" distR="0">
            <wp:extent cx="5274310" cy="1753235"/>
            <wp:effectExtent l="0" t="0" r="2540" b="0"/>
            <wp:docPr id="215282934"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282934" name="Picture 4"/>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753235"/>
                    </a:xfrm>
                    <a:prstGeom prst="rect">
                      <a:avLst/>
                    </a:prstGeom>
                    <a:noFill/>
                    <a:ln>
                      <a:noFill/>
                    </a:ln>
                  </pic:spPr>
                </pic:pic>
              </a:graphicData>
            </a:graphic>
          </wp:inline>
        </w:drawing>
      </w:r>
    </w:p>
    <w:p w:rsidR="008A248B" w:rsidRPr="008A248B" w:rsidP="008A248B" w14:paraId="01AFB14C" w14:textId="77777777">
      <w:r w:rsidRPr="008A248B">
        <w:rPr>
          <w:rFonts w:hint="eastAsia"/>
        </w:rPr>
        <w:t>图15-2　药物浓度-效应曲线</w:t>
      </w:r>
    </w:p>
    <w:p w:rsidR="008A248B" w:rsidRPr="008A248B" w:rsidP="008A248B" w14:paraId="4C315480" w14:textId="77777777">
      <w:pPr>
        <w:rPr>
          <w:rFonts w:hint="eastAsia"/>
        </w:rPr>
      </w:pPr>
      <w:r w:rsidRPr="008A248B">
        <w:rPr>
          <w:rFonts w:hint="eastAsia"/>
        </w:rPr>
        <w:t>实线为治疗反应曲线；虚线为毒副反应曲线</w:t>
      </w:r>
    </w:p>
    <w:p w:rsidR="008A248B" w:rsidRPr="008A248B" w:rsidP="008A248B" w14:paraId="1B838C92" w14:textId="77777777">
      <w:pPr>
        <w:rPr>
          <w:rFonts w:hint="eastAsia"/>
        </w:rPr>
      </w:pPr>
      <w:r w:rsidRPr="008A248B">
        <w:rPr>
          <w:rFonts w:hint="eastAsia"/>
        </w:rPr>
        <w:t>实际工作中，确定某药物的治疗浓度范围是很复杂的，要考虑多方面因素。例如普鲁卡因胺，图15-3显示了患者在各种情况下的效应百分率。由图中曲线可看出，出现微弱副作用时由于药效较显著不需要停药；但若损害心血管功能或出现其他副作用，继续用药则有可能出现严重的毒副作用。需要特别注意的是，当药物血药浓度高于8μg/mL时开始出现毒性，浓度越高毒性出现的频率越高，当超过16μg/mL时毒副作用可危及生命。因此可以初步得出结论，普鲁卡因</w:t>
      </w:r>
      <w:r w:rsidRPr="008A248B">
        <w:rPr>
          <w:rFonts w:hint="eastAsia"/>
        </w:rPr>
        <w:t>胺</w:t>
      </w:r>
      <w:r w:rsidRPr="008A248B">
        <w:rPr>
          <w:rFonts w:hint="eastAsia"/>
        </w:rPr>
        <w:t>有效而不产生毒性的血药浓度应为4～8μg/mL，这个范围可被认为是该药物的治疗浓度范围。</w:t>
      </w:r>
    </w:p>
    <w:p w:rsidR="008A248B" w:rsidRPr="008A248B" w:rsidP="008A248B" w14:paraId="20B46DE5"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8A248B" w:rsidRPr="008A248B" w:rsidP="008A248B" w14:textId="77777777">
      <w:pPr>
        <w:rPr>
          <w:rFonts w:hint="eastAsia"/>
        </w:rPr>
      </w:pPr>
      <w:r w:rsidRPr="008A248B">
        <w:rPr>
          <w:rFonts w:hint="eastAsia"/>
        </w:rPr>
        <w:t>目前药理学和药物治疗学参考书中推荐的药物剂量大多是平均剂量。实际用药过程中，只有安全、低毒的药物按既定的平均剂量给药，才能使患者获得较满意的疗效。而一些药物给予相同剂量后，往往只有部分患者疗效满意，另外一些患者会出现因剂量不足使疗效不佳，或剂量过大而出现不良反应。对大多数药物来讲，并无明确的浓度与效应及毒性之间的关系，而且疾病、年龄与合并用药等因素对文献报道的药物治疗浓度范围也会有很大的影响。这种难预测性需要临床医药工作者应用药物动力学原理，并结合血药浓度及药物效应，制定合理的给药方案。</w:t>
      </w:r>
    </w:p>
    <w:p w:rsidR="008A248B" w:rsidRPr="008A248B" w:rsidP="008A248B" w14:paraId="44E8AE27" w14:textId="51B417D9">
      <w:pPr>
        <w:rPr>
          <w:rFonts w:hint="eastAsia"/>
        </w:rPr>
      </w:pPr>
      <w:r w:rsidRPr="008A248B">
        <w:drawing>
          <wp:inline distT="0" distB="0" distL="0" distR="0">
            <wp:extent cx="5274310" cy="3764280"/>
            <wp:effectExtent l="0" t="0" r="2540" b="7620"/>
            <wp:docPr id="1846256309"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56309"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64280"/>
                    </a:xfrm>
                    <a:prstGeom prst="rect">
                      <a:avLst/>
                    </a:prstGeom>
                    <a:noFill/>
                    <a:ln>
                      <a:noFill/>
                    </a:ln>
                  </pic:spPr>
                </pic:pic>
              </a:graphicData>
            </a:graphic>
          </wp:inline>
        </w:drawing>
      </w:r>
    </w:p>
    <w:p w:rsidR="008A248B" w:rsidRPr="008A248B" w:rsidP="008A248B" w14:paraId="2D6DDE58" w14:textId="77777777">
      <w:r w:rsidRPr="008A248B">
        <w:rPr>
          <w:rFonts w:hint="eastAsia"/>
        </w:rPr>
        <w:t>图15-3　普鲁卡因胺的效应-浓度曲线</w:t>
      </w:r>
    </w:p>
    <w:p w:rsidR="008A248B" w:rsidRPr="008A248B" w:rsidP="008A248B" w14:paraId="6AF79714" w14:textId="77777777">
      <w:pPr>
        <w:rPr>
          <w:rFonts w:hint="eastAsia"/>
        </w:rPr>
      </w:pPr>
      <w:r w:rsidRPr="008A248B">
        <w:rPr>
          <w:rFonts w:hint="eastAsia"/>
        </w:rPr>
        <w:t>二、根据群体平均药动学参数设计给药方案</w:t>
      </w:r>
    </w:p>
    <w:p w:rsidR="008A248B" w:rsidRPr="008A248B" w:rsidP="008A248B" w14:paraId="376BD48D" w14:textId="77777777">
      <w:pPr>
        <w:rPr>
          <w:rFonts w:hint="eastAsia"/>
        </w:rPr>
      </w:pPr>
      <w:r w:rsidRPr="008A248B">
        <w:rPr>
          <w:rFonts w:hint="eastAsia"/>
        </w:rPr>
        <w:t>临床上要得到每个患者的药动学参数是比较困难的，因此多数情况下是利用已知的群体平均药动学参数来设计给药方案。包括 </w:t>
      </w:r>
      <w:r w:rsidRPr="008A248B">
        <w:rPr>
          <w:rFonts w:hint="eastAsia"/>
          <w:i/>
          <w:iCs/>
        </w:rPr>
        <w:t>k </w:t>
      </w:r>
      <w:r w:rsidRPr="008A248B">
        <w:rPr>
          <w:rFonts w:hint="eastAsia"/>
        </w:rPr>
        <w:t>a 、 </w:t>
      </w:r>
      <w:r w:rsidRPr="008A248B">
        <w:rPr>
          <w:rFonts w:hint="eastAsia"/>
          <w:i/>
          <w:iCs/>
        </w:rPr>
        <w:t>k </w:t>
      </w:r>
      <w:r w:rsidRPr="008A248B">
        <w:rPr>
          <w:rFonts w:hint="eastAsia"/>
        </w:rPr>
        <w:t>、 </w:t>
      </w:r>
      <w:r w:rsidRPr="008A248B">
        <w:rPr>
          <w:rFonts w:hint="eastAsia"/>
          <w:i/>
          <w:iCs/>
        </w:rPr>
        <w:t>t </w:t>
      </w:r>
      <w:r w:rsidRPr="008A248B">
        <w:rPr>
          <w:rFonts w:hint="eastAsia"/>
        </w:rPr>
        <w:t>1/2 、 </w:t>
      </w:r>
      <w:r w:rsidRPr="008A248B">
        <w:rPr>
          <w:rFonts w:hint="eastAsia"/>
          <w:i/>
          <w:iCs/>
        </w:rPr>
        <w:t>V </w:t>
      </w:r>
      <w:r w:rsidRPr="008A248B">
        <w:rPr>
          <w:rFonts w:hint="eastAsia"/>
        </w:rPr>
        <w:t>值等，以及稳态血药浓度与生物利用度等参数；还应了解药物的有效血药浓度范围，患者性别、年龄、体重及生理病理状况等，综合设计给药方案。</w:t>
      </w:r>
    </w:p>
    <w:p w:rsidR="008A248B" w:rsidRPr="008A248B" w:rsidP="008A248B" w14:paraId="3EC5E97C" w14:textId="77777777">
      <w:pPr>
        <w:rPr>
          <w:rFonts w:hint="eastAsia"/>
        </w:rPr>
      </w:pPr>
      <w:r w:rsidRPr="008A248B">
        <w:rPr>
          <w:rFonts w:hint="eastAsia"/>
        </w:rPr>
        <w:t>（一）根据生物半衰期设计给药方案</w:t>
      </w:r>
    </w:p>
    <w:p w:rsidR="008A248B" w:rsidRPr="008A248B" w:rsidP="008A248B" w14:paraId="499AFFBB"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8A248B">
        <w:rPr>
          <w:rFonts w:hint="eastAsia"/>
        </w:rPr>
        <w:t>根据生物半衰期（ </w:t>
      </w:r>
      <w:r w:rsidRPr="008A248B">
        <w:rPr>
          <w:rFonts w:hint="eastAsia"/>
          <w:i/>
          <w:iCs/>
        </w:rPr>
        <w:t>t </w:t>
      </w:r>
      <w:r w:rsidRPr="008A248B">
        <w:rPr>
          <w:rFonts w:hint="eastAsia"/>
        </w:rPr>
        <w:t>1/2 ）制定临床给药方案较简单且方便。但药物品种不同， </w:t>
      </w:r>
      <w:r w:rsidRPr="008A248B">
        <w:rPr>
          <w:rFonts w:hint="eastAsia"/>
          <w:i/>
          <w:iCs/>
        </w:rPr>
        <w:t>t </w:t>
      </w:r>
    </w:p>
    <w:p w:rsidR="008A248B" w:rsidRPr="008A248B" w:rsidP="008A248B" w14:textId="77777777">
      <w:pPr>
        <w:rPr>
          <w:rFonts w:hint="eastAsia"/>
        </w:rPr>
      </w:pPr>
      <w:r w:rsidRPr="008A248B">
        <w:rPr>
          <w:rFonts w:hint="eastAsia"/>
        </w:rPr>
        <w:t>1/2 差异很大。当药物消除太快时， </w:t>
      </w:r>
      <w:r w:rsidRPr="008A248B">
        <w:rPr>
          <w:rFonts w:hint="eastAsia"/>
          <w:i/>
          <w:iCs/>
        </w:rPr>
        <w:t>t </w:t>
      </w:r>
      <w:r w:rsidRPr="008A248B">
        <w:rPr>
          <w:rFonts w:hint="eastAsia"/>
        </w:rPr>
        <w:t>1/2 太短，则给药过于频繁；若 </w:t>
      </w:r>
      <w:r w:rsidRPr="008A248B">
        <w:rPr>
          <w:rFonts w:hint="eastAsia"/>
          <w:i/>
          <w:iCs/>
        </w:rPr>
        <w:t>t </w:t>
      </w:r>
      <w:r w:rsidRPr="008A248B">
        <w:rPr>
          <w:rFonts w:hint="eastAsia"/>
        </w:rPr>
        <w:t>1/2 太长时，则可能引起血药浓度较大波动。因此，根据 </w:t>
      </w:r>
      <w:r w:rsidRPr="008A248B">
        <w:rPr>
          <w:rFonts w:hint="eastAsia"/>
          <w:i/>
          <w:iCs/>
        </w:rPr>
        <w:t>t </w:t>
      </w:r>
      <w:r w:rsidRPr="008A248B">
        <w:rPr>
          <w:rFonts w:hint="eastAsia"/>
        </w:rPr>
        <w:t>1/2 设计临床给药方案大致可分为以下三种类型。</w:t>
      </w:r>
    </w:p>
    <w:p w:rsidR="008A248B" w:rsidRPr="008A248B" w:rsidP="008A248B" w14:paraId="5A517FED" w14:textId="77777777">
      <w:pPr>
        <w:rPr>
          <w:rFonts w:hint="eastAsia"/>
        </w:rPr>
      </w:pPr>
      <w:r w:rsidRPr="008A248B">
        <w:rPr>
          <w:rFonts w:hint="eastAsia"/>
        </w:rPr>
        <w:t>1. </w:t>
      </w:r>
      <w:r w:rsidRPr="008A248B">
        <w:rPr>
          <w:rFonts w:hint="eastAsia"/>
          <w:i/>
          <w:iCs/>
        </w:rPr>
        <w:t>t </w:t>
      </w:r>
      <w:r w:rsidRPr="008A248B">
        <w:rPr>
          <w:rFonts w:hint="eastAsia"/>
        </w:rPr>
        <w:t>1/2 适中的药物 为了方便给药，对于中速处置（ </w:t>
      </w:r>
      <w:r w:rsidRPr="008A248B">
        <w:rPr>
          <w:rFonts w:hint="eastAsia"/>
          <w:i/>
          <w:iCs/>
        </w:rPr>
        <w:t>t </w:t>
      </w:r>
      <w:r w:rsidRPr="008A248B">
        <w:rPr>
          <w:rFonts w:hint="eastAsia"/>
        </w:rPr>
        <w:t>1/2 =4～8h）类药物，临床多采用给药间隔时间 </w:t>
      </w:r>
      <w:r w:rsidRPr="008A248B">
        <w:rPr>
          <w:rFonts w:hint="eastAsia"/>
          <w:i/>
          <w:iCs/>
        </w:rPr>
        <w:t>τ </w:t>
      </w:r>
      <w:r w:rsidRPr="008A248B">
        <w:rPr>
          <w:rFonts w:hint="eastAsia"/>
        </w:rPr>
        <w:t>等于 </w:t>
      </w:r>
      <w:r w:rsidRPr="008A248B">
        <w:rPr>
          <w:rFonts w:hint="eastAsia"/>
          <w:i/>
          <w:iCs/>
        </w:rPr>
        <w:t>t </w:t>
      </w:r>
      <w:r w:rsidRPr="008A248B">
        <w:rPr>
          <w:rFonts w:hint="eastAsia"/>
        </w:rPr>
        <w:t>1/2 的给药方法，并且为迅速达到有效治疗浓度，可采取首剂量加倍的给药方案（如某些抗生素及磺胺类药物）。</w:t>
      </w:r>
    </w:p>
    <w:p w:rsidR="008A248B" w:rsidRPr="008A248B" w:rsidP="008A248B" w14:paraId="03A57C85" w14:textId="77777777">
      <w:pPr>
        <w:rPr>
          <w:rFonts w:hint="eastAsia"/>
        </w:rPr>
      </w:pPr>
      <w:r w:rsidRPr="008A248B">
        <w:rPr>
          <w:rFonts w:hint="eastAsia"/>
        </w:rPr>
        <w:t>2. </w:t>
      </w:r>
      <w:r w:rsidRPr="008A248B">
        <w:rPr>
          <w:rFonts w:hint="eastAsia"/>
          <w:i/>
          <w:iCs/>
        </w:rPr>
        <w:t>t </w:t>
      </w:r>
      <w:r w:rsidRPr="008A248B">
        <w:rPr>
          <w:rFonts w:hint="eastAsia"/>
        </w:rPr>
        <w:t>1/2 很短的药物 对于超速处置（ </w:t>
      </w:r>
      <w:r w:rsidRPr="008A248B">
        <w:rPr>
          <w:rFonts w:hint="eastAsia"/>
          <w:i/>
          <w:iCs/>
        </w:rPr>
        <w:t>t </w:t>
      </w:r>
      <w:r w:rsidRPr="008A248B">
        <w:rPr>
          <w:rFonts w:hint="eastAsia"/>
        </w:rPr>
        <w:t>1/2 ≤1h）和快速处置（ </w:t>
      </w:r>
      <w:r w:rsidRPr="008A248B">
        <w:rPr>
          <w:rFonts w:hint="eastAsia"/>
          <w:i/>
          <w:iCs/>
        </w:rPr>
        <w:t>t </w:t>
      </w:r>
      <w:r w:rsidRPr="008A248B">
        <w:rPr>
          <w:rFonts w:hint="eastAsia"/>
        </w:rPr>
        <w:t>1/2 =1～4h）类药物，根据药物治疗窗的大小，可采取以下给药方案：①如该药物治疗窗较宽，可采用适当加大给药剂量，适当延长给药间隔的给药方案，但要确保给药间隔末血药浓度仍保持在有效血药浓度水平（如青霉素G钠）；②对于治疗窗较窄的药物，可采用适当慢速静脉滴注给药方案。</w:t>
      </w:r>
    </w:p>
    <w:p w:rsidR="008A248B" w:rsidRPr="008A248B" w:rsidP="008A248B" w14:paraId="7EA6B07C" w14:textId="77777777">
      <w:pPr>
        <w:rPr>
          <w:rFonts w:hint="eastAsia"/>
        </w:rPr>
      </w:pPr>
      <w:r w:rsidRPr="008A248B">
        <w:rPr>
          <w:rFonts w:hint="eastAsia"/>
        </w:rPr>
        <w:t>3. </w:t>
      </w:r>
      <w:r w:rsidRPr="008A248B">
        <w:rPr>
          <w:rFonts w:hint="eastAsia"/>
          <w:i/>
          <w:iCs/>
        </w:rPr>
        <w:t>t </w:t>
      </w:r>
      <w:r w:rsidRPr="008A248B">
        <w:rPr>
          <w:rFonts w:hint="eastAsia"/>
        </w:rPr>
        <w:t>1/2 较长的药物 对于慢速或极慢处置（ </w:t>
      </w:r>
      <w:r w:rsidRPr="008A248B">
        <w:rPr>
          <w:rFonts w:hint="eastAsia"/>
          <w:i/>
          <w:iCs/>
        </w:rPr>
        <w:t>t </w:t>
      </w:r>
      <w:r w:rsidRPr="008A248B">
        <w:rPr>
          <w:rFonts w:hint="eastAsia"/>
        </w:rPr>
        <w:t>1/2 &gt;8h）的药物，若以 </w:t>
      </w:r>
      <w:r w:rsidRPr="008A248B">
        <w:rPr>
          <w:rFonts w:hint="eastAsia"/>
          <w:i/>
          <w:iCs/>
        </w:rPr>
        <w:t>t </w:t>
      </w:r>
      <w:r w:rsidRPr="008A248B">
        <w:rPr>
          <w:rFonts w:hint="eastAsia"/>
        </w:rPr>
        <w:t>1/2 为给药间隔给药则可能引起血药浓度较大波动，临床多采用适当缩短给药间隔、多次分量给药方案，以减小血药浓度波动性（如肾功能正常者地高辛的消除半衰期为36h，临床维持给药常用每24h给药一次）。</w:t>
      </w:r>
    </w:p>
    <w:p w:rsidR="008A248B" w:rsidRPr="008A248B" w:rsidP="008A248B" w14:paraId="5BCD91C3" w14:textId="77777777">
      <w:pPr>
        <w:rPr>
          <w:rFonts w:hint="eastAsia"/>
        </w:rPr>
      </w:pPr>
      <w:r w:rsidRPr="008A248B">
        <w:rPr>
          <w:rFonts w:hint="eastAsia"/>
        </w:rPr>
        <w:t>根据药物的 </w:t>
      </w:r>
      <w:r w:rsidRPr="008A248B">
        <w:rPr>
          <w:rFonts w:hint="eastAsia"/>
          <w:i/>
          <w:iCs/>
        </w:rPr>
        <w:t>t </w:t>
      </w:r>
      <w:r w:rsidRPr="008A248B">
        <w:rPr>
          <w:rFonts w:hint="eastAsia"/>
        </w:rPr>
        <w:t>1/2 设计给药方案比较简单、方便，但必须根据药物的处置类型、 </w:t>
      </w:r>
      <w:r w:rsidRPr="008A248B">
        <w:rPr>
          <w:rFonts w:hint="eastAsia"/>
          <w:i/>
          <w:iCs/>
        </w:rPr>
        <w:t>t </w:t>
      </w:r>
      <w:r w:rsidRPr="008A248B">
        <w:rPr>
          <w:rFonts w:hint="eastAsia"/>
        </w:rPr>
        <w:t>1/2 的长短、 </w:t>
      </w:r>
      <w:r w:rsidRPr="008A248B">
        <w:rPr>
          <w:rFonts w:hint="eastAsia"/>
          <w:i/>
          <w:iCs/>
        </w:rPr>
        <w:t>t </w:t>
      </w:r>
      <w:r w:rsidRPr="008A248B">
        <w:rPr>
          <w:rFonts w:hint="eastAsia"/>
        </w:rPr>
        <w:t>1/2 的变动来调整临床给药方案。而对于非线性动力学特性的药物，如苯妥英钠、地高辛等，为保证临床用药的安全性和有效性，治疗药物监测具有非常重要的意义。对于肾功</w:t>
      </w:r>
      <w:r w:rsidRPr="008A248B">
        <w:rPr>
          <w:rFonts w:hint="eastAsia"/>
        </w:rPr>
        <w:t>能减退患者，主要经肾脏途径排除的药物，其 </w:t>
      </w:r>
      <w:r w:rsidRPr="008A248B">
        <w:rPr>
          <w:rFonts w:hint="eastAsia"/>
          <w:i/>
          <w:iCs/>
        </w:rPr>
        <w:t>t </w:t>
      </w:r>
      <w:r w:rsidRPr="008A248B">
        <w:rPr>
          <w:rFonts w:hint="eastAsia"/>
        </w:rPr>
        <w:t>1/2 随患者肾功能变化而改变，所以临床必须根据患者 </w:t>
      </w:r>
      <w:r w:rsidRPr="008A248B">
        <w:rPr>
          <w:rFonts w:hint="eastAsia"/>
          <w:i/>
          <w:iCs/>
        </w:rPr>
        <w:t>t </w:t>
      </w:r>
      <w:r w:rsidRPr="008A248B">
        <w:rPr>
          <w:rFonts w:hint="eastAsia"/>
        </w:rPr>
        <w:t>1/2 变化来调整给药方案。</w:t>
      </w:r>
    </w:p>
    <w:p w:rsidR="008A248B" w:rsidRPr="008A248B" w:rsidP="008A248B" w14:paraId="785DC479" w14:textId="77777777">
      <w:pPr>
        <w:rPr>
          <w:rFonts w:hint="eastAsia"/>
        </w:rPr>
      </w:pPr>
      <w:r w:rsidRPr="008A248B">
        <w:rPr>
          <w:rFonts w:hint="eastAsia"/>
        </w:rPr>
        <w:t>（二）根据平均稳态血药浓度设计给药方案</w:t>
      </w:r>
    </w:p>
    <w:p w:rsidR="008A248B" w:rsidRPr="008A248B" w:rsidP="008A248B" w14:paraId="40473F9B" w14:textId="0DDA0127">
      <w:pPr>
        <w:rPr>
          <w:rFonts w:hint="eastAsia"/>
        </w:rPr>
        <w:sectPr>
          <w:type w:val="nextPage"/>
          <w:pgSz w:w="11906" w:h="16838"/>
          <w:pgMar w:top="1440" w:right="1800" w:bottom="1440" w:left="1800" w:header="851" w:footer="992" w:gutter="0"/>
          <w:pgNumType w:start="11"/>
          <w:cols w:space="425"/>
          <w:titlePg w:val="0"/>
          <w:docGrid w:type="lines" w:linePitch="312"/>
        </w:sectPr>
      </w:pPr>
      <w:r w:rsidRPr="008A248B">
        <w:rPr>
          <w:rFonts w:hint="eastAsia"/>
        </w:rPr>
        <w:t>多剂量给药达到稳态血药浓度后，在一个给药间隔时间内，血药浓度-时间曲线下面积（ </w:t>
      </w:r>
      <w:r w:rsidRPr="008A248B">
        <w:rPr>
          <w:rFonts w:hint="eastAsia"/>
          <w:i/>
          <w:iCs/>
        </w:rPr>
        <w:t>AUC </w:t>
      </w:r>
      <w:r w:rsidRPr="008A248B">
        <w:rPr>
          <w:rFonts w:hint="eastAsia"/>
        </w:rPr>
        <w:t>）除以时间间隔（ </w:t>
      </w:r>
      <w:r w:rsidRPr="008A248B">
        <w:rPr>
          <w:rFonts w:hint="eastAsia"/>
          <w:i/>
          <w:iCs/>
        </w:rPr>
        <w:t>τ </w:t>
      </w:r>
      <w:r w:rsidRPr="008A248B">
        <w:rPr>
          <w:rFonts w:hint="eastAsia"/>
        </w:rPr>
        <w:t>）所得商值称为平均稳态血药浓度 </w:t>
      </w:r>
      <w:r w:rsidRPr="008A248B">
        <w:drawing>
          <wp:inline distT="0" distB="0" distL="0" distR="0">
            <wp:extent cx="772795" cy="391795"/>
            <wp:effectExtent l="0" t="0" r="8255" b="8255"/>
            <wp:docPr id="1207671295"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671295"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772795" cy="391795"/>
                    </a:xfrm>
                    <a:prstGeom prst="rect">
                      <a:avLst/>
                    </a:prstGeom>
                    <a:noFill/>
                    <a:ln>
                      <a:noFill/>
                    </a:ln>
                  </pic:spPr>
                </pic:pic>
              </a:graphicData>
            </a:graphic>
          </wp:inline>
        </w:drawing>
      </w:r>
      <w:r w:rsidRPr="008A248B">
        <w:rPr>
          <w:rFonts w:hint="eastAsia"/>
        </w:rPr>
        <w:t> 。单室模型为：</w:t>
      </w:r>
    </w:p>
    <w:p w:rsidR="008A248B" w:rsidRPr="008A248B" w:rsidP="008A248B" w14:paraId="085FFBA6" w14:textId="10276E5E">
      <w:pPr>
        <w:rPr>
          <w:rFonts w:hint="eastAsia"/>
        </w:rPr>
      </w:pPr>
      <w:r w:rsidRPr="008A248B">
        <w:drawing>
          <wp:inline distT="0" distB="0" distL="0" distR="0">
            <wp:extent cx="5274310" cy="400685"/>
            <wp:effectExtent l="0" t="0" r="2540" b="0"/>
            <wp:docPr id="190886497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864973"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0685"/>
                    </a:xfrm>
                    <a:prstGeom prst="rect">
                      <a:avLst/>
                    </a:prstGeom>
                    <a:noFill/>
                    <a:ln>
                      <a:noFill/>
                    </a:ln>
                  </pic:spPr>
                </pic:pic>
              </a:graphicData>
            </a:graphic>
          </wp:inline>
        </w:drawing>
      </w:r>
    </w:p>
    <w:p w:rsidR="008A248B" w:rsidRPr="008A248B" w:rsidP="008A248B" w14:paraId="6545B6B7" w14:textId="77777777">
      <w:r w:rsidRPr="008A248B">
        <w:rPr>
          <w:rFonts w:hint="eastAsia"/>
        </w:rPr>
        <w:t>二室模型为：</w:t>
      </w:r>
    </w:p>
    <w:p w:rsidR="008A248B" w:rsidRPr="008A248B" w:rsidP="008A248B" w14:paraId="3E7F7926" w14:textId="18DE913B">
      <w:pPr>
        <w:rPr>
          <w:rFonts w:hint="eastAsia"/>
        </w:rPr>
      </w:pPr>
      <w:r w:rsidRPr="008A248B">
        <w:drawing>
          <wp:inline distT="0" distB="0" distL="0" distR="0">
            <wp:extent cx="5274310" cy="448310"/>
            <wp:effectExtent l="0" t="0" r="2540" b="8890"/>
            <wp:docPr id="2008129330"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29330"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48310"/>
                    </a:xfrm>
                    <a:prstGeom prst="rect">
                      <a:avLst/>
                    </a:prstGeom>
                    <a:noFill/>
                    <a:ln>
                      <a:noFill/>
                    </a:ln>
                  </pic:spPr>
                </pic:pic>
              </a:graphicData>
            </a:graphic>
          </wp:inline>
        </w:drawing>
      </w:r>
    </w:p>
    <w:p w:rsidR="008A248B" w:rsidRPr="008A248B" w:rsidP="008A248B" w14:paraId="3B578B82" w14:textId="77777777">
      <w:r w:rsidRPr="008A248B">
        <w:rPr>
          <w:rFonts w:hint="eastAsia"/>
        </w:rPr>
        <w:t>式中符号含义详见第十章。 </w:t>
      </w:r>
      <w:r w:rsidRPr="008A248B">
        <w:rPr>
          <w:rFonts w:hint="eastAsia"/>
          <w:i/>
          <w:iCs/>
        </w:rPr>
        <w:t>F </w:t>
      </w:r>
      <w:r w:rsidRPr="008A248B">
        <w:rPr>
          <w:rFonts w:hint="eastAsia"/>
        </w:rPr>
        <w:t>表示药物吸收分数或制剂的生物利用度，若静脉注射给药， </w:t>
      </w:r>
      <w:r w:rsidRPr="008A248B">
        <w:rPr>
          <w:rFonts w:hint="eastAsia"/>
          <w:i/>
          <w:iCs/>
        </w:rPr>
        <w:t>F </w:t>
      </w:r>
      <w:r w:rsidRPr="008A248B">
        <w:rPr>
          <w:rFonts w:hint="eastAsia"/>
        </w:rPr>
        <w:t>为1，所以公式（15-1）、（15-2）既可用于静脉注射给药，亦可用于血管外给药有关参数的求算。根据平均稳态血药浓度设计临床给药方案，主要是指调整给药剂量（ </w:t>
      </w:r>
      <w:r w:rsidRPr="008A248B">
        <w:rPr>
          <w:rFonts w:hint="eastAsia"/>
          <w:i/>
          <w:iCs/>
        </w:rPr>
        <w:t>X </w:t>
      </w:r>
      <w:r w:rsidRPr="008A248B">
        <w:rPr>
          <w:rFonts w:hint="eastAsia"/>
        </w:rPr>
        <w:t>0 ）或给药间隔时间（ </w:t>
      </w:r>
      <w:r w:rsidRPr="008A248B">
        <w:rPr>
          <w:rFonts w:hint="eastAsia"/>
          <w:i/>
          <w:iCs/>
        </w:rPr>
        <w:t>τ </w:t>
      </w:r>
      <w:r w:rsidRPr="008A248B">
        <w:rPr>
          <w:rFonts w:hint="eastAsia"/>
        </w:rPr>
        <w:t>）。</w:t>
      </w:r>
    </w:p>
    <w:p w:rsidR="008A248B" w:rsidRPr="008A248B" w:rsidP="008A248B" w14:paraId="288FD8DD" w14:textId="77777777">
      <w:pPr>
        <w:rPr>
          <w:rFonts w:hint="eastAsia"/>
        </w:rPr>
      </w:pPr>
      <w:r w:rsidRPr="008A248B">
        <w:rPr>
          <w:rFonts w:hint="eastAsia"/>
        </w:rPr>
        <w:t>例15-1 某70kg体重甲亢（甲状腺毒症）患者，因窦性心动过速口服盐酸普</w:t>
      </w:r>
      <w:r w:rsidRPr="008A248B">
        <w:rPr>
          <w:rFonts w:hint="eastAsia"/>
        </w:rPr>
        <w:t>萘洛</w:t>
      </w:r>
      <w:r w:rsidRPr="008A248B">
        <w:rPr>
          <w:rFonts w:hint="eastAsia"/>
        </w:rPr>
        <w:t>尔（ </w:t>
      </w:r>
      <w:r w:rsidRPr="008A248B">
        <w:rPr>
          <w:rFonts w:hint="eastAsia"/>
          <w:i/>
          <w:iCs/>
        </w:rPr>
        <w:t>t </w:t>
      </w:r>
      <w:r w:rsidRPr="008A248B">
        <w:rPr>
          <w:rFonts w:hint="eastAsia"/>
        </w:rPr>
        <w:t>1/2 =2.5h， </w:t>
      </w:r>
      <w:r w:rsidRPr="008A248B">
        <w:rPr>
          <w:rFonts w:hint="eastAsia"/>
          <w:i/>
          <w:iCs/>
        </w:rPr>
        <w:t>V </w:t>
      </w:r>
      <w:r w:rsidRPr="008A248B">
        <w:rPr>
          <w:rFonts w:hint="eastAsia"/>
        </w:rPr>
        <w:t>=6L/kg， </w:t>
      </w:r>
      <w:r w:rsidRPr="008A248B">
        <w:rPr>
          <w:rFonts w:hint="eastAsia"/>
          <w:i/>
          <w:iCs/>
        </w:rPr>
        <w:t>F </w:t>
      </w:r>
      <w:r w:rsidRPr="008A248B">
        <w:rPr>
          <w:rFonts w:hint="eastAsia"/>
        </w:rPr>
        <w:t>=0.3），需维持血药浓度为0.05μg/mL，①若每6h服药1次，其维持剂量为多少？②若每8h服药1次，其维持剂量为多少？③如按每次一片40mg给药，给药间隔为几小时？</w:t>
      </w:r>
    </w:p>
    <w:p w:rsidR="008A248B" w:rsidRPr="008A248B" w:rsidP="008A248B" w14:paraId="317F5992" w14:textId="6459630E">
      <w:pPr>
        <w:rPr>
          <w:rFonts w:hint="eastAsia"/>
        </w:rPr>
      </w:pPr>
      <w:r w:rsidRPr="008A248B">
        <w:rPr>
          <w:rFonts w:hint="eastAsia"/>
        </w:rPr>
        <w:t>解： </w:t>
      </w:r>
      <w:r w:rsidRPr="008A248B">
        <w:drawing>
          <wp:inline distT="0" distB="0" distL="0" distR="0">
            <wp:extent cx="5274310" cy="726440"/>
            <wp:effectExtent l="0" t="0" r="2540" b="0"/>
            <wp:docPr id="1488602315"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602315"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26440"/>
                    </a:xfrm>
                    <a:prstGeom prst="rect">
                      <a:avLst/>
                    </a:prstGeom>
                    <a:noFill/>
                    <a:ln>
                      <a:noFill/>
                    </a:ln>
                  </pic:spPr>
                </pic:pic>
              </a:graphicData>
            </a:graphic>
          </wp:inline>
        </w:drawing>
      </w:r>
    </w:p>
    <w:p w:rsidR="008A248B" w:rsidRPr="008A248B" w:rsidP="008A248B" w14:paraId="7D9C1438" w14:textId="77777777">
      <w:pPr>
        <w:rPr>
          <w:rFonts w:hint="eastAsia"/>
        </w:rPr>
      </w:pPr>
      <w:r w:rsidRPr="008A248B">
        <w:rPr>
          <w:rFonts w:hint="eastAsia"/>
        </w:rPr>
        <w:t>（1）根据式15-1，当 </w:t>
      </w:r>
      <w:r w:rsidRPr="008A248B">
        <w:rPr>
          <w:rFonts w:hint="eastAsia"/>
          <w:i/>
          <w:iCs/>
        </w:rPr>
        <w:t>τ </w:t>
      </w:r>
      <w:r w:rsidRPr="008A248B">
        <w:rPr>
          <w:rFonts w:hint="eastAsia"/>
        </w:rPr>
        <w:t>=6h时，维持剂量为：</w:t>
      </w:r>
    </w:p>
    <w:p w:rsidR="008A248B" w:rsidRPr="008A248B" w:rsidP="008A248B" w14:paraId="67C0B4E8" w14:textId="0F907293">
      <w:pPr>
        <w:rPr>
          <w:rFonts w:hint="eastAsia"/>
        </w:rPr>
      </w:pPr>
      <w:r w:rsidRPr="008A248B">
        <w:drawing>
          <wp:inline distT="0" distB="0" distL="0" distR="0">
            <wp:extent cx="5274310" cy="456565"/>
            <wp:effectExtent l="0" t="0" r="2540" b="635"/>
            <wp:docPr id="1463988675"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988675"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6565"/>
                    </a:xfrm>
                    <a:prstGeom prst="rect">
                      <a:avLst/>
                    </a:prstGeom>
                    <a:noFill/>
                    <a:ln>
                      <a:noFill/>
                    </a:ln>
                  </pic:spPr>
                </pic:pic>
              </a:graphicData>
            </a:graphic>
          </wp:inline>
        </w:drawing>
      </w:r>
    </w:p>
    <w:p w:rsidR="008A248B" w:rsidRPr="008A248B" w:rsidP="008A248B" w14:paraId="66E91F31" w14:textId="77777777">
      <w:r w:rsidRPr="008A248B">
        <w:rPr>
          <w:rFonts w:hint="eastAsia"/>
        </w:rPr>
        <w:t>（2）而当 </w:t>
      </w:r>
      <w:r w:rsidRPr="008A248B">
        <w:rPr>
          <w:rFonts w:hint="eastAsia"/>
          <w:i/>
          <w:iCs/>
        </w:rPr>
        <w:t>τ </w:t>
      </w:r>
      <w:r w:rsidRPr="008A248B">
        <w:rPr>
          <w:rFonts w:hint="eastAsia"/>
        </w:rPr>
        <w:t>=8h时，维持剂量为：</w:t>
      </w:r>
    </w:p>
    <w:p w:rsidR="008A248B" w:rsidRPr="008A248B" w:rsidP="008A248B" w14:paraId="185E7EC2" w14:textId="4AB5E3AD">
      <w:pPr>
        <w:rPr>
          <w:rFonts w:hint="eastAsia"/>
        </w:rPr>
      </w:pPr>
      <w:r w:rsidRPr="008A248B">
        <w:drawing>
          <wp:inline distT="0" distB="0" distL="0" distR="0">
            <wp:extent cx="5274310" cy="462915"/>
            <wp:effectExtent l="0" t="0" r="2540" b="0"/>
            <wp:docPr id="160239394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393941"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62915"/>
                    </a:xfrm>
                    <a:prstGeom prst="rect">
                      <a:avLst/>
                    </a:prstGeom>
                    <a:noFill/>
                    <a:ln>
                      <a:noFill/>
                    </a:ln>
                  </pic:spPr>
                </pic:pic>
              </a:graphicData>
            </a:graphic>
          </wp:inline>
        </w:drawing>
      </w:r>
    </w:p>
    <w:p w:rsidR="008A248B" w:rsidRPr="008A248B" w:rsidP="008A248B" w14:paraId="7C3197CA" w14:textId="77777777">
      <w:pPr>
        <w:sectPr>
          <w:type w:val="nextPage"/>
          <w:pgSz w:w="11906" w:h="16838"/>
          <w:pgMar w:top="1440" w:right="1800" w:bottom="1440" w:left="1800" w:header="851" w:footer="992" w:gutter="0"/>
          <w:pgNumType w:start="12"/>
          <w:cols w:space="425"/>
          <w:titlePg w:val="0"/>
          <w:docGrid w:type="lines" w:linePitch="312"/>
        </w:sectPr>
      </w:pPr>
      <w:r w:rsidRPr="008A248B">
        <w:rPr>
          <w:rFonts w:hint="eastAsia"/>
        </w:rPr>
        <w:t>（3）若给药剂量为40mg时，给药间隔时间为：</w:t>
      </w:r>
    </w:p>
    <w:p w:rsidR="008A248B" w:rsidRPr="008A248B" w:rsidP="008A248B" w14:paraId="15990CE2" w14:textId="15841D92">
      <w:pPr>
        <w:rPr>
          <w:rFonts w:hint="eastAsia"/>
        </w:rPr>
      </w:pPr>
      <w:r w:rsidRPr="008A248B">
        <w:drawing>
          <wp:inline distT="0" distB="0" distL="0" distR="0">
            <wp:extent cx="5274310" cy="542925"/>
            <wp:effectExtent l="0" t="0" r="2540" b="9525"/>
            <wp:docPr id="13407799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77998" name="Picture 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42925"/>
                    </a:xfrm>
                    <a:prstGeom prst="rect">
                      <a:avLst/>
                    </a:prstGeom>
                    <a:noFill/>
                    <a:ln>
                      <a:noFill/>
                    </a:ln>
                  </pic:spPr>
                </pic:pic>
              </a:graphicData>
            </a:graphic>
          </wp:inline>
        </w:drawing>
      </w:r>
    </w:p>
    <w:p w:rsidR="008A248B" w:rsidRPr="008A248B" w:rsidP="008A248B" w14:paraId="2B8FEE2E" w14:textId="77777777">
      <w:r w:rsidRPr="008A248B">
        <w:rPr>
          <w:rFonts w:hint="eastAsia"/>
        </w:rPr>
        <w:t>因此，每6h服药1次，维持剂量为100mg；每8h服药1次，维持剂量为150mg；若按每片40mg给药，给药间隔为2h。</w:t>
      </w:r>
    </w:p>
    <w:p w:rsidR="008A248B" w:rsidRPr="008A248B" w:rsidP="008A248B" w14:paraId="4BB11767" w14:textId="78FC6620">
      <w:pPr>
        <w:rPr>
          <w:rFonts w:hint="eastAsia"/>
        </w:rPr>
      </w:pPr>
      <w:r w:rsidRPr="008A248B">
        <w:rPr>
          <w:rFonts w:hint="eastAsia"/>
        </w:rPr>
        <w:t>由式（15-1）、（15-2）可知，当改变 </w:t>
      </w:r>
      <w:r w:rsidRPr="008A248B">
        <w:rPr>
          <w:rFonts w:hint="eastAsia"/>
          <w:i/>
          <w:iCs/>
        </w:rPr>
        <w:t>X </w:t>
      </w:r>
      <w:r w:rsidRPr="008A248B">
        <w:rPr>
          <w:rFonts w:hint="eastAsia"/>
        </w:rPr>
        <w:t>0 和 </w:t>
      </w:r>
      <w:r w:rsidRPr="008A248B">
        <w:rPr>
          <w:rFonts w:hint="eastAsia"/>
          <w:i/>
          <w:iCs/>
        </w:rPr>
        <w:t>τ </w:t>
      </w:r>
      <w:r w:rsidRPr="008A248B">
        <w:rPr>
          <w:rFonts w:hint="eastAsia"/>
        </w:rPr>
        <w:t>时，若给药速度 </w:t>
      </w:r>
      <w:r w:rsidRPr="008A248B">
        <w:drawing>
          <wp:inline distT="0" distB="0" distL="0" distR="0">
            <wp:extent cx="821690" cy="838200"/>
            <wp:effectExtent l="0" t="0" r="0" b="0"/>
            <wp:docPr id="41357697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76976" name="Picture 13"/>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821690" cy="838200"/>
                    </a:xfrm>
                    <a:prstGeom prst="rect">
                      <a:avLst/>
                    </a:prstGeom>
                    <a:noFill/>
                    <a:ln>
                      <a:noFill/>
                    </a:ln>
                  </pic:spPr>
                </pic:pic>
              </a:graphicData>
            </a:graphic>
          </wp:inline>
        </w:drawing>
      </w:r>
      <w:r w:rsidRPr="008A248B">
        <w:rPr>
          <w:rFonts w:hint="eastAsia"/>
        </w:rPr>
        <w:t> 保持不变，则 </w:t>
      </w:r>
      <w:r w:rsidRPr="008A248B">
        <w:drawing>
          <wp:inline distT="0" distB="0" distL="0" distR="0">
            <wp:extent cx="440690" cy="391795"/>
            <wp:effectExtent l="0" t="0" r="0" b="8255"/>
            <wp:docPr id="56604423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44237" name="Picture 14"/>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440690" cy="391795"/>
                    </a:xfrm>
                    <a:prstGeom prst="rect">
                      <a:avLst/>
                    </a:prstGeom>
                    <a:noFill/>
                    <a:ln>
                      <a:noFill/>
                    </a:ln>
                  </pic:spPr>
                </pic:pic>
              </a:graphicData>
            </a:graphic>
          </wp:inline>
        </w:drawing>
      </w:r>
      <w:r w:rsidRPr="008A248B">
        <w:rPr>
          <w:rFonts w:hint="eastAsia"/>
        </w:rPr>
        <w:t> 不变。但给药后的（ </w:t>
      </w:r>
      <w:r w:rsidRPr="008A248B">
        <w:rPr>
          <w:rFonts w:hint="eastAsia"/>
          <w:i/>
          <w:iCs/>
        </w:rPr>
        <w:t>C </w:t>
      </w:r>
      <w:r w:rsidRPr="008A248B">
        <w:rPr>
          <w:rFonts w:hint="eastAsia"/>
        </w:rPr>
        <w:t>ss ） max 和（ </w:t>
      </w:r>
      <w:r w:rsidRPr="008A248B">
        <w:rPr>
          <w:rFonts w:hint="eastAsia"/>
          <w:i/>
          <w:iCs/>
        </w:rPr>
        <w:t>C </w:t>
      </w:r>
      <w:r w:rsidRPr="008A248B">
        <w:rPr>
          <w:rFonts w:hint="eastAsia"/>
        </w:rPr>
        <w:t>ss ） min 将随着 </w:t>
      </w:r>
      <w:r w:rsidRPr="008A248B">
        <w:rPr>
          <w:rFonts w:hint="eastAsia"/>
          <w:i/>
          <w:iCs/>
        </w:rPr>
        <w:t>X </w:t>
      </w:r>
      <w:r w:rsidRPr="008A248B">
        <w:rPr>
          <w:rFonts w:hint="eastAsia"/>
        </w:rPr>
        <w:t>0 和 </w:t>
      </w:r>
      <w:r w:rsidRPr="008A248B">
        <w:rPr>
          <w:rFonts w:hint="eastAsia"/>
          <w:i/>
          <w:iCs/>
        </w:rPr>
        <w:t>τ </w:t>
      </w:r>
      <w:r w:rsidRPr="008A248B">
        <w:rPr>
          <w:rFonts w:hint="eastAsia"/>
        </w:rPr>
        <w:t>的变化而改变。给药间隔时间越长，稳态血药浓度的波动越大，这对于治疗窗较窄的药物（如氨茶碱等）是不利的。因此，根据平均稳态血药浓度制定给药方案时必须选择最佳给药间隔时间。</w:t>
      </w:r>
    </w:p>
    <w:p w:rsidR="008A248B" w:rsidRPr="008A248B" w:rsidP="008A248B" w14:paraId="63DBA933" w14:textId="77777777">
      <w:pPr>
        <w:rPr>
          <w:rFonts w:hint="eastAsia"/>
        </w:rPr>
      </w:pPr>
      <w:r w:rsidRPr="008A248B">
        <w:rPr>
          <w:rFonts w:hint="eastAsia"/>
        </w:rPr>
        <w:t>关于 </w:t>
      </w:r>
      <w:r w:rsidRPr="008A248B">
        <w:rPr>
          <w:rFonts w:hint="eastAsia"/>
          <w:i/>
          <w:iCs/>
        </w:rPr>
        <w:t>τ </w:t>
      </w:r>
      <w:r w:rsidRPr="008A248B">
        <w:rPr>
          <w:rFonts w:hint="eastAsia"/>
        </w:rPr>
        <w:t>的设计，除了考虑 </w:t>
      </w:r>
      <w:r w:rsidRPr="008A248B">
        <w:rPr>
          <w:rFonts w:hint="eastAsia"/>
          <w:i/>
          <w:iCs/>
        </w:rPr>
        <w:t>t </w:t>
      </w:r>
      <w:r w:rsidRPr="008A248B">
        <w:rPr>
          <w:rFonts w:hint="eastAsia"/>
        </w:rPr>
        <w:t>1/2 外，还要考虑有效血药浓度范围。对于一般药物，给药间隔为1～2个 </w:t>
      </w:r>
      <w:r w:rsidRPr="008A248B">
        <w:rPr>
          <w:rFonts w:hint="eastAsia"/>
          <w:i/>
          <w:iCs/>
        </w:rPr>
        <w:t>t </w:t>
      </w:r>
      <w:r w:rsidRPr="008A248B">
        <w:rPr>
          <w:rFonts w:hint="eastAsia"/>
        </w:rPr>
        <w:t>1/2 。对于治疗窗较窄的药物，给药间隔应限制在1个 </w:t>
      </w:r>
      <w:r w:rsidRPr="008A248B">
        <w:rPr>
          <w:rFonts w:hint="eastAsia"/>
          <w:i/>
          <w:iCs/>
        </w:rPr>
        <w:t>t </w:t>
      </w:r>
      <w:r w:rsidRPr="008A248B">
        <w:rPr>
          <w:rFonts w:hint="eastAsia"/>
        </w:rPr>
        <w:t>1/2 以内，或采取静脉滴注给药，以减少血药浓度波动。如果药物的治疗窗非常窄，则应以小剂量多次给药或静脉滴注给药。对于治疗窗非常窄而半衰期又很短的药物，为减少血药浓度波动，每日应多次给药，但最好采用缓释或控释制剂，使每日给药次数减少到1～2次。</w:t>
      </w:r>
    </w:p>
    <w:p w:rsidR="008A248B" w:rsidRPr="008A248B" w:rsidP="008A248B" w14:paraId="7CF7011C" w14:textId="77777777">
      <w:pPr>
        <w:rPr>
          <w:rFonts w:hint="eastAsia"/>
        </w:rPr>
      </w:pPr>
      <w:r w:rsidRPr="008A248B">
        <w:rPr>
          <w:rFonts w:hint="eastAsia"/>
        </w:rPr>
        <w:t>（三）根据有效血药浓度范围设计给药方案</w:t>
      </w:r>
    </w:p>
    <w:p w:rsidR="008A248B" w:rsidRPr="008A248B" w:rsidP="008A248B" w14:paraId="2AF28B7B" w14:textId="6D7226BA">
      <w:pPr>
        <w:rPr>
          <w:rFonts w:hint="eastAsia"/>
        </w:rPr>
        <w:sectPr>
          <w:type w:val="nextPage"/>
          <w:pgSz w:w="11906" w:h="16838"/>
          <w:pgMar w:top="1440" w:right="1800" w:bottom="1440" w:left="1800" w:header="851" w:footer="992" w:gutter="0"/>
          <w:pgNumType w:start="13"/>
          <w:cols w:space="425"/>
          <w:titlePg w:val="0"/>
          <w:docGrid w:type="lines" w:linePitch="312"/>
        </w:sectPr>
      </w:pPr>
      <w:r w:rsidRPr="008A248B">
        <w:rPr>
          <w:rFonts w:hint="eastAsia"/>
        </w:rPr>
        <w:t>对于治疗指数很小的药物，临床上常采用将其稳态最大血药浓度和稳态最小血药浓度控制在一定范围内的给药方案。药物治疗指数（therapeutic index，TI）系指药物中毒或致死剂量与有效剂量的比值，就临床而言是指最小中毒浓度（MTC）与最低有效浓度（MEC）的比值。临床上，常将MEC定为（ </w:t>
      </w:r>
      <w:r w:rsidRPr="008A248B">
        <w:rPr>
          <w:rFonts w:hint="eastAsia"/>
          <w:i/>
          <w:iCs/>
        </w:rPr>
        <w:t>C </w:t>
      </w:r>
      <w:r w:rsidRPr="008A248B">
        <w:rPr>
          <w:rFonts w:hint="eastAsia"/>
        </w:rPr>
        <w:t>ss ） min ，MTC定为（ </w:t>
      </w:r>
      <w:r w:rsidRPr="008A248B">
        <w:rPr>
          <w:rFonts w:hint="eastAsia"/>
          <w:i/>
          <w:iCs/>
        </w:rPr>
        <w:t>C </w:t>
      </w:r>
    </w:p>
    <w:p w:rsidR="008A248B" w:rsidRPr="008A248B" w:rsidP="008A248B" w14:textId="6D7226BA">
      <w:pPr>
        <w:rPr>
          <w:rFonts w:hint="eastAsia"/>
        </w:rPr>
      </w:pPr>
      <w:r w:rsidRPr="008A248B">
        <w:rPr>
          <w:rFonts w:hint="eastAsia"/>
        </w:rPr>
        <w:t>ss ） max ，它们之间的血药浓度范围称之为安全有效治疗浓度。根据有效血药浓度范围设计给药方案的目的，就是使患者的血药浓度控制在安全有效的治疗浓度范围内，如重复给药方案中使得 </w:t>
      </w:r>
      <w:r w:rsidRPr="008A248B">
        <w:drawing>
          <wp:inline distT="0" distB="0" distL="0" distR="0">
            <wp:extent cx="2078990" cy="789305"/>
            <wp:effectExtent l="0" t="0" r="0" b="0"/>
            <wp:docPr id="168581182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811825" name="Picture 15"/>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2078990" cy="789305"/>
                    </a:xfrm>
                    <a:prstGeom prst="rect">
                      <a:avLst/>
                    </a:prstGeom>
                    <a:noFill/>
                    <a:ln>
                      <a:noFill/>
                    </a:ln>
                  </pic:spPr>
                </pic:pic>
              </a:graphicData>
            </a:graphic>
          </wp:inline>
        </w:drawing>
      </w:r>
      <w:r w:rsidRPr="008A248B">
        <w:rPr>
          <w:rFonts w:hint="eastAsia"/>
        </w:rPr>
        <w:t> ，或采用静脉滴注给药方案。</w:t>
      </w:r>
    </w:p>
    <w:p w:rsidR="008A248B" w:rsidRPr="008A248B" w:rsidP="008A248B" w14:paraId="35DDAE59" w14:textId="77777777">
      <w:pPr>
        <w:rPr>
          <w:rFonts w:hint="eastAsia"/>
        </w:rPr>
      </w:pPr>
      <w:r w:rsidRPr="008A248B">
        <w:rPr>
          <w:rFonts w:hint="eastAsia"/>
        </w:rPr>
        <w:t>1.多剂量给药方案 对于具有单室模型特征的药物，多次静脉注射给药的稳态最大与最小血药浓度有以下关系：</w:t>
      </w:r>
    </w:p>
    <w:p w:rsidR="008A248B" w:rsidRPr="008A248B" w:rsidP="008A248B" w14:paraId="14765CCF" w14:textId="5B357188">
      <w:pPr>
        <w:rPr>
          <w:rFonts w:hint="eastAsia"/>
        </w:rPr>
      </w:pPr>
      <w:r w:rsidRPr="008A248B">
        <w:drawing>
          <wp:inline distT="0" distB="0" distL="0" distR="0">
            <wp:extent cx="5274310" cy="191770"/>
            <wp:effectExtent l="0" t="0" r="2540" b="0"/>
            <wp:docPr id="1491477192"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77192" name="Picture 16"/>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1770"/>
                    </a:xfrm>
                    <a:prstGeom prst="rect">
                      <a:avLst/>
                    </a:prstGeom>
                    <a:noFill/>
                    <a:ln>
                      <a:noFill/>
                    </a:ln>
                  </pic:spPr>
                </pic:pic>
              </a:graphicData>
            </a:graphic>
          </wp:inline>
        </w:drawing>
      </w:r>
    </w:p>
    <w:p w:rsidR="008A248B" w:rsidRPr="008A248B" w:rsidP="008A248B" w14:paraId="1BD327D3" w14:textId="77777777">
      <w:r w:rsidRPr="008A248B">
        <w:rPr>
          <w:rFonts w:hint="eastAsia"/>
        </w:rPr>
        <w:t>两边取对数，求得 </w:t>
      </w:r>
      <w:r w:rsidRPr="008A248B">
        <w:rPr>
          <w:rFonts w:hint="eastAsia"/>
          <w:i/>
          <w:iCs/>
        </w:rPr>
        <w:t>τ </w:t>
      </w:r>
      <w:r w:rsidRPr="008A248B">
        <w:rPr>
          <w:rFonts w:hint="eastAsia"/>
        </w:rPr>
        <w:t>为：</w:t>
      </w:r>
    </w:p>
    <w:p w:rsidR="008A248B" w:rsidRPr="008A248B" w:rsidP="008A248B" w14:paraId="0EAB8D17" w14:textId="4D86324C">
      <w:pPr>
        <w:rPr>
          <w:rFonts w:hint="eastAsia"/>
        </w:rPr>
      </w:pPr>
      <w:r w:rsidRPr="008A248B">
        <w:drawing>
          <wp:inline distT="0" distB="0" distL="0" distR="0">
            <wp:extent cx="5274310" cy="404495"/>
            <wp:effectExtent l="0" t="0" r="2540" b="0"/>
            <wp:docPr id="19362492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4920" name="Picture 17"/>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4495"/>
                    </a:xfrm>
                    <a:prstGeom prst="rect">
                      <a:avLst/>
                    </a:prstGeom>
                    <a:noFill/>
                    <a:ln>
                      <a:noFill/>
                    </a:ln>
                  </pic:spPr>
                </pic:pic>
              </a:graphicData>
            </a:graphic>
          </wp:inline>
        </w:drawing>
      </w:r>
    </w:p>
    <w:p w:rsidR="008A248B" w:rsidRPr="008A248B" w:rsidP="008A248B" w14:paraId="6650711D" w14:textId="77777777">
      <w:r w:rsidRPr="008A248B">
        <w:rPr>
          <w:rFonts w:hint="eastAsia"/>
        </w:rPr>
        <w:t>单室模型药物血管</w:t>
      </w:r>
      <w:r w:rsidRPr="008A248B">
        <w:rPr>
          <w:rFonts w:hint="eastAsia"/>
        </w:rPr>
        <w:t>外多次</w:t>
      </w:r>
      <w:r w:rsidRPr="008A248B">
        <w:rPr>
          <w:rFonts w:hint="eastAsia"/>
        </w:rPr>
        <w:t>给药的稳态最大与最小血药浓度关系为：</w:t>
      </w:r>
    </w:p>
    <w:p w:rsidR="008A248B" w:rsidRPr="008A248B" w:rsidP="008A248B" w14:paraId="3710437F" w14:textId="2F916631">
      <w:pPr>
        <w:rPr>
          <w:rFonts w:hint="eastAsia"/>
        </w:rPr>
      </w:pPr>
      <w:r w:rsidRPr="008A248B">
        <w:drawing>
          <wp:inline distT="0" distB="0" distL="0" distR="0">
            <wp:extent cx="5274310" cy="197485"/>
            <wp:effectExtent l="0" t="0" r="2540" b="0"/>
            <wp:docPr id="177229810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298102" name="Picture 18"/>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7485"/>
                    </a:xfrm>
                    <a:prstGeom prst="rect">
                      <a:avLst/>
                    </a:prstGeom>
                    <a:noFill/>
                    <a:ln>
                      <a:noFill/>
                    </a:ln>
                  </pic:spPr>
                </pic:pic>
              </a:graphicData>
            </a:graphic>
          </wp:inline>
        </w:drawing>
      </w:r>
    </w:p>
    <w:p w:rsidR="008A248B" w:rsidRPr="008A248B" w:rsidP="008A248B" w14:paraId="05FA3070" w14:textId="306C6440">
      <w:r w:rsidRPr="008A248B">
        <w:rPr>
          <w:rFonts w:hint="eastAsia"/>
        </w:rPr>
        <w:t>式中， </w:t>
      </w:r>
      <w:r w:rsidRPr="008A248B">
        <w:drawing>
          <wp:inline distT="0" distB="0" distL="0" distR="0">
            <wp:extent cx="544195" cy="370205"/>
            <wp:effectExtent l="0" t="0" r="8255" b="0"/>
            <wp:docPr id="85096361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963618" name="Picture 19"/>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44195" cy="370205"/>
                    </a:xfrm>
                    <a:prstGeom prst="rect">
                      <a:avLst/>
                    </a:prstGeom>
                    <a:noFill/>
                    <a:ln>
                      <a:noFill/>
                    </a:ln>
                  </pic:spPr>
                </pic:pic>
              </a:graphicData>
            </a:graphic>
          </wp:inline>
        </w:drawing>
      </w:r>
      <w:r w:rsidRPr="008A248B">
        <w:rPr>
          <w:rFonts w:hint="eastAsia"/>
        </w:rPr>
        <w:t> 为稳态血药浓度达峰时间。上式两边取对数，求得 </w:t>
      </w:r>
      <w:r w:rsidRPr="008A248B">
        <w:rPr>
          <w:rFonts w:hint="eastAsia"/>
          <w:i/>
          <w:iCs/>
        </w:rPr>
        <w:t>τ </w:t>
      </w:r>
      <w:r w:rsidRPr="008A248B">
        <w:rPr>
          <w:rFonts w:hint="eastAsia"/>
        </w:rPr>
        <w:t>为：</w:t>
      </w:r>
    </w:p>
    <w:p w:rsidR="008A248B" w:rsidRPr="008A248B" w:rsidP="008A248B" w14:paraId="6A20EF3C" w14:textId="1B5A9A2A">
      <w:pPr>
        <w:rPr>
          <w:rFonts w:hint="eastAsia"/>
        </w:rPr>
      </w:pPr>
      <w:r w:rsidRPr="008A248B">
        <w:drawing>
          <wp:inline distT="0" distB="0" distL="0" distR="0">
            <wp:extent cx="5274310" cy="385445"/>
            <wp:effectExtent l="0" t="0" r="2540" b="0"/>
            <wp:docPr id="9950098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00985" name="Picture 20"/>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5445"/>
                    </a:xfrm>
                    <a:prstGeom prst="rect">
                      <a:avLst/>
                    </a:prstGeom>
                    <a:noFill/>
                    <a:ln>
                      <a:noFill/>
                    </a:ln>
                  </pic:spPr>
                </pic:pic>
              </a:graphicData>
            </a:graphic>
          </wp:inline>
        </w:drawing>
      </w:r>
    </w:p>
    <w:p w:rsidR="008A248B" w:rsidRPr="008A248B" w:rsidP="008A248B" w14:paraId="0C86B3A1" w14:textId="77777777">
      <w:r w:rsidRPr="008A248B">
        <w:rPr>
          <w:rFonts w:hint="eastAsia"/>
        </w:rPr>
        <w:t>设计多剂量给药方案时，根据治疗浓度范围，若已知 </w:t>
      </w:r>
      <w:r w:rsidRPr="008A248B">
        <w:rPr>
          <w:rFonts w:hint="eastAsia"/>
          <w:i/>
          <w:iCs/>
        </w:rPr>
        <w:t>t </w:t>
      </w:r>
      <w:r w:rsidRPr="008A248B">
        <w:rPr>
          <w:rFonts w:hint="eastAsia"/>
        </w:rPr>
        <w:t>1/2 或 </w:t>
      </w:r>
      <w:r w:rsidRPr="008A248B">
        <w:rPr>
          <w:rFonts w:hint="eastAsia"/>
          <w:i/>
          <w:iCs/>
        </w:rPr>
        <w:t>k </w:t>
      </w:r>
      <w:r w:rsidRPr="008A248B">
        <w:rPr>
          <w:rFonts w:hint="eastAsia"/>
        </w:rPr>
        <w:t>等参数，由式15-4或式15-6即可求出最佳给药间隔时间。</w:t>
      </w:r>
    </w:p>
    <w:p w:rsidR="008A248B" w:rsidRPr="008A248B" w:rsidP="008A248B" w14:paraId="26A5F15F" w14:textId="77777777">
      <w:pPr>
        <w:rPr>
          <w:rFonts w:hint="eastAsia"/>
        </w:rPr>
      </w:pPr>
      <w:r w:rsidRPr="008A248B">
        <w:rPr>
          <w:rFonts w:hint="eastAsia"/>
        </w:rPr>
        <w:t>例15-2 </w:t>
      </w:r>
      <w:r w:rsidRPr="008A248B">
        <w:rPr>
          <w:rFonts w:hint="eastAsia"/>
        </w:rPr>
        <w:t>某患者</w:t>
      </w:r>
      <w:r w:rsidRPr="008A248B">
        <w:rPr>
          <w:rFonts w:hint="eastAsia"/>
        </w:rPr>
        <w:t>患感染性心内膜炎使用万古霉素（ </w:t>
      </w:r>
      <w:r w:rsidRPr="008A248B">
        <w:rPr>
          <w:rFonts w:hint="eastAsia"/>
          <w:i/>
          <w:iCs/>
        </w:rPr>
        <w:t>t </w:t>
      </w:r>
      <w:r w:rsidRPr="008A248B">
        <w:rPr>
          <w:rFonts w:hint="eastAsia"/>
        </w:rPr>
        <w:t>1/2 =6h， </w:t>
      </w:r>
      <w:r w:rsidRPr="008A248B">
        <w:rPr>
          <w:rFonts w:hint="eastAsia"/>
          <w:i/>
          <w:iCs/>
        </w:rPr>
        <w:t>V </w:t>
      </w:r>
      <w:r w:rsidRPr="008A248B">
        <w:rPr>
          <w:rFonts w:hint="eastAsia"/>
        </w:rPr>
        <w:t>=0.8L/kg）治疗，其有效治</w:t>
      </w:r>
      <w:r w:rsidRPr="008A248B">
        <w:rPr>
          <w:rFonts w:hint="eastAsia"/>
        </w:rPr>
        <w:t>疗浓度范围为15～30μg/mL，当血药浓度大于30μg/mL时可观察到肾脏毒副作用。</w:t>
      </w:r>
      <w:r w:rsidRPr="008A248B">
        <w:rPr>
          <w:rFonts w:hint="eastAsia"/>
        </w:rPr>
        <w:t>现多次</w:t>
      </w:r>
      <w:r w:rsidRPr="008A248B">
        <w:rPr>
          <w:rFonts w:hint="eastAsia"/>
        </w:rPr>
        <w:t>静脉注射，使其血药浓度保持在15～30μg/mL，试设计给药方案。</w:t>
      </w:r>
    </w:p>
    <w:p w:rsidR="008A248B" w:rsidRPr="008A248B" w:rsidP="008A248B" w14:paraId="472980BC" w14:textId="77777777">
      <w:pPr>
        <w:rPr>
          <w:rFonts w:hint="eastAsia"/>
        </w:rPr>
      </w:pPr>
      <w:r w:rsidRPr="008A248B">
        <w:rPr>
          <w:rFonts w:hint="eastAsia"/>
        </w:rPr>
        <w:t>解：由于 </w:t>
      </w:r>
      <w:r w:rsidRPr="008A248B">
        <w:rPr>
          <w:rFonts w:hint="eastAsia"/>
          <w:i/>
          <w:iCs/>
        </w:rPr>
        <w:t>X </w:t>
      </w:r>
      <w:r w:rsidRPr="008A248B">
        <w:rPr>
          <w:rFonts w:hint="eastAsia"/>
        </w:rPr>
        <w:t>0 与 </w:t>
      </w:r>
      <w:r w:rsidRPr="008A248B">
        <w:rPr>
          <w:rFonts w:hint="eastAsia"/>
          <w:i/>
          <w:iCs/>
        </w:rPr>
        <w:t>τ </w:t>
      </w:r>
      <w:r w:rsidRPr="008A248B">
        <w:rPr>
          <w:rFonts w:hint="eastAsia"/>
        </w:rPr>
        <w:t>均未给出，先计算 </w:t>
      </w:r>
      <w:r w:rsidRPr="008A248B">
        <w:rPr>
          <w:rFonts w:hint="eastAsia"/>
          <w:i/>
          <w:iCs/>
        </w:rPr>
        <w:t>τ </w:t>
      </w:r>
      <w:r w:rsidRPr="008A248B">
        <w:rPr>
          <w:rFonts w:hint="eastAsia"/>
        </w:rPr>
        <w:t>值，再计算 </w:t>
      </w:r>
      <w:r w:rsidRPr="008A248B">
        <w:rPr>
          <w:rFonts w:hint="eastAsia"/>
          <w:i/>
          <w:iCs/>
        </w:rPr>
        <w:t>X </w:t>
      </w:r>
      <w:r w:rsidRPr="008A248B">
        <w:rPr>
          <w:rFonts w:hint="eastAsia"/>
        </w:rPr>
        <w:t>0 值。</w:t>
      </w:r>
    </w:p>
    <w:p w:rsidR="008A248B" w:rsidRPr="008A248B" w:rsidP="008A248B" w14:paraId="1E3C811E" w14:textId="77777777">
      <w:pPr>
        <w:rPr>
          <w:rFonts w:hint="eastAsia"/>
        </w:rPr>
      </w:pPr>
      <w:r w:rsidRPr="008A248B">
        <w:rPr>
          <w:rFonts w:hint="eastAsia"/>
        </w:rPr>
        <w:t>（1）根据式15-4，计算 </w:t>
      </w:r>
      <w:r w:rsidRPr="008A248B">
        <w:rPr>
          <w:rFonts w:hint="eastAsia"/>
          <w:i/>
          <w:iCs/>
        </w:rPr>
        <w:t>τ </w:t>
      </w:r>
      <w:r w:rsidRPr="008A248B">
        <w:rPr>
          <w:rFonts w:hint="eastAsia"/>
        </w:rPr>
        <w:t>值：</w:t>
      </w:r>
    </w:p>
    <w:p w:rsidR="008A248B" w:rsidRPr="008A248B" w:rsidP="008A248B" w14:paraId="1232270E" w14:textId="55DD0ED0">
      <w:pPr>
        <w:rPr>
          <w:rFonts w:hint="eastAsia"/>
        </w:rPr>
      </w:pPr>
      <w:r w:rsidRPr="008A248B">
        <w:drawing>
          <wp:inline distT="0" distB="0" distL="0" distR="0">
            <wp:extent cx="5274310" cy="455295"/>
            <wp:effectExtent l="0" t="0" r="2540" b="1905"/>
            <wp:docPr id="175268250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82504" name="Picture 21"/>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5295"/>
                    </a:xfrm>
                    <a:prstGeom prst="rect">
                      <a:avLst/>
                    </a:prstGeom>
                    <a:noFill/>
                    <a:ln>
                      <a:noFill/>
                    </a:ln>
                  </pic:spPr>
                </pic:pic>
              </a:graphicData>
            </a:graphic>
          </wp:inline>
        </w:drawing>
      </w:r>
    </w:p>
    <w:p w:rsidR="008A248B" w:rsidRPr="008A248B" w:rsidP="008A248B" w14:paraId="2910FEAE" w14:textId="77777777">
      <w:pPr>
        <w:sectPr>
          <w:type w:val="nextPage"/>
          <w:pgSz w:w="11906" w:h="16838"/>
          <w:pgMar w:top="1440" w:right="1800" w:bottom="1440" w:left="1800" w:header="851" w:footer="992" w:gutter="0"/>
          <w:pgNumType w:start="14"/>
          <w:cols w:space="425"/>
          <w:titlePg w:val="0"/>
          <w:docGrid w:type="lines" w:linePitch="312"/>
        </w:sectPr>
      </w:pPr>
      <w:r w:rsidRPr="008A248B">
        <w:rPr>
          <w:rFonts w:hint="eastAsia"/>
        </w:rPr>
        <w:t>（2）根据稳态最大血药浓度公式（见第十章式10-17），计算 </w:t>
      </w:r>
      <w:r w:rsidRPr="008A248B">
        <w:rPr>
          <w:rFonts w:hint="eastAsia"/>
          <w:i/>
          <w:iCs/>
        </w:rPr>
        <w:t>X </w:t>
      </w:r>
      <w:r w:rsidRPr="008A248B">
        <w:rPr>
          <w:rFonts w:hint="eastAsia"/>
        </w:rPr>
        <w:t>0 值：</w:t>
      </w:r>
    </w:p>
    <w:p w:rsidR="008A248B" w:rsidRPr="008A248B" w:rsidP="008A248B" w14:paraId="0C0734B4" w14:textId="6D5908CB">
      <w:pPr>
        <w:rPr>
          <w:rFonts w:hint="eastAsia"/>
        </w:rPr>
      </w:pPr>
      <w:r w:rsidRPr="008A248B">
        <w:drawing>
          <wp:inline distT="0" distB="0" distL="0" distR="0">
            <wp:extent cx="5274310" cy="691515"/>
            <wp:effectExtent l="0" t="0" r="2540" b="0"/>
            <wp:docPr id="41166112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61121" name="Picture 22"/>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91515"/>
                    </a:xfrm>
                    <a:prstGeom prst="rect">
                      <a:avLst/>
                    </a:prstGeom>
                    <a:noFill/>
                    <a:ln>
                      <a:noFill/>
                    </a:ln>
                  </pic:spPr>
                </pic:pic>
              </a:graphicData>
            </a:graphic>
          </wp:inline>
        </w:drawing>
      </w:r>
    </w:p>
    <w:p w:rsidR="008A248B" w:rsidRPr="008A248B" w:rsidP="008A248B" w14:paraId="0B7D888E" w14:textId="77777777">
      <w:r w:rsidRPr="008A248B">
        <w:rPr>
          <w:rFonts w:hint="eastAsia"/>
        </w:rPr>
        <w:t>（3）验证（ </w:t>
      </w:r>
      <w:r w:rsidRPr="008A248B">
        <w:rPr>
          <w:rFonts w:hint="eastAsia"/>
          <w:i/>
          <w:iCs/>
        </w:rPr>
        <w:t>C </w:t>
      </w:r>
      <w:r w:rsidRPr="008A248B">
        <w:rPr>
          <w:rFonts w:hint="eastAsia"/>
        </w:rPr>
        <w:t>ss ） min （按第十章式10-18）：</w:t>
      </w:r>
    </w:p>
    <w:p w:rsidR="008A248B" w:rsidRPr="008A248B" w:rsidP="008A248B" w14:paraId="69EC54AC" w14:textId="52F61182">
      <w:pPr>
        <w:rPr>
          <w:rFonts w:hint="eastAsia"/>
        </w:rPr>
      </w:pPr>
      <w:r w:rsidRPr="008A248B">
        <w:drawing>
          <wp:inline distT="0" distB="0" distL="0" distR="0">
            <wp:extent cx="5274310" cy="307340"/>
            <wp:effectExtent l="0" t="0" r="2540" b="0"/>
            <wp:docPr id="116917703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177032" name="Picture 23"/>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7340"/>
                    </a:xfrm>
                    <a:prstGeom prst="rect">
                      <a:avLst/>
                    </a:prstGeom>
                    <a:noFill/>
                    <a:ln>
                      <a:noFill/>
                    </a:ln>
                  </pic:spPr>
                </pic:pic>
              </a:graphicData>
            </a:graphic>
          </wp:inline>
        </w:drawing>
      </w:r>
    </w:p>
    <w:p w:rsidR="008A248B" w:rsidRPr="008A248B" w:rsidP="008A248B" w14:paraId="2A794751" w14:textId="77777777">
      <w:r w:rsidRPr="008A248B">
        <w:rPr>
          <w:rFonts w:hint="eastAsia"/>
        </w:rPr>
        <w:t>上述计算表明，剂量为12mg/kg，给药间隔6h就能使该患者万古霉素血药浓度控制在15～30μg/mL的范围内，给药方案符合要求。</w:t>
      </w:r>
    </w:p>
    <w:p w:rsidR="008A248B" w:rsidRPr="008A248B" w:rsidP="008A248B" w14:paraId="09B1B96F" w14:textId="77777777">
      <w:pPr>
        <w:rPr>
          <w:rFonts w:hint="eastAsia"/>
        </w:rPr>
      </w:pPr>
      <w:r w:rsidRPr="008A248B">
        <w:rPr>
          <w:rFonts w:hint="eastAsia"/>
        </w:rPr>
        <w:t>2.恒速给药方案 对于 </w:t>
      </w:r>
      <w:r w:rsidRPr="008A248B">
        <w:rPr>
          <w:rFonts w:hint="eastAsia"/>
          <w:i/>
          <w:iCs/>
        </w:rPr>
        <w:t>t </w:t>
      </w:r>
      <w:r w:rsidRPr="008A248B">
        <w:rPr>
          <w:rFonts w:hint="eastAsia"/>
        </w:rPr>
        <w:t>1/2 短，治疗指数小的药物，为了避免频繁用药，并减小血药浓度的波动，可采取恒速给药的方式，以维持恒定的血药浓度，临床上多采用静脉滴注给药方法。</w:t>
      </w:r>
    </w:p>
    <w:p w:rsidR="008A248B" w:rsidRPr="008A248B" w:rsidP="008A248B" w14:paraId="022383FC" w14:textId="77777777">
      <w:pPr>
        <w:rPr>
          <w:rFonts w:hint="eastAsia"/>
        </w:rPr>
      </w:pPr>
      <w:r w:rsidRPr="008A248B">
        <w:rPr>
          <w:rFonts w:hint="eastAsia"/>
        </w:rPr>
        <w:t>对于具有单室模型特征的药物，静脉滴注给药方案有：①单纯静脉滴注给药；②快速静脉注射同时静脉滴注给药；③先快速滴注再慢速滴注给药。具体公式表述及计算方法详见第八章介绍。</w:t>
      </w:r>
    </w:p>
    <w:p w:rsidR="008A248B" w:rsidRPr="008A248B" w:rsidP="008A248B" w14:paraId="278B17EA" w14:textId="77777777">
      <w:pPr>
        <w:rPr>
          <w:rFonts w:hint="eastAsia"/>
        </w:rPr>
      </w:pPr>
      <w:r w:rsidRPr="008A248B">
        <w:rPr>
          <w:rFonts w:hint="eastAsia"/>
        </w:rPr>
        <w:t>例15-3 </w:t>
      </w:r>
      <w:r w:rsidRPr="008A248B">
        <w:rPr>
          <w:rFonts w:hint="eastAsia"/>
        </w:rPr>
        <w:t>某患者</w:t>
      </w:r>
      <w:r w:rsidRPr="008A248B">
        <w:rPr>
          <w:rFonts w:hint="eastAsia"/>
        </w:rPr>
        <w:t>体重50kg，静脉滴注庆大霉素（ </w:t>
      </w:r>
      <w:r w:rsidRPr="008A248B">
        <w:rPr>
          <w:rFonts w:hint="eastAsia"/>
          <w:i/>
          <w:iCs/>
        </w:rPr>
        <w:t>V </w:t>
      </w:r>
      <w:r w:rsidRPr="008A248B">
        <w:rPr>
          <w:rFonts w:hint="eastAsia"/>
        </w:rPr>
        <w:t>=0.25L/kg， </w:t>
      </w:r>
      <w:r w:rsidRPr="008A248B">
        <w:rPr>
          <w:rFonts w:hint="eastAsia"/>
          <w:i/>
          <w:iCs/>
        </w:rPr>
        <w:t>k </w:t>
      </w:r>
      <w:r w:rsidRPr="008A248B">
        <w:rPr>
          <w:rFonts w:hint="eastAsia"/>
        </w:rPr>
        <w:t>=0.347h -1 ），滴注速度为115.4mg/h，滴注时间2h。已知庆大霉素</w:t>
      </w:r>
      <w:r w:rsidRPr="008A248B">
        <w:rPr>
          <w:rFonts w:hint="eastAsia"/>
        </w:rPr>
        <w:t>最</w:t>
      </w:r>
      <w:r w:rsidRPr="008A248B">
        <w:rPr>
          <w:rFonts w:hint="eastAsia"/>
        </w:rPr>
        <w:t>适血药浓度为4～8μg/mL，其 </w:t>
      </w:r>
      <w:r w:rsidRPr="008A248B">
        <w:rPr>
          <w:rFonts w:hint="eastAsia"/>
          <w:i/>
          <w:iCs/>
        </w:rPr>
        <w:t>k </w:t>
      </w:r>
      <w:r w:rsidRPr="008A248B">
        <w:rPr>
          <w:rFonts w:hint="eastAsia"/>
        </w:rPr>
        <w:t>0 是否合适？若不合适应如何调整？</w:t>
      </w:r>
    </w:p>
    <w:p w:rsidR="008A248B" w:rsidRPr="008A248B" w:rsidP="008A248B" w14:paraId="1E213CC9" w14:textId="77777777">
      <w:pPr>
        <w:rPr>
          <w:rFonts w:hint="eastAsia"/>
        </w:rPr>
      </w:pPr>
      <w:r w:rsidRPr="008A248B">
        <w:rPr>
          <w:rFonts w:hint="eastAsia"/>
        </w:rPr>
        <w:t>解：根据 </w:t>
      </w:r>
      <w:r w:rsidRPr="008A248B">
        <w:rPr>
          <w:rFonts w:hint="eastAsia"/>
          <w:i/>
          <w:iCs/>
        </w:rPr>
        <w:t>k </w:t>
      </w:r>
      <w:r w:rsidRPr="008A248B">
        <w:rPr>
          <w:rFonts w:hint="eastAsia"/>
        </w:rPr>
        <w:t>0 =115.4mg/h，计算滴注2h后的血药浓度：</w:t>
      </w:r>
    </w:p>
    <w:p w:rsidR="008A248B" w:rsidRPr="008A248B" w:rsidP="008A248B" w14:paraId="7C25AE27" w14:textId="7AF49964">
      <w:pPr>
        <w:rPr>
          <w:rFonts w:hint="eastAsia"/>
        </w:rPr>
      </w:pPr>
      <w:r w:rsidRPr="008A248B">
        <w:drawing>
          <wp:inline distT="0" distB="0" distL="0" distR="0">
            <wp:extent cx="5274310" cy="343535"/>
            <wp:effectExtent l="0" t="0" r="2540" b="0"/>
            <wp:docPr id="48423097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230971" name="Picture 24"/>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3535"/>
                    </a:xfrm>
                    <a:prstGeom prst="rect">
                      <a:avLst/>
                    </a:prstGeom>
                    <a:noFill/>
                    <a:ln>
                      <a:noFill/>
                    </a:ln>
                  </pic:spPr>
                </pic:pic>
              </a:graphicData>
            </a:graphic>
          </wp:inline>
        </w:drawing>
      </w:r>
    </w:p>
    <w:p w:rsidR="008A248B" w:rsidRPr="008A248B" w:rsidP="008A248B" w14:paraId="4C9704C7" w14:textId="77777777">
      <w:r w:rsidRPr="008A248B">
        <w:rPr>
          <w:rFonts w:hint="eastAsia"/>
        </w:rPr>
        <w:t>显然该浓度已超出治疗浓度范围，由此判断滴注速度（115.4mg/h）过高，需要调整给药方案。将</w:t>
      </w:r>
      <w:r w:rsidRPr="008A248B">
        <w:rPr>
          <w:rFonts w:hint="eastAsia"/>
        </w:rPr>
        <w:t>最</w:t>
      </w:r>
      <w:r w:rsidRPr="008A248B">
        <w:rPr>
          <w:rFonts w:hint="eastAsia"/>
        </w:rPr>
        <w:t>适血药浓度的上下限分别设为稳态浓度（ </w:t>
      </w:r>
      <w:r w:rsidRPr="008A248B">
        <w:rPr>
          <w:rFonts w:hint="eastAsia"/>
          <w:i/>
          <w:iCs/>
        </w:rPr>
        <w:t>C </w:t>
      </w:r>
      <w:r w:rsidRPr="008A248B">
        <w:rPr>
          <w:rFonts w:hint="eastAsia"/>
        </w:rPr>
        <w:t>ss ），根据单室模型静脉滴注稳态血药浓度公式计算滴注速度：</w:t>
      </w:r>
    </w:p>
    <w:p w:rsidR="008A248B" w:rsidRPr="008A248B" w:rsidP="008A248B" w14:paraId="589F34D0" w14:textId="28BD88D2">
      <w:pPr>
        <w:rPr>
          <w:rFonts w:hint="eastAsia"/>
        </w:rPr>
      </w:pPr>
      <w:r w:rsidRPr="008A248B">
        <w:drawing>
          <wp:inline distT="0" distB="0" distL="0" distR="0">
            <wp:extent cx="5274310" cy="826135"/>
            <wp:effectExtent l="0" t="0" r="2540" b="0"/>
            <wp:docPr id="92216278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62784" name="Picture 25"/>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26135"/>
                    </a:xfrm>
                    <a:prstGeom prst="rect">
                      <a:avLst/>
                    </a:prstGeom>
                    <a:noFill/>
                    <a:ln>
                      <a:noFill/>
                    </a:ln>
                  </pic:spPr>
                </pic:pic>
              </a:graphicData>
            </a:graphic>
          </wp:inline>
        </w:drawing>
      </w:r>
    </w:p>
    <w:p w:rsidR="008A248B" w:rsidRPr="008A248B" w:rsidP="008A248B" w14:paraId="6EB9E654" w14:textId="77777777">
      <w:pPr>
        <w:sectPr>
          <w:type w:val="nextPage"/>
          <w:pgSz w:w="11906" w:h="16838"/>
          <w:pgMar w:top="1440" w:right="1800" w:bottom="1440" w:left="1800" w:header="851" w:footer="992" w:gutter="0"/>
          <w:pgNumType w:start="15"/>
          <w:cols w:space="425"/>
          <w:titlePg w:val="0"/>
          <w:docGrid w:type="lines" w:linePitch="312"/>
        </w:sectPr>
      </w:pPr>
    </w:p>
    <w:p w:rsidR="008A248B" w:rsidRPr="008A248B" w:rsidP="008A248B" w14:textId="77777777">
      <w:r w:rsidRPr="008A248B">
        <w:rPr>
          <w:rFonts w:hint="eastAsia"/>
        </w:rPr>
        <w:t>根据上述计算结果，调整后的滴注速度应在17.35～34.70mg/h之间，才能使稳态浓度维持在</w:t>
      </w:r>
      <w:r w:rsidRPr="008A248B">
        <w:rPr>
          <w:rFonts w:hint="eastAsia"/>
        </w:rPr>
        <w:t>最</w:t>
      </w:r>
      <w:r w:rsidRPr="008A248B">
        <w:rPr>
          <w:rFonts w:hint="eastAsia"/>
        </w:rPr>
        <w:t>适血药浓度范围内。</w:t>
      </w:r>
    </w:p>
    <w:p w:rsidR="008A248B" w:rsidRPr="008A248B" w:rsidP="008A248B" w14:paraId="6CC60B64" w14:textId="77777777">
      <w:pPr>
        <w:rPr>
          <w:rFonts w:hint="eastAsia"/>
        </w:rPr>
      </w:pPr>
      <w:r w:rsidRPr="008A248B">
        <w:rPr>
          <w:rFonts w:hint="eastAsia"/>
        </w:rPr>
        <w:t>3.间歇静脉滴注给药方案 间歇静脉滴注（注意：必须符合前一次滴注给药后体内还未消除完就给予第二次滴注的原则）较单次静滴在临床上使用更多。该滴注方式是每次固定滴注 </w:t>
      </w:r>
      <w:r w:rsidRPr="008A248B">
        <w:rPr>
          <w:rFonts w:hint="eastAsia"/>
          <w:i/>
          <w:iCs/>
        </w:rPr>
        <w:t>t </w:t>
      </w:r>
      <w:r w:rsidRPr="008A248B">
        <w:rPr>
          <w:rFonts w:hint="eastAsia"/>
        </w:rPr>
        <w:t>时间，然后停止滴注 </w:t>
      </w:r>
      <w:r w:rsidRPr="008A248B">
        <w:rPr>
          <w:rFonts w:hint="eastAsia"/>
          <w:i/>
          <w:iCs/>
        </w:rPr>
        <w:t>T </w:t>
      </w:r>
      <w:r w:rsidRPr="008A248B">
        <w:rPr>
          <w:rFonts w:hint="eastAsia"/>
        </w:rPr>
        <w:t>时间，再如此反复进行，给药间隔 </w:t>
      </w:r>
      <w:r w:rsidRPr="008A248B">
        <w:rPr>
          <w:rFonts w:hint="eastAsia"/>
          <w:i/>
          <w:iCs/>
        </w:rPr>
        <w:t>τ </w:t>
      </w:r>
      <w:r w:rsidRPr="008A248B">
        <w:rPr>
          <w:rFonts w:hint="eastAsia"/>
        </w:rPr>
        <w:t>为滴注 </w:t>
      </w:r>
      <w:r w:rsidRPr="008A248B">
        <w:rPr>
          <w:rFonts w:hint="eastAsia"/>
          <w:i/>
          <w:iCs/>
        </w:rPr>
        <w:t>t </w:t>
      </w:r>
      <w:r w:rsidRPr="008A248B">
        <w:rPr>
          <w:rFonts w:hint="eastAsia"/>
        </w:rPr>
        <w:t>时间</w:t>
      </w:r>
      <w:r w:rsidRPr="008A248B">
        <w:rPr>
          <w:rFonts w:hint="eastAsia"/>
        </w:rPr>
        <w:t>与停滴</w:t>
      </w:r>
      <w:r w:rsidRPr="008A248B">
        <w:rPr>
          <w:rFonts w:hint="eastAsia"/>
        </w:rPr>
        <w:t> </w:t>
      </w:r>
      <w:r w:rsidRPr="008A248B">
        <w:rPr>
          <w:rFonts w:hint="eastAsia"/>
          <w:i/>
          <w:iCs/>
        </w:rPr>
        <w:t>T </w:t>
      </w:r>
      <w:r w:rsidRPr="008A248B">
        <w:rPr>
          <w:rFonts w:hint="eastAsia"/>
        </w:rPr>
        <w:t>时间之和（即 </w:t>
      </w:r>
      <w:r w:rsidRPr="008A248B">
        <w:rPr>
          <w:rFonts w:hint="eastAsia"/>
          <w:i/>
          <w:iCs/>
        </w:rPr>
        <w:t>τ </w:t>
      </w:r>
      <w:r w:rsidRPr="008A248B">
        <w:rPr>
          <w:rFonts w:hint="eastAsia"/>
        </w:rPr>
        <w:t>= </w:t>
      </w:r>
      <w:r w:rsidRPr="008A248B">
        <w:rPr>
          <w:rFonts w:hint="eastAsia"/>
          <w:i/>
          <w:iCs/>
        </w:rPr>
        <w:t>t </w:t>
      </w:r>
      <w:r w:rsidRPr="008A248B">
        <w:rPr>
          <w:rFonts w:hint="eastAsia"/>
        </w:rPr>
        <w:t>+ </w:t>
      </w:r>
      <w:r w:rsidRPr="008A248B">
        <w:rPr>
          <w:rFonts w:hint="eastAsia"/>
          <w:i/>
          <w:iCs/>
        </w:rPr>
        <w:t>T </w:t>
      </w:r>
      <w:r w:rsidRPr="008A248B">
        <w:rPr>
          <w:rFonts w:hint="eastAsia"/>
        </w:rPr>
        <w:t>）。给药间隔时间 </w:t>
      </w:r>
      <w:r w:rsidRPr="008A248B">
        <w:rPr>
          <w:rFonts w:hint="eastAsia"/>
          <w:i/>
          <w:iCs/>
        </w:rPr>
        <w:t>τ </w:t>
      </w:r>
      <w:r w:rsidRPr="008A248B">
        <w:rPr>
          <w:rFonts w:hint="eastAsia"/>
        </w:rPr>
        <w:t>与滴注速度 </w:t>
      </w:r>
      <w:r w:rsidRPr="008A248B">
        <w:rPr>
          <w:rFonts w:hint="eastAsia"/>
          <w:i/>
          <w:iCs/>
        </w:rPr>
        <w:t>k </w:t>
      </w:r>
      <w:r w:rsidRPr="008A248B">
        <w:rPr>
          <w:rFonts w:hint="eastAsia"/>
        </w:rPr>
        <w:t>0 可按下式计算：</w:t>
      </w:r>
    </w:p>
    <w:p w:rsidR="008A248B" w:rsidRPr="008A248B" w:rsidP="008A248B" w14:paraId="04AFE44E" w14:textId="50E2EDF4">
      <w:pPr>
        <w:rPr>
          <w:rFonts w:hint="eastAsia"/>
        </w:rPr>
      </w:pPr>
      <w:r w:rsidRPr="008A248B">
        <w:drawing>
          <wp:inline distT="0" distB="0" distL="0" distR="0">
            <wp:extent cx="5274310" cy="951230"/>
            <wp:effectExtent l="0" t="0" r="2540" b="1270"/>
            <wp:docPr id="113165707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657078" name="Picture 26"/>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1230"/>
                    </a:xfrm>
                    <a:prstGeom prst="rect">
                      <a:avLst/>
                    </a:prstGeom>
                    <a:noFill/>
                    <a:ln>
                      <a:noFill/>
                    </a:ln>
                  </pic:spPr>
                </pic:pic>
              </a:graphicData>
            </a:graphic>
          </wp:inline>
        </w:drawing>
      </w:r>
    </w:p>
    <w:p w:rsidR="008A248B" w:rsidRPr="008A248B" w:rsidP="008A248B" w14:paraId="6AD64A3E" w14:textId="77777777">
      <w:r w:rsidRPr="008A248B">
        <w:rPr>
          <w:rFonts w:hint="eastAsia"/>
        </w:rPr>
        <w:t>例15-4 </w:t>
      </w:r>
      <w:r w:rsidRPr="008A248B">
        <w:rPr>
          <w:rFonts w:hint="eastAsia"/>
        </w:rPr>
        <w:t>某患者</w:t>
      </w:r>
      <w:r w:rsidRPr="008A248B">
        <w:rPr>
          <w:rFonts w:hint="eastAsia"/>
        </w:rPr>
        <w:t>因发热、咳痰入院，诊断为社区获得性肺炎（community acquired pneumonia，CAP），拟使用左氧氟沙星（ </w:t>
      </w:r>
      <w:r w:rsidRPr="008A248B">
        <w:rPr>
          <w:rFonts w:hint="eastAsia"/>
          <w:i/>
          <w:iCs/>
        </w:rPr>
        <w:t>t </w:t>
      </w:r>
      <w:r w:rsidRPr="008A248B">
        <w:rPr>
          <w:rFonts w:hint="eastAsia"/>
        </w:rPr>
        <w:t>1/2 =9h， </w:t>
      </w:r>
      <w:r w:rsidRPr="008A248B">
        <w:rPr>
          <w:rFonts w:hint="eastAsia"/>
          <w:i/>
          <w:iCs/>
        </w:rPr>
        <w:t>V </w:t>
      </w:r>
      <w:r w:rsidRPr="008A248B">
        <w:rPr>
          <w:rFonts w:hint="eastAsia"/>
        </w:rPr>
        <w:t>=80L）治疗，每天静滴一次，静</w:t>
      </w:r>
      <w:r w:rsidRPr="008A248B">
        <w:rPr>
          <w:rFonts w:hint="eastAsia"/>
        </w:rPr>
        <w:t>滴经历</w:t>
      </w:r>
      <w:r w:rsidRPr="008A248B">
        <w:rPr>
          <w:rFonts w:hint="eastAsia"/>
        </w:rPr>
        <w:t>6h，希望达到血药浓度的范围为1.25～5.0μg/mL。如果每天剂量为500mg，其 </w:t>
      </w:r>
      <w:r w:rsidRPr="008A248B">
        <w:rPr>
          <w:rFonts w:hint="eastAsia"/>
          <w:i/>
          <w:iCs/>
        </w:rPr>
        <w:t>k </w:t>
      </w:r>
      <w:r w:rsidRPr="008A248B">
        <w:rPr>
          <w:rFonts w:hint="eastAsia"/>
        </w:rPr>
        <w:t>0 是否合适？若不合适应如何调整？</w:t>
      </w:r>
    </w:p>
    <w:p w:rsidR="008A248B" w:rsidRPr="008A248B" w:rsidP="008A248B" w14:paraId="39EB186C" w14:textId="108FCBD6">
      <w:pPr>
        <w:rPr>
          <w:rFonts w:hint="eastAsia"/>
        </w:rPr>
      </w:pPr>
      <w:r w:rsidRPr="008A248B">
        <w:rPr>
          <w:rFonts w:hint="eastAsia"/>
        </w:rPr>
        <w:t>解：已知 </w:t>
      </w:r>
      <w:r w:rsidRPr="008A248B">
        <w:rPr>
          <w:rFonts w:hint="eastAsia"/>
          <w:i/>
          <w:iCs/>
        </w:rPr>
        <w:t>τ </w:t>
      </w:r>
      <w:r w:rsidRPr="008A248B">
        <w:rPr>
          <w:rFonts w:hint="eastAsia"/>
        </w:rPr>
        <w:t>=24h， </w:t>
      </w:r>
      <w:r w:rsidRPr="008A248B">
        <w:rPr>
          <w:rFonts w:hint="eastAsia"/>
          <w:i/>
          <w:iCs/>
        </w:rPr>
        <w:t>t </w:t>
      </w:r>
      <w:r w:rsidRPr="008A248B">
        <w:rPr>
          <w:rFonts w:hint="eastAsia"/>
        </w:rPr>
        <w:t>=6h；另 </w:t>
      </w:r>
      <w:r w:rsidRPr="008A248B">
        <w:drawing>
          <wp:inline distT="0" distB="0" distL="0" distR="0">
            <wp:extent cx="5274310" cy="491490"/>
            <wp:effectExtent l="0" t="0" r="2540" b="3810"/>
            <wp:docPr id="170037658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376584" name="Picture 27"/>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1490"/>
                    </a:xfrm>
                    <a:prstGeom prst="rect">
                      <a:avLst/>
                    </a:prstGeom>
                    <a:noFill/>
                    <a:ln>
                      <a:noFill/>
                    </a:ln>
                  </pic:spPr>
                </pic:pic>
              </a:graphicData>
            </a:graphic>
          </wp:inline>
        </w:drawing>
      </w:r>
      <w:r w:rsidRPr="008A248B">
        <w:rPr>
          <w:rFonts w:hint="eastAsia"/>
        </w:rPr>
        <w:t> ；则稳态最大与最小血药浓度为：</w:t>
      </w:r>
    </w:p>
    <w:p w:rsidR="008A248B" w:rsidRPr="008A248B" w:rsidP="008A248B" w14:paraId="0B14B04B" w14:textId="11F426B2">
      <w:pPr>
        <w:rPr>
          <w:rFonts w:hint="eastAsia"/>
        </w:rPr>
      </w:pPr>
      <w:r w:rsidRPr="008A248B">
        <w:drawing>
          <wp:inline distT="0" distB="0" distL="0" distR="0">
            <wp:extent cx="5274310" cy="741680"/>
            <wp:effectExtent l="0" t="0" r="2540" b="1270"/>
            <wp:docPr id="184246527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465274" name="Picture 28"/>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1680"/>
                    </a:xfrm>
                    <a:prstGeom prst="rect">
                      <a:avLst/>
                    </a:prstGeom>
                    <a:noFill/>
                    <a:ln>
                      <a:noFill/>
                    </a:ln>
                  </pic:spPr>
                </pic:pic>
              </a:graphicData>
            </a:graphic>
          </wp:inline>
        </w:drawing>
      </w:r>
    </w:p>
    <w:p w:rsidR="008A248B" w:rsidRPr="008A248B" w:rsidP="008A248B" w14:paraId="33BBE48B" w14:textId="77777777">
      <w:r w:rsidRPr="008A248B">
        <w:rPr>
          <w:rFonts w:hint="eastAsia"/>
        </w:rPr>
        <w:t>若要求稳态浓度控制在1.25～5.0μg/mL范围内，则需调整上述方案（调整 </w:t>
      </w:r>
      <w:r w:rsidRPr="008A248B">
        <w:rPr>
          <w:rFonts w:hint="eastAsia"/>
          <w:i/>
          <w:iCs/>
        </w:rPr>
        <w:t>k </w:t>
      </w:r>
      <w:r w:rsidRPr="008A248B">
        <w:rPr>
          <w:rFonts w:hint="eastAsia"/>
        </w:rPr>
        <w:t>0 ）。令（ </w:t>
      </w:r>
      <w:r w:rsidRPr="008A248B">
        <w:rPr>
          <w:rFonts w:hint="eastAsia"/>
          <w:i/>
          <w:iCs/>
        </w:rPr>
        <w:t>C </w:t>
      </w:r>
      <w:r w:rsidRPr="008A248B">
        <w:rPr>
          <w:rFonts w:hint="eastAsia"/>
        </w:rPr>
        <w:t>ss ） min =1.25μg/mL，则：</w:t>
      </w:r>
    </w:p>
    <w:p w:rsidR="008A248B" w:rsidRPr="008A248B" w:rsidP="008A248B" w14:paraId="4A3B8448" w14:textId="54F2D674">
      <w:pPr>
        <w:rPr>
          <w:rFonts w:hint="eastAsia"/>
        </w:rPr>
      </w:pPr>
      <w:r w:rsidRPr="008A248B">
        <w:drawing>
          <wp:inline distT="0" distB="0" distL="0" distR="0">
            <wp:extent cx="5274310" cy="493395"/>
            <wp:effectExtent l="0" t="0" r="2540" b="1905"/>
            <wp:docPr id="180041063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410635" name="Picture 29"/>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3395"/>
                    </a:xfrm>
                    <a:prstGeom prst="rect">
                      <a:avLst/>
                    </a:prstGeom>
                    <a:noFill/>
                    <a:ln>
                      <a:noFill/>
                    </a:ln>
                  </pic:spPr>
                </pic:pic>
              </a:graphicData>
            </a:graphic>
          </wp:inline>
        </w:drawing>
      </w:r>
    </w:p>
    <w:p w:rsidR="008A248B" w:rsidRPr="008A248B" w:rsidP="008A248B" w14:paraId="684EAB8D" w14:textId="77777777">
      <w:r w:rsidRPr="008A248B">
        <w:rPr>
          <w:rFonts w:hint="eastAsia"/>
        </w:rPr>
        <w:t>故每天</w:t>
      </w:r>
      <w:r w:rsidRPr="008A248B">
        <w:rPr>
          <w:rFonts w:hint="eastAsia"/>
        </w:rPr>
        <w:t>给药剂量应为：70×6=420mg，并在6h内滴完。验证最大稳态浓度：</w:t>
      </w:r>
      <w:r w:rsidRPr="008A248B">
        <w:br/>
      </w:r>
      <w:r w:rsidRPr="008A248B">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14:ligatures w14:val="none"/>
          </w:rPr>
          <w:t>https://d.book118.com/626122003054010052</w:t>
        </w:r>
      </w:hyperlink>
    </w:p>
    <w:p w:rsidR="008A248B" w:rsidRPr="008A248B" w:rsidP="008A248B"/>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48B"/>
    <w:rsid w:val="008A248B"/>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44F3B7"/>
  <w15:chartTrackingRefBased/>
  <w15:docId w15:val="{1A97882A-DB4A-4FF7-A9F3-113A93FAF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8A248B"/>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8A248B"/>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8A248B"/>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8A248B"/>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8A248B"/>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8A248B"/>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8A248B"/>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8A248B"/>
    <w:rPr>
      <w:rFonts w:ascii="宋体" w:eastAsia="宋体" w:hAnsi="宋体" w:cs="宋体"/>
      <w:b/>
      <w:bCs/>
      <w:kern w:val="0"/>
      <w:sz w:val="20"/>
      <w:szCs w:val="20"/>
      <w14:ligatures w14:val="none"/>
    </w:rPr>
  </w:style>
  <w:style w:type="paragraph" w:customStyle="1" w:styleId="msonormal">
    <w:name w:val="msonormal"/>
    <w:basedOn w:val="Normal"/>
    <w:rsid w:val="008A248B"/>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8A248B"/>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8A248B"/>
  </w:style>
  <w:style w:type="character" w:customStyle="1" w:styleId="zhonghei">
    <w:name w:val="zhonghei"/>
    <w:basedOn w:val="DefaultParagraphFont"/>
    <w:rsid w:val="008A248B"/>
  </w:style>
  <w:style w:type="character" w:customStyle="1" w:styleId="italic">
    <w:name w:val="italic"/>
    <w:basedOn w:val="DefaultParagraphFont"/>
    <w:rsid w:val="008A248B"/>
  </w:style>
  <w:style w:type="character" w:customStyle="1" w:styleId="sub">
    <w:name w:val="sub"/>
    <w:basedOn w:val="DefaultParagraphFont"/>
    <w:rsid w:val="008A248B"/>
  </w:style>
  <w:style w:type="paragraph" w:customStyle="1" w:styleId="table-title">
    <w:name w:val="table-title"/>
    <w:basedOn w:val="Normal"/>
    <w:rsid w:val="008A248B"/>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c">
    <w:name w:val="img-note-c"/>
    <w:basedOn w:val="Normal"/>
    <w:rsid w:val="008A248B"/>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
    <w:name w:val="sup"/>
    <w:basedOn w:val="DefaultParagraphFont"/>
    <w:rsid w:val="008A248B"/>
  </w:style>
  <w:style w:type="paragraph" w:customStyle="1" w:styleId="poem-center-only">
    <w:name w:val="poem-center-only"/>
    <w:basedOn w:val="Normal"/>
    <w:rsid w:val="008A248B"/>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hyperlink" Target="https://d.book118.com/62612200305401005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6242</Words>
  <Characters>35583</Characters>
  <Application>Microsoft Office Word</Application>
  <DocSecurity>0</DocSecurity>
  <Lines>296</Lines>
  <Paragraphs>83</Paragraphs>
  <ScaleCrop>false</ScaleCrop>
  <Company/>
  <LinksUpToDate>false</LinksUpToDate>
  <CharactersWithSpaces>41742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2024-01-16T18:35:00Z</dcterms:created>
  <dcterms:modified xsi:type="dcterms:W3CDTF">2024-01-16T18:35:00Z</dcterms:modified>
</cp:coreProperties>
</file>