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spacing w:line="600" w:lineRule="exact"/>
        <w:jc w:val="center"/>
        <w:outlineLvl w:val="0"/>
        <w:rPr>
          <w:rFonts w:ascii="宋体" w:hAnsi="宋体" w:hint="eastAsia"/>
          <w:sz w:val="52"/>
        </w:rPr>
      </w:pPr>
    </w:p>
    <w:p>
      <w:pPr>
        <w:snapToGrid w:val="0"/>
        <w:jc w:val="center"/>
        <w:rPr>
          <w:rFonts w:ascii="宋体" w:hAnsi="宋体"/>
          <w:b/>
          <w:sz w:val="52"/>
          <w:szCs w:val="52"/>
        </w:rPr>
      </w:pPr>
      <w:r>
        <w:rPr>
          <w:rFonts w:ascii="宋体" w:hAnsi="宋体" w:hint="eastAsia"/>
          <w:b/>
          <w:sz w:val="52"/>
          <w:szCs w:val="52"/>
        </w:rPr>
        <w:t>重庆市智慧园区大脑平台监理</w:t>
      </w:r>
    </w:p>
    <w:p>
      <w:pPr>
        <w:snapToGrid w:val="0"/>
        <w:jc w:val="center"/>
        <w:rPr>
          <w:rFonts w:ascii="宋体" w:hAnsi="宋体"/>
          <w:b/>
          <w:sz w:val="52"/>
          <w:szCs w:val="52"/>
        </w:rPr>
      </w:pPr>
      <w:r>
        <w:rPr>
          <w:rFonts w:ascii="宋体" w:hAnsi="宋体" w:hint="eastAsia"/>
          <w:b/>
          <w:sz w:val="52"/>
          <w:szCs w:val="52"/>
        </w:rPr>
        <w:t>政府采购项目（第二次）</w:t>
      </w:r>
    </w:p>
    <w:p>
      <w:pPr>
        <w:adjustRightInd w:val="0"/>
        <w:jc w:val="center"/>
        <w:rPr>
          <w:rFonts w:ascii="宋体" w:hAnsi="宋体" w:hint="eastAsia"/>
          <w:b/>
          <w:sz w:val="72"/>
          <w:szCs w:val="72"/>
        </w:rPr>
      </w:pPr>
    </w:p>
    <w:p>
      <w:pPr>
        <w:pStyle w:val="BodyTextIndent"/>
        <w:spacing w:line="500" w:lineRule="exact"/>
        <w:ind w:left="0"/>
        <w:jc w:val="center"/>
        <w:rPr>
          <w:rFonts w:ascii="宋体" w:hAnsi="宋体" w:hint="eastAsia"/>
          <w:sz w:val="32"/>
        </w:rPr>
      </w:pPr>
    </w:p>
    <w:p>
      <w:pPr>
        <w:pStyle w:val="BodyTextIndent"/>
        <w:spacing w:line="500" w:lineRule="exact"/>
        <w:ind w:left="0"/>
        <w:jc w:val="center"/>
        <w:rPr>
          <w:rFonts w:ascii="宋体" w:hAnsi="宋体"/>
          <w:sz w:val="32"/>
        </w:rPr>
      </w:pPr>
    </w:p>
    <w:p>
      <w:pPr>
        <w:pStyle w:val="BodyTextIndent"/>
        <w:spacing w:line="500" w:lineRule="exact"/>
        <w:ind w:left="0"/>
        <w:jc w:val="center"/>
        <w:rPr>
          <w:rFonts w:ascii="宋体" w:hAnsi="宋体"/>
          <w:sz w:val="32"/>
        </w:rPr>
      </w:pPr>
    </w:p>
    <w:p>
      <w:pPr>
        <w:pStyle w:val="BodyTextIndent"/>
        <w:spacing w:line="500" w:lineRule="exact"/>
        <w:ind w:left="0"/>
        <w:jc w:val="center"/>
        <w:rPr>
          <w:rFonts w:ascii="宋体" w:hAnsi="宋体" w:hint="eastAsia"/>
          <w:sz w:val="32"/>
        </w:rPr>
      </w:pPr>
    </w:p>
    <w:p>
      <w:pPr>
        <w:adjustRightInd w:val="0"/>
        <w:jc w:val="center"/>
        <w:rPr>
          <w:rFonts w:ascii="宋体" w:hAnsi="宋体"/>
          <w:b/>
          <w:sz w:val="72"/>
          <w:szCs w:val="72"/>
        </w:rPr>
      </w:pPr>
      <w:r>
        <w:rPr>
          <w:rFonts w:ascii="宋体" w:hAnsi="宋体" w:hint="eastAsia"/>
          <w:b/>
          <w:sz w:val="72"/>
          <w:szCs w:val="72"/>
        </w:rPr>
        <w:t>招 标 文 件</w:t>
      </w:r>
    </w:p>
    <w:p>
      <w:pPr>
        <w:adjustRightInd w:val="0"/>
        <w:jc w:val="center"/>
        <w:rPr>
          <w:rFonts w:ascii="宋体" w:hAnsi="宋体"/>
          <w:szCs w:val="28"/>
        </w:rPr>
      </w:pPr>
    </w:p>
    <w:p>
      <w:pPr>
        <w:adjustRightInd w:val="0"/>
        <w:jc w:val="center"/>
        <w:rPr>
          <w:rFonts w:ascii="宋体" w:hAnsi="宋体"/>
          <w:sz w:val="32"/>
          <w:szCs w:val="32"/>
        </w:rPr>
      </w:pPr>
      <w:r>
        <w:rPr>
          <w:rFonts w:ascii="宋体" w:hAnsi="宋体" w:hint="eastAsia"/>
          <w:sz w:val="32"/>
          <w:szCs w:val="32"/>
        </w:rPr>
        <w:t>项目号：C</w:t>
      </w:r>
      <w:r>
        <w:rPr>
          <w:rFonts w:ascii="宋体" w:hAnsi="宋体"/>
          <w:sz w:val="32"/>
          <w:szCs w:val="32"/>
        </w:rPr>
        <w:t>QCBJQ2112-273</w:t>
      </w:r>
    </w:p>
    <w:p>
      <w:pPr>
        <w:pStyle w:val="BodyTextIndent"/>
        <w:spacing w:line="500" w:lineRule="exact"/>
        <w:ind w:left="0"/>
        <w:jc w:val="center"/>
        <w:rPr>
          <w:rFonts w:ascii="宋体" w:hAnsi="宋体" w:hint="eastAsia"/>
          <w:sz w:val="32"/>
        </w:rPr>
      </w:pPr>
    </w:p>
    <w:p>
      <w:pPr>
        <w:pStyle w:val="BodyTextIndent"/>
        <w:spacing w:line="500" w:lineRule="exact"/>
        <w:ind w:left="0"/>
        <w:jc w:val="center"/>
        <w:rPr>
          <w:rFonts w:ascii="宋体" w:hAnsi="宋体" w:hint="eastAsia"/>
          <w:sz w:val="32"/>
        </w:rPr>
      </w:pPr>
    </w:p>
    <w:p>
      <w:pPr>
        <w:pStyle w:val="BodyTextIndent"/>
        <w:spacing w:line="500" w:lineRule="exact"/>
        <w:ind w:left="0"/>
        <w:jc w:val="center"/>
        <w:rPr>
          <w:rFonts w:ascii="宋体" w:hAnsi="宋体" w:hint="eastAsia"/>
          <w:sz w:val="32"/>
        </w:rPr>
      </w:pPr>
    </w:p>
    <w:p>
      <w:pPr>
        <w:pStyle w:val="BodyTextIndent"/>
        <w:spacing w:line="500" w:lineRule="exact"/>
        <w:ind w:left="0"/>
        <w:jc w:val="center"/>
        <w:rPr>
          <w:rFonts w:ascii="宋体" w:hAnsi="宋体"/>
          <w:sz w:val="32"/>
        </w:rPr>
      </w:pPr>
    </w:p>
    <w:p>
      <w:pPr>
        <w:pStyle w:val="BodyTextIndent"/>
        <w:spacing w:line="500" w:lineRule="exact"/>
        <w:ind w:left="0"/>
        <w:jc w:val="center"/>
        <w:rPr>
          <w:rFonts w:ascii="宋体" w:hAnsi="宋体"/>
          <w:sz w:val="32"/>
        </w:rPr>
      </w:pPr>
    </w:p>
    <w:p>
      <w:pPr>
        <w:pStyle w:val="BodyTextIndent"/>
        <w:spacing w:line="500" w:lineRule="exact"/>
        <w:ind w:left="0"/>
        <w:jc w:val="center"/>
        <w:rPr>
          <w:rFonts w:ascii="宋体" w:hAnsi="宋体" w:hint="eastAsia"/>
          <w:sz w:val="32"/>
        </w:rPr>
      </w:pPr>
    </w:p>
    <w:p>
      <w:pPr>
        <w:pStyle w:val="BodyTextIndent"/>
        <w:spacing w:line="500" w:lineRule="exact"/>
        <w:ind w:left="0"/>
        <w:jc w:val="center"/>
        <w:rPr>
          <w:rFonts w:ascii="宋体" w:hAnsi="宋体" w:hint="eastAsia"/>
          <w:sz w:val="32"/>
        </w:rPr>
      </w:pPr>
    </w:p>
    <w:p>
      <w:pPr>
        <w:pStyle w:val="BodyTextIndent"/>
        <w:spacing w:line="500" w:lineRule="exact"/>
        <w:ind w:left="0"/>
        <w:jc w:val="center"/>
        <w:rPr>
          <w:rFonts w:ascii="宋体" w:hAnsi="宋体" w:hint="eastAsia"/>
          <w:sz w:val="32"/>
        </w:rPr>
      </w:pPr>
    </w:p>
    <w:p>
      <w:pPr>
        <w:pStyle w:val="BodyTextIndent"/>
        <w:spacing w:line="500" w:lineRule="exact"/>
        <w:ind w:left="0"/>
        <w:jc w:val="center"/>
        <w:rPr>
          <w:rFonts w:ascii="宋体" w:hAnsi="宋体" w:hint="eastAsia"/>
          <w:sz w:val="32"/>
        </w:rPr>
      </w:pPr>
    </w:p>
    <w:p>
      <w:pPr>
        <w:spacing w:line="500" w:lineRule="exact"/>
        <w:jc w:val="center"/>
        <w:rPr>
          <w:rFonts w:ascii="宋体" w:hAnsi="宋体"/>
          <w:sz w:val="32"/>
        </w:rPr>
      </w:pPr>
    </w:p>
    <w:p>
      <w:pPr>
        <w:spacing w:line="360" w:lineRule="auto"/>
        <w:ind w:firstLine="1440" w:firstLineChars="400"/>
        <w:outlineLvl w:val="0"/>
        <w:rPr>
          <w:rFonts w:ascii="宋体" w:hAnsi="宋体" w:hint="eastAsia"/>
          <w:sz w:val="36"/>
          <w:szCs w:val="36"/>
        </w:rPr>
      </w:pPr>
      <w:r>
        <w:rPr>
          <w:rFonts w:ascii="宋体" w:hAnsi="宋体" w:hint="eastAsia"/>
          <w:sz w:val="36"/>
          <w:szCs w:val="36"/>
        </w:rPr>
        <w:t>采   购   人：重庆市经济和信息化委员会</w:t>
      </w:r>
    </w:p>
    <w:p>
      <w:pPr>
        <w:spacing w:line="360" w:lineRule="auto"/>
        <w:ind w:firstLine="1440" w:firstLineChars="400"/>
        <w:outlineLvl w:val="0"/>
        <w:rPr>
          <w:rFonts w:ascii="宋体" w:hAnsi="宋体" w:hint="eastAsia"/>
          <w:sz w:val="36"/>
          <w:szCs w:val="36"/>
        </w:rPr>
      </w:pPr>
      <w:r>
        <w:rPr>
          <w:rFonts w:ascii="宋体" w:hAnsi="宋体" w:hint="eastAsia"/>
          <w:sz w:val="36"/>
          <w:szCs w:val="36"/>
        </w:rPr>
        <w:t>采购代理机构：重庆市中基致信招标代理有限公司</w:t>
      </w:r>
    </w:p>
    <w:p>
      <w:pPr>
        <w:spacing w:line="360" w:lineRule="auto"/>
        <w:jc w:val="center"/>
        <w:outlineLvl w:val="0"/>
        <w:rPr>
          <w:rFonts w:ascii="宋体" w:hAnsi="宋体" w:hint="eastAsia"/>
          <w:sz w:val="36"/>
          <w:szCs w:val="36"/>
        </w:rPr>
      </w:pPr>
      <w:r>
        <w:rPr>
          <w:rFonts w:ascii="宋体" w:hAnsi="宋体" w:hint="eastAsia"/>
          <w:sz w:val="36"/>
          <w:szCs w:val="36"/>
        </w:rPr>
        <w:t>二〇二二年一月</w:t>
      </w:r>
    </w:p>
    <w:p>
      <w:pPr>
        <w:spacing w:line="600" w:lineRule="exact"/>
        <w:ind w:firstLine="1440" w:firstLineChars="400"/>
        <w:outlineLvl w:val="0"/>
        <w:rPr>
          <w:rFonts w:ascii="宋体" w:hAnsi="宋体" w:hint="eastAsia"/>
          <w:sz w:val="36"/>
          <w:szCs w:val="36"/>
        </w:rPr>
        <w:sectPr>
          <w:headerReference w:type="default" r:id="rId4"/>
          <w:footerReference w:type="even" r:id="rId5"/>
          <w:footerReference w:type="default" r:id="rId6"/>
          <w:headerReference w:type="first" r:id="rId7"/>
          <w:pgSz w:w="11907" w:h="16840"/>
          <w:pgMar w:top="1134" w:right="1191" w:bottom="1134" w:left="1191" w:header="964" w:footer="992" w:gutter="0"/>
          <w:pgNumType w:start="1"/>
          <w:cols w:space="708"/>
          <w:titlePg/>
          <w:docGrid w:linePitch="312"/>
        </w:sectPr>
      </w:pPr>
    </w:p>
    <w:p>
      <w:pPr>
        <w:snapToGrid w:val="0"/>
        <w:spacing w:line="500" w:lineRule="exact"/>
        <w:jc w:val="center"/>
        <w:rPr>
          <w:rFonts w:ascii="宋体" w:hAnsi="宋体" w:hint="eastAsia"/>
          <w:sz w:val="44"/>
        </w:rPr>
      </w:pPr>
      <w:r>
        <w:rPr>
          <w:rFonts w:ascii="宋体" w:hAnsi="宋体" w:hint="eastAsia"/>
          <w:sz w:val="44"/>
        </w:rPr>
        <w:t>目  录</w:t>
      </w:r>
    </w:p>
    <w:p>
      <w:pPr>
        <w:pStyle w:val="TOC2"/>
        <w:tabs>
          <w:tab w:val="right" w:leader="dot" w:pos="8400"/>
        </w:tabs>
        <w:ind w:right="-255"/>
        <w:rPr>
          <w:rFonts w:ascii="等线" w:eastAsia="等线" w:hAnsi="等线"/>
          <w:sz w:val="21"/>
          <w:szCs w:val="22"/>
        </w:rPr>
      </w:pPr>
      <w:r>
        <w:rPr>
          <w:rFonts w:ascii="宋体" w:hAnsi="宋体" w:hint="eastAsia"/>
          <w:sz w:val="21"/>
          <w:szCs w:val="21"/>
        </w:rPr>
        <w:fldChar w:fldCharType="begin"/>
      </w:r>
      <w:r>
        <w:rPr>
          <w:rFonts w:ascii="宋体" w:hAnsi="宋体" w:hint="eastAsia"/>
          <w:sz w:val="21"/>
          <w:szCs w:val="21"/>
        </w:rPr>
        <w:instrText xml:space="preserve"> TOC \o "1-2" \h \z </w:instrText>
      </w:r>
      <w:r>
        <w:rPr>
          <w:rFonts w:ascii="宋体" w:hAnsi="宋体" w:hint="eastAsia"/>
          <w:sz w:val="21"/>
          <w:szCs w:val="21"/>
        </w:rPr>
        <w:fldChar w:fldCharType="separate"/>
      </w:r>
      <w:hyperlink w:anchor="_Toc93908301" w:history="1">
        <w:r>
          <w:rPr>
            <w:rStyle w:val="Hyperlink"/>
            <w:b/>
          </w:rPr>
          <w:t>第一篇 投标邀请书</w:t>
        </w:r>
        <w:r>
          <w:tab/>
        </w:r>
        <w:r>
          <w:fldChar w:fldCharType="begin"/>
        </w:r>
        <w:r>
          <w:instrText xml:space="preserve"> PAGEREF _Toc93908301 \h </w:instrText>
        </w:r>
        <w:r>
          <w:fldChar w:fldCharType="separate"/>
        </w:r>
        <w:r>
          <w:t>- 3 -</w:t>
        </w:r>
        <w:r>
          <w:fldChar w:fldCharType="end"/>
        </w:r>
      </w:hyperlink>
    </w:p>
    <w:p>
      <w:pPr>
        <w:pStyle w:val="TOC2"/>
        <w:tabs>
          <w:tab w:val="right" w:leader="dot" w:pos="8400"/>
        </w:tabs>
        <w:ind w:right="-255"/>
        <w:rPr>
          <w:rFonts w:ascii="等线" w:eastAsia="等线" w:hAnsi="等线"/>
          <w:sz w:val="21"/>
          <w:szCs w:val="22"/>
        </w:rPr>
      </w:pPr>
      <w:hyperlink w:anchor="_Toc93908302" w:history="1">
        <w:r>
          <w:rPr>
            <w:rStyle w:val="Hyperlink"/>
            <w:b/>
          </w:rPr>
          <w:t>一、招标项目内容</w:t>
        </w:r>
        <w:r>
          <w:tab/>
        </w:r>
        <w:r>
          <w:fldChar w:fldCharType="begin"/>
        </w:r>
        <w:r>
          <w:instrText xml:space="preserve"> PAGEREF _Toc93908302 \h </w:instrText>
        </w:r>
        <w:r>
          <w:fldChar w:fldCharType="separate"/>
        </w:r>
        <w:r>
          <w:t>- 3 -</w:t>
        </w:r>
        <w:r>
          <w:fldChar w:fldCharType="end"/>
        </w:r>
      </w:hyperlink>
    </w:p>
    <w:p>
      <w:pPr>
        <w:pStyle w:val="TOC2"/>
        <w:tabs>
          <w:tab w:val="right" w:leader="dot" w:pos="8400"/>
        </w:tabs>
        <w:ind w:right="-255"/>
        <w:rPr>
          <w:rFonts w:ascii="等线" w:eastAsia="等线" w:hAnsi="等线"/>
          <w:sz w:val="21"/>
          <w:szCs w:val="22"/>
        </w:rPr>
      </w:pPr>
      <w:hyperlink w:anchor="_Toc93908303" w:history="1">
        <w:r>
          <w:rPr>
            <w:rStyle w:val="Hyperlink"/>
            <w:b/>
          </w:rPr>
          <w:t>二、资金来源</w:t>
        </w:r>
        <w:r>
          <w:tab/>
        </w:r>
        <w:r>
          <w:fldChar w:fldCharType="begin"/>
        </w:r>
        <w:r>
          <w:instrText xml:space="preserve"> PAGEREF _Toc93908303 \h </w:instrText>
        </w:r>
        <w:r>
          <w:fldChar w:fldCharType="separate"/>
        </w:r>
        <w:r>
          <w:t>- 3 -</w:t>
        </w:r>
        <w:r>
          <w:fldChar w:fldCharType="end"/>
        </w:r>
      </w:hyperlink>
    </w:p>
    <w:p>
      <w:pPr>
        <w:pStyle w:val="TOC2"/>
        <w:tabs>
          <w:tab w:val="right" w:leader="dot" w:pos="8400"/>
        </w:tabs>
        <w:ind w:right="-255"/>
        <w:rPr>
          <w:rFonts w:ascii="等线" w:eastAsia="等线" w:hAnsi="等线"/>
          <w:sz w:val="21"/>
          <w:szCs w:val="22"/>
        </w:rPr>
      </w:pPr>
      <w:hyperlink w:anchor="_Toc93908304" w:history="1">
        <w:r>
          <w:rPr>
            <w:rStyle w:val="Hyperlink"/>
            <w:b/>
          </w:rPr>
          <w:t>四、投标、开标有关说明</w:t>
        </w:r>
        <w:r>
          <w:tab/>
        </w:r>
        <w:r>
          <w:fldChar w:fldCharType="begin"/>
        </w:r>
        <w:r>
          <w:instrText xml:space="preserve"> PAGEREF _Toc93908304 \h </w:instrText>
        </w:r>
        <w:r>
          <w:fldChar w:fldCharType="separate"/>
        </w:r>
        <w:r>
          <w:t>- 3 -</w:t>
        </w:r>
        <w:r>
          <w:fldChar w:fldCharType="end"/>
        </w:r>
      </w:hyperlink>
    </w:p>
    <w:p>
      <w:pPr>
        <w:pStyle w:val="TOC2"/>
        <w:tabs>
          <w:tab w:val="right" w:leader="dot" w:pos="8400"/>
        </w:tabs>
        <w:ind w:right="-255"/>
        <w:rPr>
          <w:rFonts w:ascii="等线" w:eastAsia="等线" w:hAnsi="等线"/>
          <w:sz w:val="21"/>
          <w:szCs w:val="22"/>
        </w:rPr>
      </w:pPr>
      <w:hyperlink w:anchor="_Toc93908305" w:history="1">
        <w:r>
          <w:rPr>
            <w:rStyle w:val="Hyperlink"/>
            <w:b/>
          </w:rPr>
          <w:t>五、投标保证金</w:t>
        </w:r>
        <w:r>
          <w:tab/>
        </w:r>
        <w:r>
          <w:fldChar w:fldCharType="begin"/>
        </w:r>
        <w:r>
          <w:instrText xml:space="preserve"> PAGEREF _Toc93908305 \h </w:instrText>
        </w:r>
        <w:r>
          <w:fldChar w:fldCharType="separate"/>
        </w:r>
        <w:r>
          <w:t>- 4 -</w:t>
        </w:r>
        <w:r>
          <w:fldChar w:fldCharType="end"/>
        </w:r>
      </w:hyperlink>
    </w:p>
    <w:p>
      <w:pPr>
        <w:pStyle w:val="TOC2"/>
        <w:tabs>
          <w:tab w:val="right" w:leader="dot" w:pos="8400"/>
        </w:tabs>
        <w:ind w:right="-255"/>
        <w:rPr>
          <w:rFonts w:ascii="等线" w:eastAsia="等线" w:hAnsi="等线"/>
          <w:sz w:val="21"/>
          <w:szCs w:val="22"/>
        </w:rPr>
      </w:pPr>
      <w:hyperlink w:anchor="_Toc93908306" w:history="1">
        <w:r>
          <w:rPr>
            <w:rStyle w:val="Hyperlink"/>
            <w:b/>
          </w:rPr>
          <w:t>六、采购项目需落实的政府采购政策</w:t>
        </w:r>
        <w:r>
          <w:tab/>
        </w:r>
        <w:r>
          <w:fldChar w:fldCharType="begin"/>
        </w:r>
        <w:r>
          <w:instrText xml:space="preserve"> PAGEREF _Toc93908306 \h </w:instrText>
        </w:r>
        <w:r>
          <w:fldChar w:fldCharType="separate"/>
        </w:r>
        <w:r>
          <w:t>- 5 -</w:t>
        </w:r>
        <w:r>
          <w:fldChar w:fldCharType="end"/>
        </w:r>
      </w:hyperlink>
    </w:p>
    <w:p>
      <w:pPr>
        <w:pStyle w:val="TOC2"/>
        <w:tabs>
          <w:tab w:val="right" w:leader="dot" w:pos="8400"/>
        </w:tabs>
        <w:ind w:right="-255"/>
        <w:rPr>
          <w:rFonts w:ascii="等线" w:eastAsia="等线" w:hAnsi="等线"/>
          <w:sz w:val="21"/>
          <w:szCs w:val="22"/>
        </w:rPr>
      </w:pPr>
      <w:hyperlink w:anchor="_Toc93908307" w:history="1">
        <w:r>
          <w:rPr>
            <w:rStyle w:val="Hyperlink"/>
            <w:b/>
          </w:rPr>
          <w:t>七、投标有关规定</w:t>
        </w:r>
        <w:r>
          <w:tab/>
        </w:r>
        <w:r>
          <w:fldChar w:fldCharType="begin"/>
        </w:r>
        <w:r>
          <w:instrText xml:space="preserve"> PAGEREF _Toc93908307 \h </w:instrText>
        </w:r>
        <w:r>
          <w:fldChar w:fldCharType="separate"/>
        </w:r>
        <w:r>
          <w:t>- 5 -</w:t>
        </w:r>
        <w:r>
          <w:fldChar w:fldCharType="end"/>
        </w:r>
      </w:hyperlink>
    </w:p>
    <w:p>
      <w:pPr>
        <w:pStyle w:val="TOC2"/>
        <w:tabs>
          <w:tab w:val="right" w:leader="dot" w:pos="8400"/>
        </w:tabs>
        <w:ind w:right="-255"/>
        <w:rPr>
          <w:rFonts w:ascii="等线" w:eastAsia="等线" w:hAnsi="等线"/>
          <w:sz w:val="21"/>
          <w:szCs w:val="22"/>
        </w:rPr>
      </w:pPr>
      <w:hyperlink w:anchor="_Toc93908308" w:history="1">
        <w:r>
          <w:rPr>
            <w:rStyle w:val="Hyperlink"/>
            <w:b/>
          </w:rPr>
          <w:t>八、联系方式</w:t>
        </w:r>
        <w:r>
          <w:tab/>
        </w:r>
        <w:r>
          <w:fldChar w:fldCharType="begin"/>
        </w:r>
        <w:r>
          <w:instrText xml:space="preserve"> PAGEREF _Toc93908308 \h </w:instrText>
        </w:r>
        <w:r>
          <w:fldChar w:fldCharType="separate"/>
        </w:r>
        <w:r>
          <w:t>- 5 -</w:t>
        </w:r>
        <w:r>
          <w:fldChar w:fldCharType="end"/>
        </w:r>
      </w:hyperlink>
    </w:p>
    <w:p>
      <w:pPr>
        <w:pStyle w:val="TOC2"/>
        <w:tabs>
          <w:tab w:val="right" w:leader="dot" w:pos="8400"/>
        </w:tabs>
        <w:ind w:right="-255"/>
        <w:rPr>
          <w:rFonts w:ascii="等线" w:eastAsia="等线" w:hAnsi="等线"/>
          <w:sz w:val="21"/>
          <w:szCs w:val="22"/>
        </w:rPr>
      </w:pPr>
      <w:hyperlink w:anchor="_Toc93908309" w:history="1">
        <w:r>
          <w:rPr>
            <w:rStyle w:val="Hyperlink"/>
            <w:b/>
          </w:rPr>
          <w:t>第二篇 项目服务需求</w:t>
        </w:r>
        <w:r>
          <w:tab/>
        </w:r>
        <w:r>
          <w:fldChar w:fldCharType="begin"/>
        </w:r>
        <w:r>
          <w:instrText xml:space="preserve"> PAGEREF _Toc93908309 \h </w:instrText>
        </w:r>
        <w:r>
          <w:fldChar w:fldCharType="separate"/>
        </w:r>
        <w:r>
          <w:t>- 7 -</w:t>
        </w:r>
        <w:r>
          <w:fldChar w:fldCharType="end"/>
        </w:r>
      </w:hyperlink>
    </w:p>
    <w:p>
      <w:pPr>
        <w:pStyle w:val="TOC2"/>
        <w:tabs>
          <w:tab w:val="right" w:leader="dot" w:pos="8400"/>
        </w:tabs>
        <w:ind w:right="-255"/>
        <w:rPr>
          <w:rFonts w:ascii="等线" w:eastAsia="等线" w:hAnsi="等线"/>
          <w:sz w:val="21"/>
          <w:szCs w:val="22"/>
        </w:rPr>
      </w:pPr>
      <w:hyperlink w:anchor="_Toc93908310" w:history="1">
        <w:r>
          <w:rPr>
            <w:rStyle w:val="Hyperlink"/>
            <w:b/>
          </w:rPr>
          <w:t>一、招标项目一览表</w:t>
        </w:r>
        <w:r>
          <w:tab/>
        </w:r>
        <w:r>
          <w:fldChar w:fldCharType="begin"/>
        </w:r>
        <w:r>
          <w:instrText xml:space="preserve"> PAGEREF _Toc93908310 \h </w:instrText>
        </w:r>
        <w:r>
          <w:fldChar w:fldCharType="separate"/>
        </w:r>
        <w:r>
          <w:t>- 7 -</w:t>
        </w:r>
        <w:r>
          <w:fldChar w:fldCharType="end"/>
        </w:r>
      </w:hyperlink>
    </w:p>
    <w:p>
      <w:pPr>
        <w:pStyle w:val="TOC2"/>
        <w:tabs>
          <w:tab w:val="right" w:leader="dot" w:pos="8400"/>
        </w:tabs>
        <w:ind w:right="-255"/>
        <w:rPr>
          <w:rFonts w:ascii="等线" w:eastAsia="等线" w:hAnsi="等线"/>
          <w:sz w:val="21"/>
          <w:szCs w:val="22"/>
        </w:rPr>
      </w:pPr>
      <w:hyperlink w:anchor="_Toc93908311" w:history="1">
        <w:r>
          <w:rPr>
            <w:rStyle w:val="Hyperlink"/>
            <w:b/>
          </w:rPr>
          <w:t>※二、监理内容</w:t>
        </w:r>
        <w:r>
          <w:tab/>
        </w:r>
        <w:r>
          <w:fldChar w:fldCharType="begin"/>
        </w:r>
        <w:r>
          <w:instrText xml:space="preserve"> PAGEREF _Toc93908311 \h </w:instrText>
        </w:r>
        <w:r>
          <w:fldChar w:fldCharType="separate"/>
        </w:r>
        <w:r>
          <w:t>- 7 -</w:t>
        </w:r>
        <w:r>
          <w:fldChar w:fldCharType="end"/>
        </w:r>
      </w:hyperlink>
    </w:p>
    <w:p>
      <w:pPr>
        <w:pStyle w:val="TOC2"/>
        <w:tabs>
          <w:tab w:val="right" w:leader="dot" w:pos="8400"/>
        </w:tabs>
        <w:ind w:right="-255"/>
        <w:rPr>
          <w:rFonts w:ascii="等线" w:eastAsia="等线" w:hAnsi="等线"/>
          <w:sz w:val="21"/>
          <w:szCs w:val="22"/>
        </w:rPr>
      </w:pPr>
      <w:hyperlink w:anchor="_Toc93908312" w:history="1">
        <w:r>
          <w:rPr>
            <w:rStyle w:val="Hyperlink"/>
            <w:b/>
          </w:rPr>
          <w:t>※三、监理服务团队</w:t>
        </w:r>
        <w:r>
          <w:tab/>
        </w:r>
        <w:r>
          <w:fldChar w:fldCharType="begin"/>
        </w:r>
        <w:r>
          <w:instrText xml:space="preserve"> PAGEREF _Toc93908312 \h </w:instrText>
        </w:r>
        <w:r>
          <w:fldChar w:fldCharType="separate"/>
        </w:r>
        <w:r>
          <w:t>- 8 -</w:t>
        </w:r>
        <w:r>
          <w:fldChar w:fldCharType="end"/>
        </w:r>
      </w:hyperlink>
    </w:p>
    <w:p>
      <w:pPr>
        <w:pStyle w:val="TOC2"/>
        <w:tabs>
          <w:tab w:val="right" w:leader="dot" w:pos="8400"/>
        </w:tabs>
        <w:ind w:right="-255"/>
        <w:rPr>
          <w:rFonts w:ascii="等线" w:eastAsia="等线" w:hAnsi="等线"/>
          <w:sz w:val="21"/>
          <w:szCs w:val="22"/>
        </w:rPr>
      </w:pPr>
      <w:hyperlink w:anchor="_Toc93908313" w:history="1">
        <w:r>
          <w:rPr>
            <w:rStyle w:val="Hyperlink"/>
            <w:b/>
          </w:rPr>
          <w:t>第三篇  项目商务要求</w:t>
        </w:r>
        <w:r>
          <w:tab/>
        </w:r>
        <w:r>
          <w:fldChar w:fldCharType="begin"/>
        </w:r>
        <w:r>
          <w:instrText xml:space="preserve"> PAGEREF _Toc93908313 \h </w:instrText>
        </w:r>
        <w:r>
          <w:fldChar w:fldCharType="separate"/>
        </w:r>
        <w:r>
          <w:t>- 9 -</w:t>
        </w:r>
        <w:r>
          <w:fldChar w:fldCharType="end"/>
        </w:r>
      </w:hyperlink>
    </w:p>
    <w:p>
      <w:pPr>
        <w:pStyle w:val="TOC2"/>
        <w:tabs>
          <w:tab w:val="right" w:leader="dot" w:pos="8400"/>
        </w:tabs>
        <w:ind w:right="-255"/>
        <w:rPr>
          <w:rFonts w:ascii="等线" w:eastAsia="等线" w:hAnsi="等线"/>
          <w:sz w:val="21"/>
          <w:szCs w:val="22"/>
        </w:rPr>
      </w:pPr>
      <w:hyperlink w:anchor="_Toc93908314" w:history="1">
        <w:r>
          <w:rPr>
            <w:rStyle w:val="Hyperlink"/>
            <w:b/>
          </w:rPr>
          <w:t>一、服务时间、地点及验收方式</w:t>
        </w:r>
        <w:r>
          <w:tab/>
        </w:r>
        <w:r>
          <w:fldChar w:fldCharType="begin"/>
        </w:r>
        <w:r>
          <w:instrText xml:space="preserve"> PAGEREF _Toc93908314 \h </w:instrText>
        </w:r>
        <w:r>
          <w:fldChar w:fldCharType="separate"/>
        </w:r>
        <w:r>
          <w:t>- 9 -</w:t>
        </w:r>
        <w:r>
          <w:fldChar w:fldCharType="end"/>
        </w:r>
      </w:hyperlink>
    </w:p>
    <w:p>
      <w:pPr>
        <w:pStyle w:val="TOC2"/>
        <w:tabs>
          <w:tab w:val="right" w:leader="dot" w:pos="8400"/>
        </w:tabs>
        <w:ind w:right="-255"/>
        <w:rPr>
          <w:rFonts w:ascii="等线" w:eastAsia="等线" w:hAnsi="等线"/>
          <w:sz w:val="21"/>
          <w:szCs w:val="22"/>
        </w:rPr>
      </w:pPr>
      <w:hyperlink w:anchor="_Toc93908315" w:history="1">
        <w:r>
          <w:rPr>
            <w:rStyle w:val="Hyperlink"/>
            <w:b/>
          </w:rPr>
          <w:t>※四、履约保证金</w:t>
        </w:r>
        <w:r>
          <w:tab/>
        </w:r>
        <w:r>
          <w:fldChar w:fldCharType="begin"/>
        </w:r>
        <w:r>
          <w:instrText xml:space="preserve"> PAGEREF _Toc93908315 \h </w:instrText>
        </w:r>
        <w:r>
          <w:fldChar w:fldCharType="separate"/>
        </w:r>
        <w:r>
          <w:t>- 10 -</w:t>
        </w:r>
        <w:r>
          <w:fldChar w:fldCharType="end"/>
        </w:r>
      </w:hyperlink>
    </w:p>
    <w:p>
      <w:pPr>
        <w:pStyle w:val="TOC2"/>
        <w:tabs>
          <w:tab w:val="right" w:leader="dot" w:pos="8400"/>
        </w:tabs>
        <w:ind w:right="-255"/>
        <w:rPr>
          <w:rFonts w:ascii="等线" w:eastAsia="等线" w:hAnsi="等线"/>
          <w:sz w:val="21"/>
          <w:szCs w:val="22"/>
        </w:rPr>
      </w:pPr>
      <w:hyperlink w:anchor="_Toc93908316" w:history="1">
        <w:r>
          <w:rPr>
            <w:rStyle w:val="Hyperlink"/>
            <w:b/>
          </w:rPr>
          <w:t>※五、违约条款</w:t>
        </w:r>
        <w:r>
          <w:tab/>
        </w:r>
        <w:r>
          <w:fldChar w:fldCharType="begin"/>
        </w:r>
        <w:r>
          <w:instrText xml:space="preserve"> PAGEREF _Toc93908316 \h </w:instrText>
        </w:r>
        <w:r>
          <w:fldChar w:fldCharType="separate"/>
        </w:r>
        <w:r>
          <w:t>- 10 -</w:t>
        </w:r>
        <w:r>
          <w:fldChar w:fldCharType="end"/>
        </w:r>
      </w:hyperlink>
    </w:p>
    <w:p>
      <w:pPr>
        <w:pStyle w:val="TOC2"/>
        <w:tabs>
          <w:tab w:val="right" w:leader="dot" w:pos="8400"/>
        </w:tabs>
        <w:ind w:right="-255"/>
        <w:rPr>
          <w:rFonts w:ascii="等线" w:eastAsia="等线" w:hAnsi="等线"/>
          <w:sz w:val="21"/>
          <w:szCs w:val="22"/>
        </w:rPr>
      </w:pPr>
      <w:hyperlink w:anchor="_Toc93908317" w:history="1">
        <w:r>
          <w:rPr>
            <w:rStyle w:val="Hyperlink"/>
            <w:b/>
          </w:rPr>
          <w:t>※七、保密要求</w:t>
        </w:r>
        <w:r>
          <w:tab/>
        </w:r>
        <w:r>
          <w:fldChar w:fldCharType="begin"/>
        </w:r>
        <w:r>
          <w:instrText xml:space="preserve"> PAGEREF _Toc93908317 \h </w:instrText>
        </w:r>
        <w:r>
          <w:fldChar w:fldCharType="separate"/>
        </w:r>
        <w:r>
          <w:t>- 10 -</w:t>
        </w:r>
        <w:r>
          <w:fldChar w:fldCharType="end"/>
        </w:r>
      </w:hyperlink>
    </w:p>
    <w:p>
      <w:pPr>
        <w:pStyle w:val="TOC2"/>
        <w:tabs>
          <w:tab w:val="right" w:leader="dot" w:pos="8400"/>
        </w:tabs>
        <w:ind w:right="-255"/>
        <w:rPr>
          <w:rFonts w:ascii="等线" w:eastAsia="等线" w:hAnsi="等线"/>
          <w:sz w:val="21"/>
          <w:szCs w:val="22"/>
        </w:rPr>
      </w:pPr>
      <w:hyperlink w:anchor="_Toc93908318" w:history="1">
        <w:r>
          <w:rPr>
            <w:rStyle w:val="Hyperlink"/>
            <w:b/>
          </w:rPr>
          <w:t>※八、不可抗力</w:t>
        </w:r>
        <w:r>
          <w:tab/>
        </w:r>
        <w:r>
          <w:fldChar w:fldCharType="begin"/>
        </w:r>
        <w:r>
          <w:instrText xml:space="preserve"> PAGEREF _Toc93908318 \h </w:instrText>
        </w:r>
        <w:r>
          <w:fldChar w:fldCharType="separate"/>
        </w:r>
        <w:r>
          <w:t>- 10 -</w:t>
        </w:r>
        <w:r>
          <w:fldChar w:fldCharType="end"/>
        </w:r>
      </w:hyperlink>
    </w:p>
    <w:p>
      <w:pPr>
        <w:pStyle w:val="TOC2"/>
        <w:tabs>
          <w:tab w:val="right" w:leader="dot" w:pos="8400"/>
        </w:tabs>
        <w:ind w:right="-255"/>
        <w:rPr>
          <w:rFonts w:ascii="等线" w:eastAsia="等线" w:hAnsi="等线"/>
          <w:sz w:val="21"/>
          <w:szCs w:val="22"/>
        </w:rPr>
      </w:pPr>
      <w:hyperlink w:anchor="_Toc93908319" w:history="1">
        <w:r>
          <w:rPr>
            <w:rStyle w:val="Hyperlink"/>
            <w:b/>
          </w:rPr>
          <w:t>九、其他</w:t>
        </w:r>
        <w:r>
          <w:tab/>
        </w:r>
        <w:r>
          <w:fldChar w:fldCharType="begin"/>
        </w:r>
        <w:r>
          <w:instrText xml:space="preserve"> PAGEREF _Toc93908319 \h </w:instrText>
        </w:r>
        <w:r>
          <w:fldChar w:fldCharType="separate"/>
        </w:r>
        <w:r>
          <w:t>- 10 -</w:t>
        </w:r>
        <w:r>
          <w:fldChar w:fldCharType="end"/>
        </w:r>
      </w:hyperlink>
    </w:p>
    <w:p>
      <w:pPr>
        <w:pStyle w:val="TOC2"/>
        <w:tabs>
          <w:tab w:val="right" w:leader="dot" w:pos="8400"/>
        </w:tabs>
        <w:ind w:right="-255"/>
        <w:rPr>
          <w:rFonts w:ascii="等线" w:eastAsia="等线" w:hAnsi="等线"/>
          <w:sz w:val="21"/>
          <w:szCs w:val="22"/>
        </w:rPr>
      </w:pPr>
      <w:hyperlink w:anchor="_Toc93908320" w:history="1">
        <w:r>
          <w:rPr>
            <w:rStyle w:val="Hyperlink"/>
            <w:b/>
          </w:rPr>
          <w:t>第四篇  资格审查及评标办法</w:t>
        </w:r>
        <w:r>
          <w:tab/>
        </w:r>
        <w:r>
          <w:fldChar w:fldCharType="begin"/>
        </w:r>
        <w:r>
          <w:instrText xml:space="preserve"> PAGEREF _Toc93908320 \h </w:instrText>
        </w:r>
        <w:r>
          <w:fldChar w:fldCharType="separate"/>
        </w:r>
        <w:r>
          <w:t>- 11 -</w:t>
        </w:r>
        <w:r>
          <w:fldChar w:fldCharType="end"/>
        </w:r>
      </w:hyperlink>
    </w:p>
    <w:p>
      <w:pPr>
        <w:pStyle w:val="TOC2"/>
        <w:tabs>
          <w:tab w:val="right" w:leader="dot" w:pos="8400"/>
        </w:tabs>
        <w:ind w:right="-255"/>
        <w:rPr>
          <w:rFonts w:ascii="等线" w:eastAsia="等线" w:hAnsi="等线"/>
          <w:sz w:val="21"/>
          <w:szCs w:val="22"/>
        </w:rPr>
      </w:pPr>
      <w:hyperlink w:anchor="_Toc93908321" w:history="1">
        <w:r>
          <w:rPr>
            <w:rStyle w:val="Hyperlink"/>
            <w:b/>
          </w:rPr>
          <w:t>一、资格审查</w:t>
        </w:r>
        <w:r>
          <w:tab/>
        </w:r>
        <w:r>
          <w:fldChar w:fldCharType="begin"/>
        </w:r>
        <w:r>
          <w:instrText xml:space="preserve"> PAGEREF _Toc93908321 \h </w:instrText>
        </w:r>
        <w:r>
          <w:fldChar w:fldCharType="separate"/>
        </w:r>
        <w:r>
          <w:t>- 11 -</w:t>
        </w:r>
        <w:r>
          <w:fldChar w:fldCharType="end"/>
        </w:r>
      </w:hyperlink>
    </w:p>
    <w:p>
      <w:pPr>
        <w:pStyle w:val="TOC2"/>
        <w:tabs>
          <w:tab w:val="right" w:leader="dot" w:pos="8400"/>
        </w:tabs>
        <w:ind w:right="-255"/>
        <w:rPr>
          <w:rFonts w:ascii="等线" w:eastAsia="等线" w:hAnsi="等线"/>
          <w:sz w:val="21"/>
          <w:szCs w:val="22"/>
        </w:rPr>
      </w:pPr>
      <w:hyperlink w:anchor="_Toc93908322" w:history="1">
        <w:r>
          <w:rPr>
            <w:rStyle w:val="Hyperlink"/>
            <w:b/>
          </w:rPr>
          <w:t>二、评标方法</w:t>
        </w:r>
        <w:r>
          <w:tab/>
        </w:r>
        <w:r>
          <w:fldChar w:fldCharType="begin"/>
        </w:r>
        <w:r>
          <w:instrText xml:space="preserve"> PAGEREF _Toc93908322 \h </w:instrText>
        </w:r>
        <w:r>
          <w:fldChar w:fldCharType="separate"/>
        </w:r>
        <w:r>
          <w:t>- 12 -</w:t>
        </w:r>
        <w:r>
          <w:fldChar w:fldCharType="end"/>
        </w:r>
      </w:hyperlink>
    </w:p>
    <w:p>
      <w:pPr>
        <w:pStyle w:val="TOC2"/>
        <w:tabs>
          <w:tab w:val="right" w:leader="dot" w:pos="8400"/>
        </w:tabs>
        <w:ind w:right="-255"/>
        <w:rPr>
          <w:rFonts w:ascii="等线" w:eastAsia="等线" w:hAnsi="等线"/>
          <w:sz w:val="21"/>
          <w:szCs w:val="22"/>
        </w:rPr>
      </w:pPr>
      <w:hyperlink w:anchor="_Toc93908323" w:history="1">
        <w:r>
          <w:rPr>
            <w:rStyle w:val="Hyperlink"/>
            <w:b/>
          </w:rPr>
          <w:t>三、评标标准</w:t>
        </w:r>
        <w:r>
          <w:tab/>
        </w:r>
        <w:r>
          <w:fldChar w:fldCharType="begin"/>
        </w:r>
        <w:r>
          <w:instrText xml:space="preserve"> PAGEREF _Toc93908323 \h </w:instrText>
        </w:r>
        <w:r>
          <w:fldChar w:fldCharType="separate"/>
        </w:r>
        <w:r>
          <w:t>- 13 -</w:t>
        </w:r>
        <w:r>
          <w:fldChar w:fldCharType="end"/>
        </w:r>
      </w:hyperlink>
    </w:p>
    <w:p>
      <w:pPr>
        <w:pStyle w:val="TOC2"/>
        <w:tabs>
          <w:tab w:val="right" w:leader="dot" w:pos="8400"/>
        </w:tabs>
        <w:ind w:right="-255"/>
        <w:rPr>
          <w:rFonts w:ascii="等线" w:eastAsia="等线" w:hAnsi="等线"/>
          <w:sz w:val="21"/>
          <w:szCs w:val="22"/>
        </w:rPr>
      </w:pPr>
      <w:hyperlink w:anchor="_Toc93908324" w:history="1">
        <w:r>
          <w:rPr>
            <w:rStyle w:val="Hyperlink"/>
            <w:b/>
          </w:rPr>
          <w:t>四、无效投标条款</w:t>
        </w:r>
        <w:r>
          <w:tab/>
        </w:r>
        <w:r>
          <w:fldChar w:fldCharType="begin"/>
        </w:r>
        <w:r>
          <w:instrText xml:space="preserve"> PAGEREF _Toc93908324 \h </w:instrText>
        </w:r>
        <w:r>
          <w:fldChar w:fldCharType="separate"/>
        </w:r>
        <w:r>
          <w:t>- 15 -</w:t>
        </w:r>
        <w:r>
          <w:fldChar w:fldCharType="end"/>
        </w:r>
      </w:hyperlink>
    </w:p>
    <w:p>
      <w:pPr>
        <w:pStyle w:val="TOC2"/>
        <w:tabs>
          <w:tab w:val="right" w:leader="dot" w:pos="8400"/>
        </w:tabs>
        <w:ind w:right="-255"/>
        <w:rPr>
          <w:rFonts w:ascii="等线" w:eastAsia="等线" w:hAnsi="等线"/>
          <w:sz w:val="21"/>
          <w:szCs w:val="22"/>
        </w:rPr>
      </w:pPr>
      <w:hyperlink w:anchor="_Toc93908325" w:history="1">
        <w:r>
          <w:rPr>
            <w:rStyle w:val="Hyperlink"/>
            <w:b/>
          </w:rPr>
          <w:t>五、废标条款</w:t>
        </w:r>
        <w:r>
          <w:tab/>
        </w:r>
        <w:r>
          <w:fldChar w:fldCharType="begin"/>
        </w:r>
        <w:r>
          <w:instrText xml:space="preserve"> PAGEREF _Toc93908325 \h </w:instrText>
        </w:r>
        <w:r>
          <w:fldChar w:fldCharType="separate"/>
        </w:r>
        <w:r>
          <w:t>- 15 -</w:t>
        </w:r>
        <w:r>
          <w:fldChar w:fldCharType="end"/>
        </w:r>
      </w:hyperlink>
    </w:p>
    <w:p>
      <w:pPr>
        <w:pStyle w:val="TOC2"/>
        <w:tabs>
          <w:tab w:val="right" w:leader="dot" w:pos="8400"/>
        </w:tabs>
        <w:ind w:right="-255"/>
        <w:rPr>
          <w:rFonts w:ascii="等线" w:eastAsia="等线" w:hAnsi="等线"/>
          <w:sz w:val="21"/>
          <w:szCs w:val="22"/>
        </w:rPr>
      </w:pPr>
      <w:hyperlink w:anchor="_Toc93908326" w:history="1">
        <w:r>
          <w:rPr>
            <w:rStyle w:val="Hyperlink"/>
            <w:b/>
          </w:rPr>
          <w:t>第五篇  投标人须知</w:t>
        </w:r>
        <w:r>
          <w:tab/>
        </w:r>
        <w:r>
          <w:fldChar w:fldCharType="begin"/>
        </w:r>
        <w:r>
          <w:instrText xml:space="preserve"> PAGEREF _Toc93908326 \h </w:instrText>
        </w:r>
        <w:r>
          <w:fldChar w:fldCharType="separate"/>
        </w:r>
        <w:r>
          <w:t>- 16 -</w:t>
        </w:r>
        <w:r>
          <w:fldChar w:fldCharType="end"/>
        </w:r>
      </w:hyperlink>
    </w:p>
    <w:p>
      <w:pPr>
        <w:pStyle w:val="TOC2"/>
        <w:tabs>
          <w:tab w:val="right" w:leader="dot" w:pos="8400"/>
        </w:tabs>
        <w:ind w:right="-255"/>
        <w:rPr>
          <w:rFonts w:ascii="等线" w:eastAsia="等线" w:hAnsi="等线"/>
          <w:sz w:val="21"/>
          <w:szCs w:val="22"/>
        </w:rPr>
      </w:pPr>
      <w:hyperlink w:anchor="_Toc93908327" w:history="1">
        <w:r>
          <w:rPr>
            <w:rStyle w:val="Hyperlink"/>
            <w:b/>
          </w:rPr>
          <w:t>一、投标人</w:t>
        </w:r>
        <w:r>
          <w:tab/>
        </w:r>
        <w:r>
          <w:fldChar w:fldCharType="begin"/>
        </w:r>
        <w:r>
          <w:instrText xml:space="preserve"> PAGEREF _Toc93908327 \h </w:instrText>
        </w:r>
        <w:r>
          <w:fldChar w:fldCharType="separate"/>
        </w:r>
        <w:r>
          <w:t>- 16 -</w:t>
        </w:r>
        <w:r>
          <w:fldChar w:fldCharType="end"/>
        </w:r>
      </w:hyperlink>
    </w:p>
    <w:p>
      <w:pPr>
        <w:pStyle w:val="TOC2"/>
        <w:tabs>
          <w:tab w:val="right" w:leader="dot" w:pos="8400"/>
        </w:tabs>
        <w:ind w:right="-255"/>
        <w:rPr>
          <w:rFonts w:ascii="等线" w:eastAsia="等线" w:hAnsi="等线"/>
          <w:sz w:val="21"/>
          <w:szCs w:val="22"/>
        </w:rPr>
      </w:pPr>
      <w:hyperlink w:anchor="_Toc93908328" w:history="1">
        <w:r>
          <w:rPr>
            <w:rStyle w:val="Hyperlink"/>
            <w:b/>
          </w:rPr>
          <w:t>二、招标文件</w:t>
        </w:r>
        <w:r>
          <w:tab/>
        </w:r>
        <w:r>
          <w:fldChar w:fldCharType="begin"/>
        </w:r>
        <w:r>
          <w:instrText xml:space="preserve"> PAGEREF _Toc93908328 \h </w:instrText>
        </w:r>
        <w:r>
          <w:fldChar w:fldCharType="separate"/>
        </w:r>
        <w:r>
          <w:t>- 16 -</w:t>
        </w:r>
        <w:r>
          <w:fldChar w:fldCharType="end"/>
        </w:r>
      </w:hyperlink>
    </w:p>
    <w:p>
      <w:pPr>
        <w:pStyle w:val="TOC2"/>
        <w:tabs>
          <w:tab w:val="right" w:leader="dot" w:pos="8400"/>
        </w:tabs>
        <w:ind w:right="-255"/>
        <w:rPr>
          <w:rFonts w:ascii="等线" w:eastAsia="等线" w:hAnsi="等线"/>
          <w:sz w:val="21"/>
          <w:szCs w:val="22"/>
        </w:rPr>
      </w:pPr>
      <w:hyperlink w:anchor="_Toc93908329" w:history="1">
        <w:r>
          <w:rPr>
            <w:rStyle w:val="Hyperlink"/>
            <w:b/>
          </w:rPr>
          <w:t>三、投标文件</w:t>
        </w:r>
        <w:r>
          <w:tab/>
        </w:r>
        <w:r>
          <w:fldChar w:fldCharType="begin"/>
        </w:r>
        <w:r>
          <w:instrText xml:space="preserve"> PAGEREF _Toc93908329 \h </w:instrText>
        </w:r>
        <w:r>
          <w:fldChar w:fldCharType="separate"/>
        </w:r>
        <w:r>
          <w:t>- 16 -</w:t>
        </w:r>
        <w:r>
          <w:fldChar w:fldCharType="end"/>
        </w:r>
      </w:hyperlink>
    </w:p>
    <w:p>
      <w:pPr>
        <w:pStyle w:val="TOC2"/>
        <w:tabs>
          <w:tab w:val="right" w:leader="dot" w:pos="8400"/>
        </w:tabs>
        <w:ind w:right="-255"/>
        <w:rPr>
          <w:rFonts w:ascii="等线" w:eastAsia="等线" w:hAnsi="等线"/>
          <w:sz w:val="21"/>
          <w:szCs w:val="22"/>
        </w:rPr>
      </w:pPr>
      <w:hyperlink w:anchor="_Toc93908330" w:history="1">
        <w:r>
          <w:rPr>
            <w:rStyle w:val="Hyperlink"/>
            <w:b/>
          </w:rPr>
          <w:t>四、开标</w:t>
        </w:r>
        <w:r>
          <w:tab/>
        </w:r>
        <w:r>
          <w:fldChar w:fldCharType="begin"/>
        </w:r>
        <w:r>
          <w:instrText xml:space="preserve"> PAGEREF _Toc93908330 \h </w:instrText>
        </w:r>
        <w:r>
          <w:fldChar w:fldCharType="separate"/>
        </w:r>
        <w:r>
          <w:t>- 19 -</w:t>
        </w:r>
        <w:r>
          <w:fldChar w:fldCharType="end"/>
        </w:r>
      </w:hyperlink>
    </w:p>
    <w:p>
      <w:pPr>
        <w:pStyle w:val="TOC2"/>
        <w:tabs>
          <w:tab w:val="right" w:leader="dot" w:pos="8400"/>
        </w:tabs>
        <w:ind w:right="-255"/>
        <w:rPr>
          <w:rFonts w:ascii="等线" w:eastAsia="等线" w:hAnsi="等线"/>
          <w:sz w:val="21"/>
          <w:szCs w:val="22"/>
        </w:rPr>
        <w:sectPr>
          <w:headerReference w:type="default" r:id="rId8"/>
          <w:footerReference w:type="even" r:id="rId9"/>
          <w:footerReference w:type="default" r:id="rId10"/>
          <w:headerReference w:type="first" r:id="rId11"/>
          <w:pgSz w:w="11907" w:h="16840"/>
          <w:pgMar w:top="1134" w:right="1191" w:bottom="1134" w:left="1191" w:header="964" w:footer="992" w:gutter="0"/>
          <w:pgNumType w:fmt="numberInDash" w:start="1"/>
          <w:cols w:space="708"/>
          <w:docGrid w:linePitch="312"/>
        </w:sectPr>
      </w:pPr>
      <w:hyperlink w:anchor="_Toc93908331" w:history="1">
        <w:r>
          <w:rPr>
            <w:rStyle w:val="Hyperlink"/>
            <w:b/>
          </w:rPr>
          <w:t>五、评标</w:t>
        </w:r>
        <w:r>
          <w:tab/>
        </w:r>
        <w:r>
          <w:fldChar w:fldCharType="begin"/>
        </w:r>
        <w:r>
          <w:instrText xml:space="preserve"> PAGEREF _Toc93908331 \h </w:instrText>
        </w:r>
        <w:r>
          <w:fldChar w:fldCharType="separate"/>
        </w:r>
        <w:r>
          <w:t>- 19 -</w:t>
        </w:r>
        <w:r>
          <w:fldChar w:fldCharType="end"/>
        </w:r>
      </w:hyperlink>
    </w:p>
    <w:p>
      <w:pPr>
        <w:pStyle w:val="TOC2"/>
        <w:tabs>
          <w:tab w:val="right" w:leader="dot" w:pos="8400"/>
        </w:tabs>
        <w:ind w:right="-255"/>
        <w:rPr>
          <w:rFonts w:ascii="等线" w:eastAsia="等线" w:hAnsi="等线"/>
          <w:sz w:val="21"/>
          <w:szCs w:val="22"/>
        </w:rPr>
      </w:pPr>
      <w:hyperlink w:anchor="_Toc93908332" w:history="1">
        <w:r>
          <w:rPr>
            <w:rStyle w:val="Hyperlink"/>
            <w:b/>
          </w:rPr>
          <w:t>六、定标</w:t>
        </w:r>
        <w:r>
          <w:tab/>
        </w:r>
        <w:r>
          <w:fldChar w:fldCharType="begin"/>
        </w:r>
        <w:r>
          <w:instrText xml:space="preserve"> PAGEREF _Toc93908332 \h </w:instrText>
        </w:r>
        <w:r>
          <w:fldChar w:fldCharType="separate"/>
        </w:r>
        <w:r>
          <w:t>- 19 -</w:t>
        </w:r>
        <w:r>
          <w:fldChar w:fldCharType="end"/>
        </w:r>
      </w:hyperlink>
    </w:p>
    <w:p>
      <w:pPr>
        <w:pStyle w:val="TOC2"/>
        <w:tabs>
          <w:tab w:val="right" w:leader="dot" w:pos="8400"/>
        </w:tabs>
        <w:ind w:right="-255"/>
        <w:rPr>
          <w:rFonts w:ascii="等线" w:eastAsia="等线" w:hAnsi="等线"/>
          <w:sz w:val="21"/>
          <w:szCs w:val="22"/>
        </w:rPr>
      </w:pPr>
      <w:hyperlink w:anchor="_Toc93908333" w:history="1">
        <w:r>
          <w:rPr>
            <w:rStyle w:val="Hyperlink"/>
            <w:b/>
          </w:rPr>
          <w:t>七、中标通知书</w:t>
        </w:r>
        <w:r>
          <w:tab/>
        </w:r>
        <w:r>
          <w:fldChar w:fldCharType="begin"/>
        </w:r>
        <w:r>
          <w:instrText xml:space="preserve"> PAGEREF _Toc93908333 \h </w:instrText>
        </w:r>
        <w:r>
          <w:fldChar w:fldCharType="separate"/>
        </w:r>
        <w:r>
          <w:t>- 20 -</w:t>
        </w:r>
        <w:r>
          <w:fldChar w:fldCharType="end"/>
        </w:r>
      </w:hyperlink>
    </w:p>
    <w:p>
      <w:pPr>
        <w:pStyle w:val="TOC2"/>
        <w:tabs>
          <w:tab w:val="right" w:leader="dot" w:pos="8400"/>
        </w:tabs>
        <w:ind w:right="-255"/>
        <w:rPr>
          <w:rFonts w:ascii="等线" w:eastAsia="等线" w:hAnsi="等线"/>
          <w:sz w:val="21"/>
          <w:szCs w:val="22"/>
        </w:rPr>
      </w:pPr>
      <w:hyperlink w:anchor="_Toc93908334" w:history="1">
        <w:r>
          <w:rPr>
            <w:rStyle w:val="Hyperlink"/>
            <w:b/>
          </w:rPr>
          <w:t>八、询问、质疑和投诉</w:t>
        </w:r>
        <w:r>
          <w:tab/>
        </w:r>
        <w:r>
          <w:fldChar w:fldCharType="begin"/>
        </w:r>
        <w:r>
          <w:instrText xml:space="preserve"> PAGEREF _Toc93908334 \h </w:instrText>
        </w:r>
        <w:r>
          <w:fldChar w:fldCharType="separate"/>
        </w:r>
        <w:r>
          <w:t>- 20 -</w:t>
        </w:r>
        <w:r>
          <w:fldChar w:fldCharType="end"/>
        </w:r>
      </w:hyperlink>
    </w:p>
    <w:p>
      <w:pPr>
        <w:pStyle w:val="TOC2"/>
        <w:tabs>
          <w:tab w:val="right" w:leader="dot" w:pos="8400"/>
        </w:tabs>
        <w:ind w:right="-255"/>
        <w:rPr>
          <w:rFonts w:ascii="等线" w:eastAsia="等线" w:hAnsi="等线"/>
          <w:sz w:val="21"/>
          <w:szCs w:val="22"/>
        </w:rPr>
      </w:pPr>
      <w:hyperlink w:anchor="_Toc93908335" w:history="1">
        <w:r>
          <w:rPr>
            <w:rStyle w:val="Hyperlink"/>
            <w:b/>
          </w:rPr>
          <w:t>九、招标代理服务费</w:t>
        </w:r>
        <w:r>
          <w:tab/>
        </w:r>
        <w:r>
          <w:fldChar w:fldCharType="begin"/>
        </w:r>
        <w:r>
          <w:instrText xml:space="preserve"> PAGEREF _Toc93908335 \h </w:instrText>
        </w:r>
        <w:r>
          <w:fldChar w:fldCharType="separate"/>
        </w:r>
        <w:r>
          <w:t>- 21 -</w:t>
        </w:r>
        <w:r>
          <w:fldChar w:fldCharType="end"/>
        </w:r>
      </w:hyperlink>
    </w:p>
    <w:p>
      <w:pPr>
        <w:pStyle w:val="TOC2"/>
        <w:tabs>
          <w:tab w:val="right" w:leader="dot" w:pos="8400"/>
        </w:tabs>
        <w:ind w:right="-255"/>
        <w:rPr>
          <w:rFonts w:ascii="等线" w:eastAsia="等线" w:hAnsi="等线"/>
          <w:sz w:val="21"/>
          <w:szCs w:val="22"/>
        </w:rPr>
      </w:pPr>
      <w:hyperlink w:anchor="_Toc93908336" w:history="1">
        <w:r>
          <w:rPr>
            <w:rStyle w:val="Hyperlink"/>
            <w:b/>
          </w:rPr>
          <w:t>十、签订合同</w:t>
        </w:r>
        <w:r>
          <w:tab/>
        </w:r>
        <w:r>
          <w:fldChar w:fldCharType="begin"/>
        </w:r>
        <w:r>
          <w:instrText xml:space="preserve"> PAGEREF _Toc93908336 \h </w:instrText>
        </w:r>
        <w:r>
          <w:fldChar w:fldCharType="separate"/>
        </w:r>
        <w:r>
          <w:t>- 21 -</w:t>
        </w:r>
        <w:r>
          <w:fldChar w:fldCharType="end"/>
        </w:r>
      </w:hyperlink>
    </w:p>
    <w:p>
      <w:pPr>
        <w:pStyle w:val="TOC2"/>
        <w:tabs>
          <w:tab w:val="right" w:leader="dot" w:pos="8400"/>
        </w:tabs>
        <w:ind w:right="-255"/>
        <w:rPr>
          <w:rFonts w:ascii="等线" w:eastAsia="等线" w:hAnsi="等线"/>
          <w:sz w:val="21"/>
          <w:szCs w:val="22"/>
        </w:rPr>
      </w:pPr>
      <w:hyperlink w:anchor="_Toc93908337" w:history="1">
        <w:r>
          <w:rPr>
            <w:rStyle w:val="Hyperlink"/>
            <w:b/>
          </w:rPr>
          <w:t>第六篇  合同主要条款和格式合同（样本）</w:t>
        </w:r>
        <w:r>
          <w:tab/>
        </w:r>
        <w:r>
          <w:fldChar w:fldCharType="begin"/>
        </w:r>
        <w:r>
          <w:instrText xml:space="preserve"> PAGEREF _Toc93908337 \h </w:instrText>
        </w:r>
        <w:r>
          <w:fldChar w:fldCharType="separate"/>
        </w:r>
        <w:r>
          <w:t>- 23 -</w:t>
        </w:r>
        <w:r>
          <w:fldChar w:fldCharType="end"/>
        </w:r>
      </w:hyperlink>
    </w:p>
    <w:p>
      <w:pPr>
        <w:pStyle w:val="TOC2"/>
        <w:tabs>
          <w:tab w:val="right" w:leader="dot" w:pos="8400"/>
        </w:tabs>
        <w:ind w:right="-255"/>
        <w:rPr>
          <w:rFonts w:ascii="等线" w:eastAsia="等线" w:hAnsi="等线"/>
          <w:sz w:val="21"/>
          <w:szCs w:val="22"/>
        </w:rPr>
      </w:pPr>
      <w:hyperlink w:anchor="_Toc93908338" w:history="1">
        <w:r>
          <w:rPr>
            <w:rStyle w:val="Hyperlink"/>
            <w:b/>
          </w:rPr>
          <w:t>二、政府采购合同（格式）</w:t>
        </w:r>
        <w:r>
          <w:tab/>
        </w:r>
        <w:r>
          <w:fldChar w:fldCharType="begin"/>
        </w:r>
        <w:r>
          <w:instrText xml:space="preserve"> PAGEREF _Toc93908338 \h </w:instrText>
        </w:r>
        <w:r>
          <w:fldChar w:fldCharType="separate"/>
        </w:r>
        <w:r>
          <w:t>- 25 -</w:t>
        </w:r>
        <w:r>
          <w:fldChar w:fldCharType="end"/>
        </w:r>
      </w:hyperlink>
    </w:p>
    <w:p>
      <w:pPr>
        <w:pStyle w:val="TOC2"/>
        <w:tabs>
          <w:tab w:val="right" w:leader="dot" w:pos="8400"/>
        </w:tabs>
        <w:ind w:right="-255"/>
        <w:rPr>
          <w:rFonts w:ascii="等线" w:eastAsia="等线" w:hAnsi="等线"/>
          <w:sz w:val="21"/>
          <w:szCs w:val="22"/>
        </w:rPr>
      </w:pPr>
      <w:hyperlink w:anchor="_Toc93908339" w:history="1">
        <w:r>
          <w:rPr>
            <w:rStyle w:val="Hyperlink"/>
            <w:b/>
          </w:rPr>
          <w:t>第七篇  投标文件格式</w:t>
        </w:r>
        <w:r>
          <w:tab/>
        </w:r>
        <w:r>
          <w:fldChar w:fldCharType="begin"/>
        </w:r>
        <w:r>
          <w:instrText xml:space="preserve"> PAGEREF _Toc93908339 \h </w:instrText>
        </w:r>
        <w:r>
          <w:fldChar w:fldCharType="separate"/>
        </w:r>
        <w:r>
          <w:t>- 30 -</w:t>
        </w:r>
        <w:r>
          <w:fldChar w:fldCharType="end"/>
        </w:r>
      </w:hyperlink>
    </w:p>
    <w:p>
      <w:pPr>
        <w:pStyle w:val="TOC2"/>
        <w:tabs>
          <w:tab w:val="right" w:leader="dot" w:pos="8400"/>
        </w:tabs>
        <w:ind w:right="-255"/>
        <w:rPr>
          <w:rFonts w:ascii="等线" w:eastAsia="等线" w:hAnsi="等线"/>
          <w:sz w:val="21"/>
          <w:szCs w:val="22"/>
        </w:rPr>
      </w:pPr>
      <w:hyperlink w:anchor="_Toc93908340" w:history="1">
        <w:r>
          <w:rPr>
            <w:rStyle w:val="Hyperlink"/>
            <w:b/>
          </w:rPr>
          <w:t>一、经济文件</w:t>
        </w:r>
        <w:r>
          <w:tab/>
        </w:r>
        <w:r>
          <w:fldChar w:fldCharType="begin"/>
        </w:r>
        <w:r>
          <w:instrText xml:space="preserve"> PAGEREF _Toc93908340 \h </w:instrText>
        </w:r>
        <w:r>
          <w:fldChar w:fldCharType="separate"/>
        </w:r>
        <w:r>
          <w:t>- 30 -</w:t>
        </w:r>
        <w:r>
          <w:fldChar w:fldCharType="end"/>
        </w:r>
      </w:hyperlink>
    </w:p>
    <w:p>
      <w:pPr>
        <w:pStyle w:val="TOC2"/>
        <w:tabs>
          <w:tab w:val="right" w:leader="dot" w:pos="8400"/>
        </w:tabs>
        <w:ind w:right="-255"/>
        <w:rPr>
          <w:rFonts w:ascii="等线" w:eastAsia="等线" w:hAnsi="等线"/>
          <w:sz w:val="21"/>
          <w:szCs w:val="22"/>
        </w:rPr>
      </w:pPr>
      <w:hyperlink w:anchor="_Toc93908341" w:history="1">
        <w:r>
          <w:rPr>
            <w:rStyle w:val="Hyperlink"/>
            <w:b/>
          </w:rPr>
          <w:t>二、服务文件</w:t>
        </w:r>
        <w:r>
          <w:tab/>
        </w:r>
        <w:r>
          <w:fldChar w:fldCharType="begin"/>
        </w:r>
        <w:r>
          <w:instrText xml:space="preserve"> PAGEREF _Toc93908341 \h </w:instrText>
        </w:r>
        <w:r>
          <w:fldChar w:fldCharType="separate"/>
        </w:r>
        <w:r>
          <w:t>- 30 -</w:t>
        </w:r>
        <w:r>
          <w:fldChar w:fldCharType="end"/>
        </w:r>
      </w:hyperlink>
    </w:p>
    <w:p>
      <w:pPr>
        <w:pStyle w:val="TOC2"/>
        <w:tabs>
          <w:tab w:val="right" w:leader="dot" w:pos="8400"/>
        </w:tabs>
        <w:ind w:right="-255"/>
        <w:rPr>
          <w:rFonts w:ascii="等线" w:eastAsia="等线" w:hAnsi="等线"/>
          <w:sz w:val="21"/>
          <w:szCs w:val="22"/>
        </w:rPr>
      </w:pPr>
      <w:hyperlink w:anchor="_Toc93908342" w:history="1">
        <w:r>
          <w:rPr>
            <w:rStyle w:val="Hyperlink"/>
            <w:b/>
          </w:rPr>
          <w:t>三、商务文件</w:t>
        </w:r>
        <w:r>
          <w:tab/>
        </w:r>
        <w:r>
          <w:fldChar w:fldCharType="begin"/>
        </w:r>
        <w:r>
          <w:instrText xml:space="preserve"> PAGEREF _Toc93908342 \h </w:instrText>
        </w:r>
        <w:r>
          <w:fldChar w:fldCharType="separate"/>
        </w:r>
        <w:r>
          <w:t>- 30 -</w:t>
        </w:r>
        <w:r>
          <w:fldChar w:fldCharType="end"/>
        </w:r>
      </w:hyperlink>
    </w:p>
    <w:p>
      <w:pPr>
        <w:pStyle w:val="TOC2"/>
        <w:tabs>
          <w:tab w:val="right" w:leader="dot" w:pos="8400"/>
        </w:tabs>
        <w:ind w:right="-255"/>
        <w:rPr>
          <w:rFonts w:ascii="等线" w:eastAsia="等线" w:hAnsi="等线"/>
          <w:sz w:val="21"/>
          <w:szCs w:val="22"/>
        </w:rPr>
      </w:pPr>
      <w:hyperlink w:anchor="_Toc93908343" w:history="1">
        <w:r>
          <w:rPr>
            <w:rStyle w:val="Hyperlink"/>
            <w:b/>
          </w:rPr>
          <w:t>四、资格文件</w:t>
        </w:r>
        <w:r>
          <w:tab/>
        </w:r>
        <w:r>
          <w:fldChar w:fldCharType="begin"/>
        </w:r>
        <w:r>
          <w:instrText xml:space="preserve"> PAGEREF _Toc93908343 \h </w:instrText>
        </w:r>
        <w:r>
          <w:fldChar w:fldCharType="separate"/>
        </w:r>
        <w:r>
          <w:t>- 30 -</w:t>
        </w:r>
        <w:r>
          <w:fldChar w:fldCharType="end"/>
        </w:r>
      </w:hyperlink>
    </w:p>
    <w:p>
      <w:pPr>
        <w:pStyle w:val="TOC2"/>
        <w:tabs>
          <w:tab w:val="right" w:leader="dot" w:pos="8400"/>
        </w:tabs>
        <w:ind w:right="-255"/>
        <w:rPr>
          <w:rFonts w:ascii="等线" w:eastAsia="等线" w:hAnsi="等线"/>
          <w:sz w:val="21"/>
          <w:szCs w:val="22"/>
        </w:rPr>
      </w:pPr>
      <w:hyperlink w:anchor="_Toc93908344" w:history="1">
        <w:r>
          <w:rPr>
            <w:rStyle w:val="Hyperlink"/>
            <w:b/>
          </w:rPr>
          <w:t>五、其他</w:t>
        </w:r>
        <w:r>
          <w:tab/>
        </w:r>
        <w:r>
          <w:fldChar w:fldCharType="begin"/>
        </w:r>
        <w:r>
          <w:instrText xml:space="preserve"> PAGEREF _Toc93908344 \h </w:instrText>
        </w:r>
        <w:r>
          <w:fldChar w:fldCharType="separate"/>
        </w:r>
        <w:r>
          <w:t>- 30 -</w:t>
        </w:r>
        <w:r>
          <w:fldChar w:fldCharType="end"/>
        </w:r>
      </w:hyperlink>
    </w:p>
    <w:p>
      <w:pPr>
        <w:pStyle w:val="TOC1"/>
        <w:tabs>
          <w:tab w:val="left" w:pos="1260"/>
          <w:tab w:val="left" w:pos="1685"/>
          <w:tab w:val="right" w:leader="dot" w:pos="8400"/>
        </w:tabs>
        <w:ind w:firstLine="0" w:firstLineChars="0"/>
        <w:rPr>
          <w:rFonts w:ascii="宋体" w:hAnsi="宋体" w:hint="eastAsia"/>
          <w:sz w:val="32"/>
        </w:rPr>
        <w:sectPr>
          <w:headerReference w:type="default" r:id="rId12"/>
          <w:footerReference w:type="even" r:id="rId13"/>
          <w:footerReference w:type="default" r:id="rId14"/>
          <w:headerReference w:type="first" r:id="rId15"/>
          <w:type w:val="nextPage"/>
          <w:pgSz w:w="11907" w:h="16840"/>
          <w:pgMar w:top="1134" w:right="1191" w:bottom="1134" w:left="1191" w:header="964" w:footer="992" w:gutter="0"/>
          <w:pgNumType w:fmt="numberInDash" w:start="2"/>
          <w:cols w:space="708"/>
          <w:titlePg w:val="0"/>
          <w:docGrid w:linePitch="312"/>
        </w:sectPr>
      </w:pPr>
      <w:r>
        <w:rPr>
          <w:rFonts w:ascii="宋体" w:hAnsi="宋体" w:hint="eastAsia"/>
          <w:sz w:val="21"/>
          <w:szCs w:val="21"/>
        </w:rPr>
        <w:fldChar w:fldCharType="end"/>
      </w:r>
    </w:p>
    <w:p>
      <w:pPr>
        <w:pStyle w:val="Heading2"/>
        <w:pageBreakBefore/>
        <w:adjustRightInd/>
        <w:snapToGrid/>
        <w:spacing w:before="260" w:after="260"/>
        <w:jc w:val="center"/>
        <w:rPr>
          <w:rFonts w:hint="eastAsia"/>
          <w:b/>
          <w:sz w:val="44"/>
          <w:szCs w:val="44"/>
        </w:rPr>
      </w:pPr>
      <w:bookmarkStart w:id="0" w:name="_Toc93908301"/>
      <w:r>
        <w:rPr>
          <w:b/>
          <w:sz w:val="44"/>
          <w:szCs w:val="44"/>
        </w:rPr>
        <w:t>第一篇</w:t>
      </w:r>
      <w:r>
        <w:rPr>
          <w:rFonts w:hint="eastAsia"/>
          <w:b/>
          <w:sz w:val="44"/>
          <w:szCs w:val="44"/>
        </w:rPr>
        <w:t xml:space="preserve"> 投标邀请书</w:t>
      </w:r>
      <w:bookmarkEnd w:id="0"/>
    </w:p>
    <w:p>
      <w:pPr>
        <w:snapToGrid w:val="0"/>
        <w:spacing w:line="360" w:lineRule="auto"/>
        <w:ind w:firstLine="480" w:firstLineChars="200"/>
        <w:rPr>
          <w:rFonts w:ascii="宋体" w:hAnsi="宋体" w:hint="eastAsia"/>
          <w:sz w:val="24"/>
          <w:szCs w:val="24"/>
        </w:rPr>
      </w:pPr>
      <w:bookmarkStart w:id="1" w:name="OLE_LINK4"/>
      <w:r>
        <w:rPr>
          <w:rFonts w:ascii="宋体" w:hAnsi="宋体" w:hint="eastAsia"/>
          <w:sz w:val="24"/>
          <w:szCs w:val="24"/>
        </w:rPr>
        <w:t>重庆市中基致信招标代理有限公司（以下简称：采购代理机构）受重庆市经济和信息化委员会的委托，对</w:t>
      </w:r>
      <w:bookmarkStart w:id="2" w:name="_Hlk93555793"/>
      <w:r>
        <w:rPr>
          <w:rFonts w:ascii="宋体" w:hAnsi="宋体" w:hint="eastAsia"/>
          <w:sz w:val="24"/>
          <w:szCs w:val="24"/>
        </w:rPr>
        <w:t>重庆市智慧园区大脑平台监理政府采购项目</w:t>
      </w:r>
      <w:bookmarkEnd w:id="2"/>
      <w:r>
        <w:rPr>
          <w:rFonts w:ascii="宋体" w:hAnsi="宋体" w:hint="eastAsia"/>
          <w:sz w:val="24"/>
          <w:szCs w:val="24"/>
        </w:rPr>
        <w:t>（第二次）（项目号：</w:t>
      </w:r>
      <w:hyperlink r:id="rId16" w:anchor="/plan/list/detail?id=1000000000006149967&amp;encrypt=2c4a6d98a5287b0cdd8cc50e9af7743b" w:tgtFrame="_blank" w:history="1"/>
      <w:r>
        <w:rPr>
          <w:rFonts w:ascii="宋体" w:hAnsi="宋体" w:hint="eastAsia"/>
          <w:sz w:val="24"/>
          <w:szCs w:val="24"/>
        </w:rPr>
        <w:t>C</w:t>
      </w:r>
      <w:r>
        <w:rPr>
          <w:rFonts w:ascii="宋体" w:hAnsi="宋体"/>
          <w:sz w:val="24"/>
          <w:szCs w:val="24"/>
        </w:rPr>
        <w:t>QCBJQ2112-273</w:t>
      </w:r>
      <w:r>
        <w:rPr>
          <w:rFonts w:ascii="宋体" w:hAnsi="宋体" w:hint="eastAsia"/>
          <w:sz w:val="24"/>
          <w:szCs w:val="24"/>
        </w:rPr>
        <w:t>)进行公开招标采购。欢迎有资格的投标人前来参加投标。</w:t>
      </w:r>
    </w:p>
    <w:p>
      <w:pPr>
        <w:pStyle w:val="Heading2"/>
        <w:spacing w:line="500" w:lineRule="exact"/>
        <w:ind w:firstLine="480" w:firstLineChars="200"/>
        <w:jc w:val="left"/>
        <w:rPr>
          <w:rFonts w:hint="eastAsia"/>
          <w:b/>
          <w:sz w:val="24"/>
        </w:rPr>
      </w:pPr>
      <w:bookmarkStart w:id="3" w:name="_Toc93908302"/>
      <w:r>
        <w:rPr>
          <w:rFonts w:hint="eastAsia"/>
          <w:b/>
          <w:sz w:val="24"/>
        </w:rPr>
        <w:t>一、招标项目内容</w:t>
      </w:r>
      <w:bookmarkEnd w:id="3"/>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977"/>
        <w:gridCol w:w="1417"/>
        <w:gridCol w:w="1276"/>
        <w:gridCol w:w="1134"/>
        <w:gridCol w:w="2412"/>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2977" w:type="dxa"/>
            <w:vAlign w:val="center"/>
          </w:tcPr>
          <w:p>
            <w:pPr>
              <w:pStyle w:val="BodyTextIndent"/>
              <w:spacing w:line="240" w:lineRule="atLeast"/>
              <w:ind w:left="0"/>
              <w:jc w:val="center"/>
              <w:outlineLvl w:val="0"/>
              <w:rPr>
                <w:rFonts w:ascii="宋体" w:hAnsi="宋体" w:hint="eastAsia"/>
                <w:b/>
                <w:sz w:val="21"/>
                <w:szCs w:val="21"/>
              </w:rPr>
            </w:pPr>
            <w:r>
              <w:rPr>
                <w:rFonts w:ascii="宋体" w:hAnsi="宋体" w:hint="eastAsia"/>
                <w:b/>
                <w:sz w:val="21"/>
                <w:szCs w:val="21"/>
              </w:rPr>
              <w:t>项目内容</w:t>
            </w:r>
          </w:p>
        </w:tc>
        <w:tc>
          <w:tcPr>
            <w:tcW w:w="1417" w:type="dxa"/>
            <w:vAlign w:val="center"/>
          </w:tcPr>
          <w:p>
            <w:pPr>
              <w:pStyle w:val="BodyTextIndent"/>
              <w:spacing w:line="240" w:lineRule="atLeast"/>
              <w:ind w:left="0"/>
              <w:jc w:val="center"/>
              <w:outlineLvl w:val="0"/>
              <w:rPr>
                <w:rFonts w:ascii="宋体" w:hAnsi="宋体" w:hint="eastAsia"/>
                <w:b/>
                <w:sz w:val="21"/>
                <w:szCs w:val="21"/>
              </w:rPr>
            </w:pPr>
            <w:r>
              <w:rPr>
                <w:rFonts w:ascii="宋体" w:hAnsi="宋体" w:hint="eastAsia"/>
                <w:b/>
                <w:sz w:val="21"/>
                <w:szCs w:val="21"/>
              </w:rPr>
              <w:t>最高限价</w:t>
            </w:r>
          </w:p>
          <w:p>
            <w:pPr>
              <w:pStyle w:val="BodyTextIndent"/>
              <w:spacing w:line="240" w:lineRule="atLeast"/>
              <w:ind w:left="0"/>
              <w:jc w:val="center"/>
              <w:outlineLvl w:val="0"/>
              <w:rPr>
                <w:rFonts w:ascii="宋体" w:hAnsi="宋体" w:hint="eastAsia"/>
                <w:b/>
                <w:sz w:val="21"/>
                <w:szCs w:val="21"/>
              </w:rPr>
            </w:pPr>
            <w:r>
              <w:rPr>
                <w:rFonts w:ascii="宋体" w:hAnsi="宋体" w:hint="eastAsia"/>
                <w:b/>
                <w:sz w:val="21"/>
                <w:szCs w:val="21"/>
              </w:rPr>
              <w:t>（万元）</w:t>
            </w:r>
          </w:p>
        </w:tc>
        <w:tc>
          <w:tcPr>
            <w:tcW w:w="1276" w:type="dxa"/>
            <w:vAlign w:val="center"/>
          </w:tcPr>
          <w:p>
            <w:pPr>
              <w:pStyle w:val="BodyTextIndent"/>
              <w:spacing w:line="240" w:lineRule="atLeast"/>
              <w:ind w:left="0"/>
              <w:jc w:val="center"/>
              <w:outlineLvl w:val="0"/>
              <w:rPr>
                <w:rFonts w:ascii="宋体" w:hAnsi="宋体" w:hint="eastAsia"/>
                <w:b/>
                <w:sz w:val="21"/>
                <w:szCs w:val="21"/>
              </w:rPr>
            </w:pPr>
            <w:r>
              <w:rPr>
                <w:rFonts w:ascii="宋体" w:hAnsi="宋体" w:hint="eastAsia"/>
                <w:b/>
                <w:sz w:val="21"/>
                <w:szCs w:val="21"/>
              </w:rPr>
              <w:t>投标保证金（万元）</w:t>
            </w:r>
          </w:p>
        </w:tc>
        <w:tc>
          <w:tcPr>
            <w:tcW w:w="1134" w:type="dxa"/>
            <w:vAlign w:val="center"/>
          </w:tcPr>
          <w:p>
            <w:pPr>
              <w:pStyle w:val="BodyTextIndent"/>
              <w:spacing w:line="240" w:lineRule="atLeast"/>
              <w:ind w:left="0"/>
              <w:jc w:val="center"/>
              <w:outlineLvl w:val="0"/>
              <w:rPr>
                <w:rFonts w:ascii="宋体" w:hAnsi="宋体" w:hint="eastAsia"/>
                <w:b/>
                <w:sz w:val="21"/>
                <w:szCs w:val="21"/>
              </w:rPr>
            </w:pPr>
            <w:r>
              <w:rPr>
                <w:rFonts w:ascii="宋体" w:hAnsi="宋体" w:hint="eastAsia"/>
                <w:b/>
                <w:sz w:val="21"/>
                <w:szCs w:val="21"/>
              </w:rPr>
              <w:t>中标人数量（名）</w:t>
            </w:r>
          </w:p>
        </w:tc>
        <w:tc>
          <w:tcPr>
            <w:tcW w:w="2412" w:type="dxa"/>
            <w:vAlign w:val="center"/>
          </w:tcPr>
          <w:p>
            <w:pPr>
              <w:pStyle w:val="BodyTextIndent"/>
              <w:spacing w:line="240" w:lineRule="atLeast"/>
              <w:ind w:left="0"/>
              <w:jc w:val="center"/>
              <w:outlineLvl w:val="0"/>
              <w:rPr>
                <w:rFonts w:ascii="宋体" w:hAnsi="宋体" w:hint="eastAsia"/>
                <w:b/>
                <w:sz w:val="21"/>
                <w:szCs w:val="21"/>
              </w:rPr>
            </w:pPr>
            <w:r>
              <w:rPr>
                <w:rFonts w:ascii="宋体" w:hAnsi="宋体" w:cs="宋体" w:hint="eastAsia"/>
                <w:b/>
                <w:bCs/>
                <w:kern w:val="0"/>
                <w:sz w:val="21"/>
                <w:szCs w:val="21"/>
              </w:rPr>
              <w:t>采购标的对应的中小企业划分标准所属行业</w:t>
            </w:r>
          </w:p>
        </w:tc>
      </w:tr>
      <w:tr>
        <w:tblPrEx>
          <w:tblW w:w="0" w:type="auto"/>
          <w:jc w:val="center"/>
          <w:tblLayout w:type="fixed"/>
          <w:tblCellMar>
            <w:top w:w="0" w:type="dxa"/>
            <w:left w:w="108" w:type="dxa"/>
            <w:bottom w:w="0" w:type="dxa"/>
            <w:right w:w="108" w:type="dxa"/>
          </w:tblCellMar>
          <w:tblLook w:val="0000"/>
        </w:tblPrEx>
        <w:trPr>
          <w:trHeight w:val="543"/>
          <w:jc w:val="center"/>
        </w:trPr>
        <w:tc>
          <w:tcPr>
            <w:tcW w:w="2977" w:type="dxa"/>
            <w:vAlign w:val="center"/>
          </w:tcPr>
          <w:p>
            <w:pPr>
              <w:pStyle w:val="BodyTextIndent"/>
              <w:spacing w:line="240" w:lineRule="atLeast"/>
              <w:ind w:left="0"/>
              <w:jc w:val="center"/>
              <w:outlineLvl w:val="0"/>
              <w:rPr>
                <w:rFonts w:ascii="宋体" w:hAnsi="宋体" w:hint="eastAsia"/>
                <w:sz w:val="21"/>
                <w:szCs w:val="21"/>
              </w:rPr>
            </w:pPr>
            <w:r>
              <w:rPr>
                <w:rFonts w:ascii="宋体" w:hAnsi="宋体" w:hint="eastAsia"/>
                <w:sz w:val="21"/>
                <w:szCs w:val="21"/>
              </w:rPr>
              <w:t>重庆市智慧园区大脑平台监理</w:t>
            </w:r>
          </w:p>
        </w:tc>
        <w:tc>
          <w:tcPr>
            <w:tcW w:w="1417" w:type="dxa"/>
            <w:vAlign w:val="center"/>
          </w:tcPr>
          <w:p>
            <w:pPr>
              <w:pStyle w:val="BodyTextIndent"/>
              <w:spacing w:line="240" w:lineRule="atLeast"/>
              <w:ind w:left="0"/>
              <w:jc w:val="center"/>
              <w:outlineLvl w:val="0"/>
              <w:rPr>
                <w:rFonts w:ascii="宋体" w:hAnsi="宋体"/>
                <w:sz w:val="21"/>
                <w:szCs w:val="21"/>
              </w:rPr>
            </w:pPr>
            <w:bookmarkStart w:id="4" w:name="_Hlk93555895"/>
            <w:r>
              <w:rPr>
                <w:rFonts w:ascii="宋体" w:hAnsi="宋体" w:hint="eastAsia"/>
                <w:sz w:val="21"/>
                <w:szCs w:val="21"/>
              </w:rPr>
              <w:t>1</w:t>
            </w:r>
            <w:r>
              <w:rPr>
                <w:rFonts w:ascii="宋体" w:hAnsi="宋体"/>
                <w:sz w:val="21"/>
                <w:szCs w:val="21"/>
              </w:rPr>
              <w:t>0.1</w:t>
            </w:r>
            <w:bookmarkEnd w:id="4"/>
          </w:p>
        </w:tc>
        <w:tc>
          <w:tcPr>
            <w:tcW w:w="1276" w:type="dxa"/>
            <w:vAlign w:val="center"/>
          </w:tcPr>
          <w:p>
            <w:pPr>
              <w:pStyle w:val="BodyTextIndent"/>
              <w:spacing w:line="240" w:lineRule="atLeast"/>
              <w:ind w:left="0"/>
              <w:jc w:val="center"/>
              <w:outlineLvl w:val="0"/>
              <w:rPr>
                <w:rFonts w:ascii="宋体" w:hAnsi="宋体" w:hint="eastAsia"/>
                <w:sz w:val="21"/>
                <w:szCs w:val="21"/>
              </w:rPr>
            </w:pPr>
            <w:r>
              <w:rPr>
                <w:rFonts w:ascii="宋体" w:hAnsi="宋体" w:hint="eastAsia"/>
                <w:sz w:val="21"/>
                <w:szCs w:val="21"/>
              </w:rPr>
              <w:t>0</w:t>
            </w:r>
            <w:r>
              <w:rPr>
                <w:rFonts w:ascii="宋体" w:hAnsi="宋体"/>
                <w:sz w:val="21"/>
                <w:szCs w:val="21"/>
              </w:rPr>
              <w:t>.2</w:t>
            </w:r>
          </w:p>
        </w:tc>
        <w:tc>
          <w:tcPr>
            <w:tcW w:w="1134" w:type="dxa"/>
            <w:vAlign w:val="center"/>
          </w:tcPr>
          <w:p>
            <w:pPr>
              <w:pStyle w:val="BodyTextIndent"/>
              <w:spacing w:line="240" w:lineRule="atLeast"/>
              <w:ind w:left="0"/>
              <w:jc w:val="center"/>
              <w:outlineLvl w:val="0"/>
              <w:rPr>
                <w:rFonts w:ascii="宋体" w:hAnsi="宋体" w:hint="eastAsia"/>
                <w:sz w:val="21"/>
                <w:szCs w:val="21"/>
              </w:rPr>
            </w:pPr>
            <w:r>
              <w:rPr>
                <w:rFonts w:ascii="宋体" w:hAnsi="宋体" w:hint="eastAsia"/>
                <w:sz w:val="21"/>
                <w:szCs w:val="21"/>
              </w:rPr>
              <w:t>1</w:t>
            </w:r>
          </w:p>
        </w:tc>
        <w:tc>
          <w:tcPr>
            <w:tcW w:w="2412" w:type="dxa"/>
            <w:vAlign w:val="center"/>
          </w:tcPr>
          <w:p>
            <w:pPr>
              <w:pStyle w:val="BodyTextIndent"/>
              <w:spacing w:line="240" w:lineRule="atLeast"/>
              <w:ind w:left="0"/>
              <w:jc w:val="center"/>
              <w:outlineLvl w:val="0"/>
              <w:rPr>
                <w:rFonts w:ascii="宋体" w:hAnsi="宋体"/>
                <w:sz w:val="21"/>
                <w:szCs w:val="21"/>
              </w:rPr>
            </w:pPr>
            <w:r>
              <w:rPr>
                <w:rFonts w:ascii="宋体" w:hAnsi="宋体" w:hint="eastAsia"/>
                <w:sz w:val="21"/>
                <w:szCs w:val="21"/>
              </w:rPr>
              <w:t>软件和信息技术服务业</w:t>
            </w:r>
          </w:p>
        </w:tc>
      </w:tr>
    </w:tbl>
    <w:p>
      <w:pPr>
        <w:pStyle w:val="Heading2"/>
        <w:ind w:firstLine="480" w:firstLineChars="200"/>
        <w:jc w:val="left"/>
        <w:rPr>
          <w:rFonts w:hint="eastAsia"/>
          <w:b/>
          <w:sz w:val="24"/>
        </w:rPr>
      </w:pPr>
      <w:bookmarkStart w:id="5" w:name="_Toc93908303"/>
      <w:r>
        <w:rPr>
          <w:rFonts w:hint="eastAsia"/>
          <w:b/>
          <w:sz w:val="24"/>
        </w:rPr>
        <w:t>二、资金来源</w:t>
      </w:r>
      <w:bookmarkEnd w:id="5"/>
    </w:p>
    <w:p>
      <w:pPr>
        <w:spacing w:line="360" w:lineRule="auto"/>
        <w:ind w:firstLine="480" w:firstLineChars="200"/>
        <w:rPr>
          <w:rFonts w:ascii="宋体" w:hAnsi="宋体" w:hint="eastAsia"/>
          <w:sz w:val="24"/>
          <w:szCs w:val="24"/>
        </w:rPr>
      </w:pPr>
      <w:r>
        <w:rPr>
          <w:rFonts w:ascii="宋体" w:hAnsi="宋体" w:hint="eastAsia"/>
          <w:sz w:val="24"/>
          <w:szCs w:val="24"/>
        </w:rPr>
        <w:t>财政预算资金，预算金额为1</w:t>
      </w:r>
      <w:r>
        <w:rPr>
          <w:rFonts w:ascii="宋体" w:hAnsi="宋体"/>
          <w:sz w:val="24"/>
          <w:szCs w:val="24"/>
        </w:rPr>
        <w:t>0.1</w:t>
      </w:r>
      <w:r>
        <w:rPr>
          <w:rFonts w:ascii="宋体" w:hAnsi="宋体" w:hint="eastAsia"/>
          <w:sz w:val="24"/>
          <w:szCs w:val="24"/>
        </w:rPr>
        <w:t>万元（含税金额）。</w:t>
      </w:r>
    </w:p>
    <w:p>
      <w:pPr>
        <w:spacing w:line="360" w:lineRule="auto"/>
        <w:ind w:firstLine="480" w:firstLineChars="200"/>
        <w:rPr>
          <w:rFonts w:ascii="宋体" w:hAnsi="宋体" w:hint="eastAsia"/>
          <w:sz w:val="24"/>
          <w:szCs w:val="24"/>
        </w:rPr>
      </w:pPr>
      <w:r>
        <w:rPr>
          <w:rFonts w:ascii="宋体" w:hAnsi="宋体" w:hint="eastAsia"/>
          <w:b/>
          <w:sz w:val="24"/>
        </w:rPr>
        <w:t>三、投标人资格要求</w:t>
      </w:r>
    </w:p>
    <w:p>
      <w:pPr>
        <w:spacing w:line="360" w:lineRule="auto"/>
        <w:ind w:firstLine="480" w:firstLineChars="200"/>
        <w:rPr>
          <w:rFonts w:ascii="宋体" w:hAnsi="宋体"/>
          <w:sz w:val="24"/>
          <w:szCs w:val="24"/>
        </w:rPr>
      </w:pPr>
      <w:r>
        <w:rPr>
          <w:rFonts w:ascii="宋体" w:hAnsi="宋体" w:hint="eastAsia"/>
          <w:sz w:val="24"/>
          <w:szCs w:val="24"/>
        </w:rPr>
        <w:t>（一）满足《中华人民共和国政府采购法》第二十二条规定；</w:t>
      </w:r>
    </w:p>
    <w:p>
      <w:pPr>
        <w:spacing w:line="360" w:lineRule="auto"/>
        <w:ind w:firstLine="480" w:firstLineChars="200"/>
        <w:rPr>
          <w:rFonts w:ascii="宋体" w:hAnsi="宋体" w:hint="eastAsia"/>
          <w:sz w:val="24"/>
          <w:szCs w:val="24"/>
        </w:rPr>
      </w:pPr>
      <w:r>
        <w:rPr>
          <w:rFonts w:ascii="宋体" w:hAnsi="宋体" w:hint="eastAsia"/>
          <w:sz w:val="24"/>
          <w:szCs w:val="24"/>
        </w:rPr>
        <w:t>（二）本项目的特定资格要求：无；</w:t>
      </w:r>
    </w:p>
    <w:p>
      <w:pPr>
        <w:spacing w:line="360" w:lineRule="auto"/>
        <w:ind w:firstLine="480" w:firstLineChars="200"/>
        <w:rPr>
          <w:rFonts w:ascii="宋体" w:hAnsi="宋体" w:hint="eastAsia"/>
          <w:b/>
          <w:bCs/>
          <w:sz w:val="24"/>
          <w:szCs w:val="24"/>
        </w:rPr>
      </w:pPr>
      <w:r>
        <w:rPr>
          <w:rFonts w:ascii="宋体" w:hAnsi="宋体" w:hint="eastAsia"/>
          <w:sz w:val="24"/>
          <w:szCs w:val="24"/>
        </w:rPr>
        <w:t>（三）落实政府采购政策需满足的资格要求：</w:t>
      </w:r>
      <w:r>
        <w:rPr>
          <w:rFonts w:ascii="宋体" w:hAnsi="宋体" w:hint="eastAsia"/>
          <w:b/>
          <w:bCs/>
          <w:sz w:val="24"/>
          <w:szCs w:val="24"/>
        </w:rPr>
        <w:t>本项目专门面向中小企业采购，投标人应为中小微型企业或监狱企业或残疾人福利性单位，提供中小企业声明函或监狱企业证明文件或残疾人福利性单位声明函。</w:t>
      </w:r>
    </w:p>
    <w:p>
      <w:pPr>
        <w:pStyle w:val="Heading2"/>
        <w:ind w:firstLine="480" w:firstLineChars="200"/>
        <w:jc w:val="left"/>
        <w:rPr>
          <w:rFonts w:hint="eastAsia"/>
          <w:b/>
          <w:sz w:val="24"/>
        </w:rPr>
      </w:pPr>
      <w:bookmarkStart w:id="6" w:name="_Toc93908304"/>
      <w:r>
        <w:rPr>
          <w:rFonts w:hint="eastAsia"/>
          <w:b/>
          <w:sz w:val="24"/>
        </w:rPr>
        <w:t>四、投标、开标有关说明</w:t>
      </w:r>
      <w:bookmarkEnd w:id="6"/>
    </w:p>
    <w:p>
      <w:pPr>
        <w:spacing w:line="360" w:lineRule="auto"/>
        <w:ind w:firstLine="480" w:firstLineChars="200"/>
        <w:rPr>
          <w:rFonts w:ascii="宋体" w:hAnsi="宋体" w:hint="eastAsia"/>
          <w:sz w:val="24"/>
          <w:szCs w:val="24"/>
        </w:rPr>
      </w:pPr>
      <w:r>
        <w:rPr>
          <w:rFonts w:ascii="宋体" w:hAnsi="宋体" w:hint="eastAsia"/>
          <w:sz w:val="24"/>
          <w:szCs w:val="24"/>
        </w:rPr>
        <w:t>（一）凡有意参加投标的投标人，请在重庆市经济和信息化委员会网上（http://jjxxw.cq.gov.cn/）下载本项目采购文件以及图纸、澄清等开标前公布的所有项目资料，无论投标人领取或下载与否，均视为已知晓所有招标内容。</w:t>
      </w:r>
    </w:p>
    <w:p>
      <w:pPr>
        <w:spacing w:line="360" w:lineRule="auto"/>
        <w:ind w:firstLine="480" w:firstLineChars="200"/>
        <w:rPr>
          <w:rFonts w:ascii="宋体" w:hAnsi="宋体" w:hint="eastAsia"/>
          <w:sz w:val="24"/>
          <w:szCs w:val="24"/>
        </w:rPr>
      </w:pPr>
      <w:r>
        <w:rPr>
          <w:rFonts w:ascii="宋体" w:hAnsi="宋体" w:hint="eastAsia"/>
          <w:sz w:val="24"/>
          <w:szCs w:val="24"/>
        </w:rPr>
        <w:t>（二）报名方式</w:t>
      </w:r>
    </w:p>
    <w:p>
      <w:pPr>
        <w:spacing w:line="360" w:lineRule="auto"/>
        <w:ind w:firstLine="480" w:firstLineChars="200"/>
        <w:rPr>
          <w:rFonts w:ascii="宋体" w:hAnsi="宋体" w:hint="eastAsia"/>
          <w:sz w:val="24"/>
          <w:szCs w:val="24"/>
        </w:rPr>
      </w:pPr>
      <w:r>
        <w:rPr>
          <w:rFonts w:ascii="宋体" w:hAnsi="宋体"/>
          <w:sz w:val="24"/>
          <w:szCs w:val="24"/>
        </w:rPr>
        <w:t>凡有意参</w:t>
      </w:r>
      <w:r>
        <w:rPr>
          <w:rFonts w:ascii="宋体" w:hAnsi="宋体" w:hint="eastAsia"/>
          <w:sz w:val="24"/>
          <w:szCs w:val="24"/>
        </w:rPr>
        <w:t>投标的投标人</w:t>
      </w:r>
      <w:r>
        <w:rPr>
          <w:rFonts w:ascii="宋体" w:hAnsi="宋体"/>
          <w:sz w:val="24"/>
          <w:szCs w:val="24"/>
        </w:rPr>
        <w:t>，请</w:t>
      </w:r>
      <w:r>
        <w:rPr>
          <w:rFonts w:ascii="宋体" w:hAnsi="宋体" w:hint="eastAsia"/>
          <w:sz w:val="24"/>
          <w:szCs w:val="24"/>
        </w:rPr>
        <w:t>在公告期内</w:t>
      </w:r>
      <w:r>
        <w:rPr>
          <w:rFonts w:ascii="宋体" w:hAnsi="宋体"/>
          <w:sz w:val="24"/>
          <w:szCs w:val="24"/>
        </w:rPr>
        <w:t>到采购代理机构</w:t>
      </w:r>
      <w:r>
        <w:rPr>
          <w:rFonts w:ascii="宋体" w:hAnsi="宋体" w:hint="eastAsia"/>
          <w:sz w:val="24"/>
          <w:szCs w:val="24"/>
        </w:rPr>
        <w:t>进行报名</w:t>
      </w:r>
      <w:r>
        <w:rPr>
          <w:rFonts w:ascii="宋体" w:hAnsi="宋体"/>
          <w:sz w:val="24"/>
          <w:szCs w:val="24"/>
        </w:rPr>
        <w:t>。</w:t>
      </w:r>
      <w:r>
        <w:rPr>
          <w:rFonts w:ascii="宋体" w:hAnsi="宋体" w:hint="eastAsia"/>
          <w:sz w:val="24"/>
          <w:szCs w:val="24"/>
        </w:rPr>
        <w:t>报名方式为：</w:t>
      </w:r>
    </w:p>
    <w:p>
      <w:pPr>
        <w:spacing w:line="360" w:lineRule="auto"/>
        <w:ind w:firstLine="480" w:firstLineChars="200"/>
        <w:rPr>
          <w:rFonts w:ascii="宋体" w:hAnsi="宋体" w:hint="eastAsia"/>
          <w:sz w:val="24"/>
          <w:szCs w:val="24"/>
        </w:rPr>
      </w:pPr>
      <w:r>
        <w:rPr>
          <w:rFonts w:ascii="宋体" w:hAnsi="宋体" w:hint="eastAsia"/>
          <w:sz w:val="24"/>
          <w:szCs w:val="24"/>
        </w:rPr>
        <w:t>1.潜在投标人将《采购文件发售登记表》（加盖投标人公章）及标书费转账凭证扫描后发送至hulin@cqchinabase.com。</w:t>
      </w:r>
    </w:p>
    <w:p>
      <w:pPr>
        <w:spacing w:line="360" w:lineRule="auto"/>
        <w:ind w:firstLine="480" w:firstLineChars="200"/>
        <w:rPr>
          <w:rFonts w:ascii="宋体" w:hAnsi="宋体" w:hint="eastAsia"/>
          <w:sz w:val="24"/>
          <w:szCs w:val="24"/>
        </w:rPr>
      </w:pPr>
      <w:r>
        <w:rPr>
          <w:rFonts w:ascii="宋体" w:hAnsi="宋体" w:hint="eastAsia"/>
          <w:sz w:val="24"/>
          <w:szCs w:val="24"/>
        </w:rPr>
        <w:t>2.收款账户：</w:t>
      </w:r>
    </w:p>
    <w:p>
      <w:pPr>
        <w:spacing w:line="360" w:lineRule="auto"/>
        <w:ind w:firstLine="480" w:firstLineChars="200"/>
        <w:rPr>
          <w:rFonts w:ascii="宋体" w:hAnsi="宋体" w:hint="eastAsia"/>
          <w:sz w:val="24"/>
          <w:szCs w:val="24"/>
        </w:rPr>
      </w:pPr>
      <w:r>
        <w:rPr>
          <w:rFonts w:ascii="宋体" w:hAnsi="宋体" w:hint="eastAsia"/>
          <w:sz w:val="24"/>
          <w:szCs w:val="24"/>
        </w:rPr>
        <w:t>户  名：重庆市中基致信招标代理有限公司</w:t>
      </w:r>
    </w:p>
    <w:p>
      <w:pPr>
        <w:spacing w:line="360" w:lineRule="auto"/>
        <w:ind w:firstLine="480" w:firstLineChars="200"/>
        <w:rPr>
          <w:rFonts w:ascii="宋体" w:hAnsi="宋体" w:hint="eastAsia"/>
          <w:sz w:val="24"/>
          <w:szCs w:val="24"/>
        </w:rPr>
      </w:pPr>
      <w:r>
        <w:rPr>
          <w:rFonts w:ascii="宋体" w:hAnsi="宋体" w:hint="eastAsia"/>
          <w:sz w:val="24"/>
          <w:szCs w:val="24"/>
        </w:rPr>
        <w:t>开户行：中国银行重庆江北支行</w:t>
      </w:r>
    </w:p>
    <w:p>
      <w:pPr>
        <w:spacing w:line="360" w:lineRule="auto"/>
        <w:ind w:firstLine="480" w:firstLineChars="200"/>
        <w:rPr>
          <w:rFonts w:ascii="宋体" w:hAnsi="宋体"/>
          <w:sz w:val="24"/>
          <w:szCs w:val="24"/>
        </w:rPr>
      </w:pPr>
      <w:r>
        <w:rPr>
          <w:rFonts w:ascii="宋体" w:hAnsi="宋体" w:hint="eastAsia"/>
          <w:sz w:val="24"/>
          <w:szCs w:val="24"/>
        </w:rPr>
        <w:t>账  号：1144 6718 4234</w:t>
      </w:r>
    </w:p>
    <w:p>
      <w:pPr>
        <w:spacing w:line="360" w:lineRule="auto"/>
        <w:ind w:firstLine="480" w:firstLineChars="200"/>
        <w:rPr>
          <w:rFonts w:ascii="宋体" w:hAnsi="宋体" w:hint="eastAsia"/>
          <w:sz w:val="24"/>
          <w:szCs w:val="24"/>
        </w:rPr>
        <w:sectPr>
          <w:headerReference w:type="default" r:id="rId17"/>
          <w:footerReference w:type="even" r:id="rId18"/>
          <w:footerReference w:type="default" r:id="rId19"/>
          <w:headerReference w:type="first" r:id="rId20"/>
          <w:pgSz w:w="11907" w:h="16840"/>
          <w:pgMar w:top="1134" w:right="1191" w:bottom="1134" w:left="1191" w:header="851" w:footer="992" w:gutter="0"/>
          <w:pgNumType w:fmt="numberInDash" w:start="3"/>
          <w:cols w:space="708"/>
          <w:docGrid w:linePitch="380" w:charSpace="-5735"/>
        </w:sectPr>
      </w:pPr>
      <w:bookmarkStart w:id="7" w:name="_Hlk69301049"/>
      <w:r>
        <w:rPr>
          <w:rFonts w:ascii="宋体" w:hAnsi="宋体" w:hint="eastAsia"/>
          <w:sz w:val="24"/>
          <w:szCs w:val="24"/>
        </w:rPr>
        <w:t>3</w:t>
      </w:r>
      <w:r>
        <w:rPr>
          <w:rFonts w:ascii="宋体" w:hAnsi="宋体"/>
          <w:sz w:val="24"/>
          <w:szCs w:val="24"/>
        </w:rPr>
        <w:t>.</w:t>
      </w:r>
      <w:r>
        <w:rPr>
          <w:rFonts w:ascii="宋体" w:hAnsi="宋体" w:hint="eastAsia"/>
          <w:sz w:val="24"/>
          <w:szCs w:val="24"/>
        </w:rPr>
        <w:t>未进行报名的潜在投标人将不得参与投标。</w:t>
      </w:r>
    </w:p>
    <w:p>
      <w:pPr>
        <w:spacing w:line="360" w:lineRule="auto"/>
        <w:ind w:firstLine="480" w:firstLineChars="200"/>
        <w:rPr>
          <w:rFonts w:ascii="宋体" w:hAnsi="宋体" w:hint="eastAsia"/>
          <w:sz w:val="24"/>
          <w:szCs w:val="24"/>
        </w:rPr>
      </w:pPr>
      <w:bookmarkEnd w:id="7"/>
      <w:r>
        <w:rPr>
          <w:rFonts w:ascii="宋体" w:hAnsi="宋体" w:hint="eastAsia"/>
          <w:sz w:val="24"/>
          <w:szCs w:val="24"/>
        </w:rPr>
        <w:t>（三）</w:t>
      </w:r>
      <w:r>
        <w:rPr>
          <w:rFonts w:ascii="宋体" w:hAnsi="宋体"/>
          <w:sz w:val="24"/>
          <w:szCs w:val="24"/>
        </w:rPr>
        <w:t>招标文件公告期</w:t>
      </w:r>
      <w:r>
        <w:rPr>
          <w:rFonts w:ascii="宋体" w:hAnsi="宋体" w:hint="eastAsia"/>
          <w:sz w:val="24"/>
          <w:szCs w:val="24"/>
        </w:rPr>
        <w:t>限</w:t>
      </w:r>
    </w:p>
    <w:p>
      <w:pPr>
        <w:spacing w:line="360" w:lineRule="auto"/>
        <w:ind w:firstLine="480" w:firstLineChars="200"/>
        <w:rPr>
          <w:rFonts w:ascii="宋体" w:hAnsi="宋体" w:hint="eastAsia"/>
          <w:sz w:val="24"/>
          <w:szCs w:val="24"/>
        </w:rPr>
      </w:pPr>
      <w:r>
        <w:rPr>
          <w:rFonts w:ascii="宋体" w:hAnsi="宋体" w:hint="eastAsia"/>
          <w:sz w:val="24"/>
          <w:szCs w:val="24"/>
        </w:rPr>
        <w:t>自</w:t>
      </w:r>
      <w:r>
        <w:rPr>
          <w:rFonts w:ascii="宋体" w:hAnsi="宋体"/>
          <w:sz w:val="24"/>
          <w:szCs w:val="24"/>
        </w:rPr>
        <w:t>2022年1月24日</w:t>
      </w:r>
      <w:r>
        <w:rPr>
          <w:rFonts w:ascii="宋体" w:hAnsi="宋体" w:hint="eastAsia"/>
          <w:sz w:val="24"/>
          <w:szCs w:val="24"/>
        </w:rPr>
        <w:t>至</w:t>
      </w:r>
      <w:r>
        <w:rPr>
          <w:rFonts w:ascii="宋体" w:hAnsi="宋体"/>
          <w:sz w:val="24"/>
          <w:szCs w:val="24"/>
        </w:rPr>
        <w:t>2022年1月29日</w:t>
      </w:r>
      <w:r>
        <w:rPr>
          <w:rFonts w:ascii="宋体" w:hAnsi="宋体" w:hint="eastAsia"/>
          <w:sz w:val="24"/>
          <w:szCs w:val="24"/>
        </w:rPr>
        <w:t>止</w:t>
      </w:r>
      <w:r>
        <w:rPr>
          <w:rFonts w:ascii="宋体" w:hAnsi="宋体"/>
          <w:sz w:val="24"/>
          <w:szCs w:val="24"/>
        </w:rPr>
        <w:t>。</w:t>
      </w:r>
    </w:p>
    <w:p>
      <w:pPr>
        <w:spacing w:line="360" w:lineRule="auto"/>
        <w:ind w:firstLine="480" w:firstLineChars="200"/>
        <w:rPr>
          <w:rFonts w:ascii="宋体" w:hAnsi="宋体" w:hint="eastAsia"/>
          <w:sz w:val="24"/>
          <w:szCs w:val="24"/>
        </w:rPr>
      </w:pPr>
      <w:r>
        <w:rPr>
          <w:rFonts w:ascii="宋体" w:hAnsi="宋体" w:hint="eastAsia"/>
          <w:sz w:val="24"/>
          <w:szCs w:val="24"/>
        </w:rPr>
        <w:t>（四）招标文件发售</w:t>
      </w:r>
    </w:p>
    <w:p>
      <w:pPr>
        <w:spacing w:line="360" w:lineRule="auto"/>
        <w:ind w:firstLine="480" w:firstLineChars="200"/>
        <w:rPr>
          <w:rFonts w:ascii="宋体" w:hAnsi="宋体" w:hint="eastAsia"/>
          <w:sz w:val="24"/>
          <w:szCs w:val="24"/>
        </w:rPr>
      </w:pPr>
      <w:r>
        <w:rPr>
          <w:rFonts w:ascii="宋体" w:hAnsi="宋体" w:hint="eastAsia"/>
          <w:sz w:val="24"/>
          <w:szCs w:val="24"/>
        </w:rPr>
        <w:t>1.时间：20</w:t>
      </w:r>
      <w:r>
        <w:rPr>
          <w:rFonts w:ascii="宋体" w:hAnsi="宋体"/>
          <w:sz w:val="24"/>
          <w:szCs w:val="24"/>
        </w:rPr>
        <w:t>22</w:t>
      </w:r>
      <w:r>
        <w:rPr>
          <w:rFonts w:ascii="宋体" w:hAnsi="宋体" w:hint="eastAsia"/>
          <w:sz w:val="24"/>
          <w:szCs w:val="24"/>
        </w:rPr>
        <w:t>年</w:t>
      </w:r>
      <w:r>
        <w:rPr>
          <w:rFonts w:ascii="宋体" w:hAnsi="宋体"/>
          <w:sz w:val="24"/>
          <w:szCs w:val="24"/>
          <w:u w:val="single"/>
        </w:rPr>
        <w:t xml:space="preserve"> 1 </w:t>
      </w:r>
      <w:r>
        <w:rPr>
          <w:rFonts w:ascii="宋体" w:hAnsi="宋体" w:hint="eastAsia"/>
          <w:sz w:val="24"/>
          <w:szCs w:val="24"/>
        </w:rPr>
        <w:t>月</w:t>
      </w:r>
      <w:r>
        <w:rPr>
          <w:rFonts w:ascii="宋体" w:hAnsi="宋体"/>
          <w:sz w:val="24"/>
          <w:szCs w:val="24"/>
          <w:u w:val="single"/>
        </w:rPr>
        <w:t xml:space="preserve"> 24 </w:t>
      </w:r>
      <w:r>
        <w:rPr>
          <w:rFonts w:ascii="宋体" w:hAnsi="宋体" w:hint="eastAsia"/>
          <w:sz w:val="24"/>
          <w:szCs w:val="24"/>
        </w:rPr>
        <w:t>日至20</w:t>
      </w:r>
      <w:r>
        <w:rPr>
          <w:rFonts w:ascii="宋体" w:hAnsi="宋体"/>
          <w:sz w:val="24"/>
          <w:szCs w:val="24"/>
        </w:rPr>
        <w:t>22</w:t>
      </w:r>
      <w:r>
        <w:rPr>
          <w:rFonts w:ascii="宋体" w:hAnsi="宋体" w:hint="eastAsia"/>
          <w:sz w:val="24"/>
          <w:szCs w:val="24"/>
        </w:rPr>
        <w:t>年</w:t>
      </w:r>
      <w:r>
        <w:rPr>
          <w:rFonts w:ascii="宋体" w:hAnsi="宋体"/>
          <w:sz w:val="24"/>
          <w:szCs w:val="24"/>
          <w:u w:val="single"/>
        </w:rPr>
        <w:t xml:space="preserve"> 1 </w:t>
      </w:r>
      <w:r>
        <w:rPr>
          <w:rFonts w:ascii="宋体" w:hAnsi="宋体" w:hint="eastAsia"/>
          <w:sz w:val="24"/>
          <w:szCs w:val="24"/>
        </w:rPr>
        <w:t>月</w:t>
      </w:r>
      <w:r>
        <w:rPr>
          <w:rFonts w:ascii="宋体" w:hAnsi="宋体"/>
          <w:sz w:val="24"/>
          <w:szCs w:val="24"/>
          <w:u w:val="single"/>
        </w:rPr>
        <w:t xml:space="preserve"> 29 </w:t>
      </w:r>
      <w:r>
        <w:rPr>
          <w:rFonts w:ascii="宋体" w:hAnsi="宋体" w:hint="eastAsia"/>
          <w:sz w:val="24"/>
          <w:szCs w:val="24"/>
        </w:rPr>
        <w:t>日（9:</w:t>
      </w:r>
      <w:r>
        <w:rPr>
          <w:rFonts w:ascii="宋体" w:hAnsi="宋体"/>
          <w:sz w:val="24"/>
          <w:szCs w:val="24"/>
        </w:rPr>
        <w:t>00</w:t>
      </w:r>
      <w:r>
        <w:rPr>
          <w:rFonts w:ascii="宋体" w:hAnsi="宋体" w:hint="eastAsia"/>
          <w:sz w:val="24"/>
          <w:szCs w:val="24"/>
        </w:rPr>
        <w:t>-</w:t>
      </w:r>
      <w:r>
        <w:rPr>
          <w:rFonts w:ascii="宋体" w:hAnsi="宋体"/>
          <w:sz w:val="24"/>
          <w:szCs w:val="24"/>
        </w:rPr>
        <w:t>12</w:t>
      </w:r>
      <w:r>
        <w:rPr>
          <w:rFonts w:ascii="宋体" w:hAnsi="宋体" w:hint="eastAsia"/>
          <w:sz w:val="24"/>
          <w:szCs w:val="24"/>
        </w:rPr>
        <w:t>:</w:t>
      </w:r>
      <w:r>
        <w:rPr>
          <w:rFonts w:ascii="宋体" w:hAnsi="宋体"/>
          <w:sz w:val="24"/>
          <w:szCs w:val="24"/>
        </w:rPr>
        <w:t>00</w:t>
      </w:r>
      <w:r>
        <w:rPr>
          <w:rFonts w:ascii="宋体" w:hAnsi="宋体" w:hint="eastAsia"/>
          <w:sz w:val="24"/>
          <w:szCs w:val="24"/>
        </w:rPr>
        <w:t>,</w:t>
      </w:r>
      <w:r>
        <w:rPr>
          <w:rFonts w:ascii="宋体" w:hAnsi="宋体"/>
          <w:sz w:val="24"/>
          <w:szCs w:val="24"/>
        </w:rPr>
        <w:t>13</w:t>
      </w:r>
      <w:r>
        <w:rPr>
          <w:rFonts w:ascii="宋体" w:hAnsi="宋体" w:hint="eastAsia"/>
          <w:sz w:val="24"/>
          <w:szCs w:val="24"/>
        </w:rPr>
        <w:t>:</w:t>
      </w:r>
      <w:r>
        <w:rPr>
          <w:rFonts w:ascii="宋体" w:hAnsi="宋体"/>
          <w:sz w:val="24"/>
          <w:szCs w:val="24"/>
        </w:rPr>
        <w:t>30</w:t>
      </w:r>
      <w:r>
        <w:rPr>
          <w:rFonts w:ascii="宋体" w:hAnsi="宋体" w:hint="eastAsia"/>
          <w:sz w:val="24"/>
          <w:szCs w:val="24"/>
        </w:rPr>
        <w:t>-</w:t>
      </w:r>
      <w:r>
        <w:rPr>
          <w:rFonts w:ascii="宋体" w:hAnsi="宋体"/>
          <w:sz w:val="24"/>
          <w:szCs w:val="24"/>
        </w:rPr>
        <w:t>17</w:t>
      </w:r>
      <w:r>
        <w:rPr>
          <w:rFonts w:ascii="宋体" w:hAnsi="宋体" w:hint="eastAsia"/>
          <w:sz w:val="24"/>
          <w:szCs w:val="24"/>
        </w:rPr>
        <w:t>:</w:t>
      </w:r>
      <w:r>
        <w:rPr>
          <w:rFonts w:ascii="宋体" w:hAnsi="宋体"/>
          <w:sz w:val="24"/>
          <w:szCs w:val="24"/>
        </w:rPr>
        <w:t>00</w:t>
      </w:r>
      <w:r>
        <w:rPr>
          <w:rFonts w:ascii="宋体" w:hAnsi="宋体" w:hint="eastAsia"/>
          <w:sz w:val="24"/>
          <w:szCs w:val="24"/>
        </w:rPr>
        <w:t>）</w:t>
      </w:r>
    </w:p>
    <w:p>
      <w:pPr>
        <w:spacing w:line="360" w:lineRule="auto"/>
        <w:ind w:firstLine="480" w:firstLineChars="200"/>
        <w:rPr>
          <w:rFonts w:ascii="宋体" w:hAnsi="宋体" w:hint="eastAsia"/>
          <w:sz w:val="24"/>
          <w:szCs w:val="24"/>
        </w:rPr>
      </w:pPr>
      <w:r>
        <w:rPr>
          <w:rFonts w:ascii="宋体" w:hAnsi="宋体" w:hint="eastAsia"/>
          <w:sz w:val="24"/>
          <w:szCs w:val="24"/>
        </w:rPr>
        <w:t>2.售价：人民币</w:t>
      </w:r>
      <w:r>
        <w:rPr>
          <w:rFonts w:ascii="宋体" w:hAnsi="宋体" w:hint="eastAsia"/>
          <w:sz w:val="24"/>
          <w:szCs w:val="24"/>
          <w:u w:val="single"/>
        </w:rPr>
        <w:t xml:space="preserve"> 300 </w:t>
      </w:r>
      <w:r>
        <w:rPr>
          <w:rFonts w:ascii="宋体" w:hAnsi="宋体" w:hint="eastAsia"/>
          <w:sz w:val="24"/>
          <w:szCs w:val="24"/>
        </w:rPr>
        <w:t>元/分包（售后不退）</w:t>
      </w:r>
    </w:p>
    <w:p>
      <w:pPr>
        <w:spacing w:line="360" w:lineRule="auto"/>
        <w:ind w:firstLine="480" w:firstLineChars="200"/>
        <w:rPr>
          <w:rFonts w:ascii="宋体" w:hAnsi="宋体" w:hint="eastAsia"/>
          <w:sz w:val="24"/>
          <w:szCs w:val="24"/>
        </w:rPr>
      </w:pPr>
      <w:r>
        <w:rPr>
          <w:rFonts w:ascii="宋体" w:hAnsi="宋体" w:hint="eastAsia"/>
          <w:sz w:val="24"/>
          <w:szCs w:val="24"/>
        </w:rPr>
        <w:t>3.招标文件</w:t>
      </w:r>
      <w:r>
        <w:rPr>
          <w:rFonts w:ascii="宋体" w:hAnsi="宋体"/>
          <w:sz w:val="24"/>
          <w:szCs w:val="24"/>
        </w:rPr>
        <w:t>获取方式</w:t>
      </w:r>
      <w:r>
        <w:rPr>
          <w:rFonts w:ascii="宋体" w:hAnsi="宋体" w:hint="eastAsia"/>
          <w:sz w:val="24"/>
          <w:szCs w:val="24"/>
        </w:rPr>
        <w:t>：由潜在投标人在重庆市经济和信息化委员会网上</w:t>
      </w:r>
      <w:bookmarkStart w:id="8" w:name="_Hlk93555916"/>
      <w:r>
        <w:rPr>
          <w:rFonts w:ascii="宋体" w:hAnsi="宋体" w:hint="eastAsia"/>
          <w:sz w:val="24"/>
          <w:szCs w:val="24"/>
        </w:rPr>
        <w:t>（http://jjxxw.cq.gov.cn/）</w:t>
      </w:r>
      <w:bookmarkEnd w:id="8"/>
      <w:r>
        <w:rPr>
          <w:rFonts w:ascii="宋体" w:hAnsi="宋体" w:hint="eastAsia"/>
          <w:sz w:val="24"/>
          <w:szCs w:val="24"/>
        </w:rPr>
        <w:t>自行下载。</w:t>
      </w:r>
    </w:p>
    <w:p>
      <w:pPr>
        <w:spacing w:line="360" w:lineRule="auto"/>
        <w:ind w:firstLine="480" w:firstLineChars="200"/>
        <w:rPr>
          <w:rFonts w:ascii="宋体" w:hAnsi="宋体" w:hint="eastAsia"/>
          <w:sz w:val="24"/>
          <w:szCs w:val="24"/>
        </w:rPr>
      </w:pPr>
      <w:r>
        <w:rPr>
          <w:rFonts w:ascii="宋体" w:hAnsi="宋体" w:hint="eastAsia"/>
          <w:sz w:val="24"/>
          <w:szCs w:val="24"/>
        </w:rPr>
        <w:t>（五）投标文件接受</w:t>
      </w:r>
    </w:p>
    <w:p>
      <w:pPr>
        <w:spacing w:line="360" w:lineRule="auto"/>
        <w:ind w:firstLine="480" w:firstLineChars="200"/>
        <w:rPr>
          <w:rFonts w:ascii="宋体" w:hAnsi="宋体" w:hint="eastAsia"/>
          <w:sz w:val="24"/>
          <w:szCs w:val="24"/>
        </w:rPr>
      </w:pPr>
      <w:r>
        <w:rPr>
          <w:rFonts w:ascii="宋体" w:hAnsi="宋体" w:hint="eastAsia"/>
          <w:sz w:val="24"/>
          <w:szCs w:val="24"/>
        </w:rPr>
        <w:t>投标人须满足以下三种要件，其投标文件才被接受：</w:t>
      </w:r>
    </w:p>
    <w:p>
      <w:pPr>
        <w:spacing w:line="360" w:lineRule="auto"/>
        <w:ind w:firstLine="480" w:firstLineChars="200"/>
        <w:rPr>
          <w:rFonts w:ascii="宋体" w:hAnsi="宋体" w:hint="eastAsia"/>
          <w:sz w:val="24"/>
          <w:szCs w:val="24"/>
        </w:rPr>
      </w:pPr>
      <w:r>
        <w:rPr>
          <w:rFonts w:ascii="宋体" w:hAnsi="宋体" w:hint="eastAsia"/>
          <w:sz w:val="24"/>
          <w:szCs w:val="24"/>
        </w:rPr>
        <w:t>1.完成报名；</w:t>
      </w:r>
    </w:p>
    <w:p>
      <w:pPr>
        <w:spacing w:line="360" w:lineRule="auto"/>
        <w:ind w:firstLine="480" w:firstLineChars="200"/>
        <w:rPr>
          <w:rFonts w:ascii="宋体" w:hAnsi="宋体" w:hint="eastAsia"/>
          <w:sz w:val="24"/>
          <w:szCs w:val="24"/>
        </w:rPr>
      </w:pPr>
      <w:r>
        <w:rPr>
          <w:rFonts w:ascii="宋体" w:hAnsi="宋体" w:hint="eastAsia"/>
          <w:sz w:val="24"/>
          <w:szCs w:val="24"/>
        </w:rPr>
        <w:t>2.按时递交了投标文件；</w:t>
      </w:r>
    </w:p>
    <w:p>
      <w:pPr>
        <w:spacing w:line="360" w:lineRule="auto"/>
        <w:ind w:firstLine="480" w:firstLineChars="200"/>
        <w:rPr>
          <w:rFonts w:ascii="宋体" w:hAnsi="宋体" w:hint="eastAsia"/>
          <w:sz w:val="24"/>
          <w:szCs w:val="24"/>
        </w:rPr>
      </w:pPr>
      <w:r>
        <w:rPr>
          <w:rFonts w:ascii="宋体" w:hAnsi="宋体" w:hint="eastAsia"/>
          <w:sz w:val="24"/>
          <w:szCs w:val="24"/>
        </w:rPr>
        <w:t>3.按时签到。</w:t>
      </w:r>
    </w:p>
    <w:p>
      <w:pPr>
        <w:spacing w:line="360" w:lineRule="auto"/>
        <w:ind w:firstLine="480" w:firstLineChars="200"/>
        <w:rPr>
          <w:rFonts w:ascii="宋体" w:hAnsi="宋体"/>
          <w:sz w:val="24"/>
          <w:szCs w:val="24"/>
        </w:rPr>
      </w:pPr>
      <w:r>
        <w:rPr>
          <w:rFonts w:ascii="宋体" w:hAnsi="宋体" w:hint="eastAsia"/>
          <w:sz w:val="24"/>
          <w:szCs w:val="24"/>
        </w:rPr>
        <w:t>（六）投标地点：</w:t>
      </w:r>
      <w:bookmarkStart w:id="9" w:name="_Hlk93555776"/>
      <w:r>
        <w:rPr>
          <w:rFonts w:ascii="宋体" w:hAnsi="宋体" w:hint="eastAsia"/>
          <w:sz w:val="24"/>
          <w:szCs w:val="24"/>
        </w:rPr>
        <w:t>重庆市经济和信息化委员会8006会议室</w:t>
      </w:r>
      <w:bookmarkEnd w:id="9"/>
    </w:p>
    <w:p>
      <w:pPr>
        <w:spacing w:line="360" w:lineRule="auto"/>
        <w:ind w:firstLine="480" w:firstLineChars="200"/>
        <w:rPr>
          <w:rFonts w:ascii="宋体" w:hAnsi="宋体" w:hint="eastAsia"/>
          <w:sz w:val="24"/>
          <w:szCs w:val="24"/>
        </w:rPr>
      </w:pPr>
      <w:r>
        <w:rPr>
          <w:rFonts w:ascii="宋体" w:hAnsi="宋体" w:hint="eastAsia"/>
          <w:sz w:val="24"/>
          <w:szCs w:val="24"/>
        </w:rPr>
        <w:t>（七）投标文件递交及截止时间：20</w:t>
      </w:r>
      <w:r>
        <w:rPr>
          <w:rFonts w:ascii="宋体" w:hAnsi="宋体"/>
          <w:sz w:val="24"/>
          <w:szCs w:val="24"/>
        </w:rPr>
        <w:t>22</w:t>
      </w:r>
      <w:r>
        <w:rPr>
          <w:rFonts w:ascii="宋体" w:hAnsi="宋体" w:hint="eastAsia"/>
          <w:sz w:val="24"/>
          <w:szCs w:val="24"/>
        </w:rPr>
        <w:t>年</w:t>
      </w:r>
      <w:r>
        <w:rPr>
          <w:rFonts w:ascii="宋体" w:hAnsi="宋体"/>
          <w:sz w:val="24"/>
          <w:szCs w:val="24"/>
          <w:u w:val="single"/>
        </w:rPr>
        <w:t xml:space="preserve"> 2 </w:t>
      </w:r>
      <w:r>
        <w:rPr>
          <w:rFonts w:ascii="宋体" w:hAnsi="宋体" w:hint="eastAsia"/>
          <w:sz w:val="24"/>
          <w:szCs w:val="24"/>
        </w:rPr>
        <w:t>月</w:t>
      </w:r>
      <w:r>
        <w:rPr>
          <w:rFonts w:ascii="宋体" w:hAnsi="宋体"/>
          <w:sz w:val="24"/>
          <w:szCs w:val="24"/>
          <w:u w:val="single"/>
        </w:rPr>
        <w:t xml:space="preserve"> 14 </w:t>
      </w:r>
      <w:r>
        <w:rPr>
          <w:rFonts w:ascii="宋体" w:hAnsi="宋体" w:hint="eastAsia"/>
          <w:sz w:val="24"/>
          <w:szCs w:val="24"/>
        </w:rPr>
        <w:t>日1</w:t>
      </w:r>
      <w:r>
        <w:rPr>
          <w:rFonts w:ascii="宋体" w:hAnsi="宋体"/>
          <w:sz w:val="24"/>
          <w:szCs w:val="24"/>
        </w:rPr>
        <w:t>3</w:t>
      </w:r>
      <w:r>
        <w:rPr>
          <w:rFonts w:ascii="宋体" w:hAnsi="宋体" w:hint="eastAsia"/>
          <w:sz w:val="24"/>
          <w:szCs w:val="24"/>
        </w:rPr>
        <w:t>:</w:t>
      </w:r>
      <w:r>
        <w:rPr>
          <w:rFonts w:ascii="宋体" w:hAnsi="宋体"/>
          <w:sz w:val="24"/>
          <w:szCs w:val="24"/>
        </w:rPr>
        <w:t>30</w:t>
      </w:r>
      <w:r>
        <w:rPr>
          <w:rFonts w:ascii="宋体" w:hAnsi="宋体" w:hint="eastAsia"/>
          <w:sz w:val="24"/>
          <w:szCs w:val="24"/>
        </w:rPr>
        <w:t>-14:00（北京时间）。</w:t>
      </w:r>
    </w:p>
    <w:p>
      <w:pPr>
        <w:spacing w:line="360" w:lineRule="auto"/>
        <w:ind w:firstLine="480" w:firstLineChars="200"/>
        <w:rPr>
          <w:rFonts w:ascii="宋体" w:hAnsi="宋体" w:hint="eastAsia"/>
          <w:sz w:val="24"/>
          <w:szCs w:val="24"/>
        </w:rPr>
      </w:pPr>
      <w:r>
        <w:rPr>
          <w:rFonts w:ascii="宋体" w:hAnsi="宋体" w:hint="eastAsia"/>
          <w:sz w:val="24"/>
          <w:szCs w:val="24"/>
        </w:rPr>
        <w:t>（八）开标时间：20</w:t>
      </w:r>
      <w:r>
        <w:rPr>
          <w:rFonts w:ascii="宋体" w:hAnsi="宋体"/>
          <w:sz w:val="24"/>
          <w:szCs w:val="24"/>
        </w:rPr>
        <w:t>22</w:t>
      </w:r>
      <w:r>
        <w:rPr>
          <w:rFonts w:ascii="宋体" w:hAnsi="宋体" w:hint="eastAsia"/>
          <w:sz w:val="24"/>
          <w:szCs w:val="24"/>
        </w:rPr>
        <w:t>年</w:t>
      </w:r>
      <w:r>
        <w:rPr>
          <w:rFonts w:ascii="宋体" w:hAnsi="宋体"/>
          <w:sz w:val="24"/>
          <w:szCs w:val="24"/>
          <w:u w:val="single"/>
        </w:rPr>
        <w:t xml:space="preserve"> 2 </w:t>
      </w:r>
      <w:r>
        <w:rPr>
          <w:rFonts w:ascii="宋体" w:hAnsi="宋体" w:hint="eastAsia"/>
          <w:sz w:val="24"/>
          <w:szCs w:val="24"/>
        </w:rPr>
        <w:t>月</w:t>
      </w:r>
      <w:r>
        <w:rPr>
          <w:rFonts w:ascii="宋体" w:hAnsi="宋体"/>
          <w:sz w:val="24"/>
          <w:szCs w:val="24"/>
          <w:u w:val="single"/>
        </w:rPr>
        <w:t xml:space="preserve"> 14 </w:t>
      </w:r>
      <w:r>
        <w:rPr>
          <w:rFonts w:ascii="宋体" w:hAnsi="宋体" w:hint="eastAsia"/>
          <w:sz w:val="24"/>
          <w:szCs w:val="24"/>
        </w:rPr>
        <w:t>日14:00（北京时间）。</w:t>
      </w:r>
    </w:p>
    <w:p>
      <w:pPr>
        <w:spacing w:line="360" w:lineRule="auto"/>
        <w:ind w:firstLine="480" w:firstLineChars="200"/>
        <w:rPr>
          <w:rFonts w:ascii="宋体" w:hAnsi="宋体" w:hint="eastAsia"/>
          <w:sz w:val="24"/>
          <w:szCs w:val="24"/>
        </w:rPr>
      </w:pPr>
      <w:r>
        <w:rPr>
          <w:rFonts w:ascii="宋体" w:hAnsi="宋体" w:hint="eastAsia"/>
          <w:sz w:val="24"/>
          <w:szCs w:val="24"/>
        </w:rPr>
        <w:t>（九）开标地点：同投标地点。</w:t>
      </w:r>
    </w:p>
    <w:p>
      <w:pPr>
        <w:pStyle w:val="Heading2"/>
        <w:ind w:firstLine="480" w:firstLineChars="200"/>
        <w:jc w:val="left"/>
        <w:rPr>
          <w:rFonts w:hint="eastAsia"/>
          <w:b/>
          <w:sz w:val="24"/>
        </w:rPr>
      </w:pPr>
      <w:bookmarkStart w:id="10" w:name="_Toc93908305"/>
      <w:r>
        <w:rPr>
          <w:rFonts w:hint="eastAsia"/>
          <w:b/>
          <w:sz w:val="24"/>
        </w:rPr>
        <w:t>五、投标保证金</w:t>
      </w:r>
      <w:bookmarkEnd w:id="10"/>
    </w:p>
    <w:p>
      <w:pPr>
        <w:snapToGrid w:val="0"/>
        <w:spacing w:line="360" w:lineRule="auto"/>
        <w:ind w:firstLine="480" w:firstLineChars="200"/>
        <w:rPr>
          <w:rFonts w:ascii="宋体" w:hAnsi="宋体"/>
          <w:sz w:val="24"/>
          <w:szCs w:val="24"/>
        </w:rPr>
      </w:pPr>
      <w:r>
        <w:rPr>
          <w:rFonts w:ascii="宋体" w:hAnsi="宋体" w:hint="eastAsia"/>
          <w:sz w:val="24"/>
          <w:szCs w:val="24"/>
        </w:rPr>
        <w:t>（一）投标保证金递交</w:t>
      </w:r>
    </w:p>
    <w:p>
      <w:pPr>
        <w:snapToGrid w:val="0"/>
        <w:spacing w:line="360" w:lineRule="auto"/>
        <w:ind w:firstLine="480" w:firstLineChars="200"/>
        <w:rPr>
          <w:rFonts w:ascii="宋体" w:hAnsi="宋体" w:hint="eastAsia"/>
          <w:sz w:val="24"/>
          <w:szCs w:val="24"/>
        </w:rPr>
      </w:pPr>
      <w:r>
        <w:rPr>
          <w:rFonts w:ascii="宋体" w:hAnsi="宋体" w:hint="eastAsia"/>
          <w:sz w:val="24"/>
          <w:szCs w:val="24"/>
        </w:rPr>
        <w:t>投标人须按本项目规定的投标保证金金额进行缴纳（</w:t>
      </w:r>
      <w:r>
        <w:rPr>
          <w:rFonts w:ascii="宋体" w:hAnsi="宋体" w:hint="eastAsia"/>
          <w:b/>
          <w:bCs/>
          <w:sz w:val="24"/>
          <w:szCs w:val="24"/>
        </w:rPr>
        <w:t>保证金金额详见本篇，一、招标项目内容</w:t>
      </w:r>
      <w:r>
        <w:rPr>
          <w:rFonts w:ascii="宋体" w:hAnsi="宋体" w:hint="eastAsia"/>
          <w:sz w:val="24"/>
          <w:szCs w:val="24"/>
        </w:rPr>
        <w:t>），由投标人从其单位账户将投标保证金汇至以下任一账户，投标保证金的到账截止时间为202</w:t>
      </w:r>
      <w:r>
        <w:rPr>
          <w:rFonts w:ascii="宋体" w:hAnsi="宋体"/>
          <w:sz w:val="24"/>
          <w:szCs w:val="24"/>
        </w:rPr>
        <w:t>2</w:t>
      </w:r>
      <w:r>
        <w:rPr>
          <w:rFonts w:ascii="宋体" w:hAnsi="宋体" w:hint="eastAsia"/>
          <w:sz w:val="24"/>
          <w:szCs w:val="24"/>
        </w:rPr>
        <w:t>年</w:t>
      </w:r>
      <w:r>
        <w:rPr>
          <w:rFonts w:ascii="宋体" w:hAnsi="宋体"/>
          <w:sz w:val="24"/>
          <w:szCs w:val="24"/>
        </w:rPr>
        <w:t>2</w:t>
      </w:r>
      <w:r>
        <w:rPr>
          <w:rFonts w:ascii="宋体" w:hAnsi="宋体" w:hint="eastAsia"/>
          <w:sz w:val="24"/>
          <w:szCs w:val="24"/>
        </w:rPr>
        <w:t>月</w:t>
      </w:r>
      <w:r>
        <w:rPr>
          <w:rFonts w:ascii="宋体" w:hAnsi="宋体"/>
          <w:sz w:val="24"/>
          <w:szCs w:val="24"/>
        </w:rPr>
        <w:t>13</w:t>
      </w:r>
      <w:r>
        <w:rPr>
          <w:rFonts w:ascii="宋体" w:hAnsi="宋体" w:hint="eastAsia"/>
          <w:sz w:val="24"/>
          <w:szCs w:val="24"/>
        </w:rPr>
        <w:t>日17:00。缴纳保证金时必须备注项目号。</w:t>
      </w:r>
    </w:p>
    <w:p>
      <w:pPr>
        <w:snapToGrid w:val="0"/>
        <w:spacing w:line="360" w:lineRule="auto"/>
        <w:ind w:firstLine="480" w:firstLineChars="200"/>
        <w:rPr>
          <w:rFonts w:ascii="宋体" w:hAnsi="宋体" w:hint="eastAsia"/>
          <w:sz w:val="24"/>
          <w:szCs w:val="24"/>
        </w:rPr>
      </w:pPr>
      <w:r>
        <w:rPr>
          <w:rFonts w:ascii="宋体" w:hAnsi="宋体" w:hint="eastAsia"/>
          <w:sz w:val="24"/>
          <w:szCs w:val="24"/>
        </w:rPr>
        <w:t>投标保证金账户：</w:t>
      </w:r>
    </w:p>
    <w:p>
      <w:pPr>
        <w:snapToGrid w:val="0"/>
        <w:spacing w:line="360" w:lineRule="auto"/>
        <w:ind w:firstLine="480" w:firstLineChars="200"/>
        <w:rPr>
          <w:rFonts w:ascii="宋体" w:hAnsi="宋体" w:hint="eastAsia"/>
          <w:b/>
          <w:bCs/>
          <w:sz w:val="24"/>
          <w:szCs w:val="24"/>
        </w:rPr>
      </w:pPr>
      <w:r>
        <w:rPr>
          <w:rFonts w:ascii="宋体" w:hAnsi="宋体" w:hint="eastAsia"/>
          <w:b/>
          <w:bCs/>
          <w:sz w:val="24"/>
          <w:szCs w:val="24"/>
        </w:rPr>
        <w:t>户  名：重庆市中基致信招标代理有限公司</w:t>
      </w:r>
    </w:p>
    <w:p>
      <w:pPr>
        <w:snapToGrid w:val="0"/>
        <w:spacing w:line="360" w:lineRule="auto"/>
        <w:ind w:firstLine="480" w:firstLineChars="200"/>
        <w:rPr>
          <w:rFonts w:ascii="宋体" w:hAnsi="宋体" w:hint="eastAsia"/>
          <w:b/>
          <w:bCs/>
          <w:sz w:val="24"/>
          <w:szCs w:val="24"/>
        </w:rPr>
      </w:pPr>
      <w:r>
        <w:rPr>
          <w:rFonts w:ascii="宋体" w:hAnsi="宋体" w:hint="eastAsia"/>
          <w:b/>
          <w:bCs/>
          <w:sz w:val="24"/>
          <w:szCs w:val="24"/>
        </w:rPr>
        <w:t>开户行：中国银行重庆江北支行</w:t>
      </w:r>
    </w:p>
    <w:p>
      <w:pPr>
        <w:snapToGrid w:val="0"/>
        <w:spacing w:line="360" w:lineRule="auto"/>
        <w:ind w:firstLine="480" w:firstLineChars="200"/>
        <w:rPr>
          <w:rFonts w:ascii="宋体" w:hAnsi="宋体" w:hint="eastAsia"/>
          <w:b/>
          <w:bCs/>
          <w:sz w:val="24"/>
          <w:szCs w:val="24"/>
        </w:rPr>
      </w:pPr>
      <w:r>
        <w:rPr>
          <w:rFonts w:ascii="宋体" w:hAnsi="宋体" w:hint="eastAsia"/>
          <w:b/>
          <w:bCs/>
          <w:sz w:val="24"/>
          <w:szCs w:val="24"/>
        </w:rPr>
        <w:t>账  号：1144 6718 4234</w:t>
      </w:r>
    </w:p>
    <w:p>
      <w:pPr>
        <w:snapToGrid w:val="0"/>
        <w:spacing w:line="360" w:lineRule="auto"/>
        <w:ind w:firstLine="480" w:firstLineChars="200"/>
        <w:rPr>
          <w:rFonts w:ascii="宋体" w:hAnsi="宋体" w:hint="eastAsia"/>
          <w:sz w:val="24"/>
          <w:szCs w:val="24"/>
        </w:rPr>
      </w:pPr>
      <w:r>
        <w:rPr>
          <w:rFonts w:ascii="宋体" w:hAnsi="宋体" w:hint="eastAsia"/>
          <w:sz w:val="24"/>
          <w:szCs w:val="24"/>
        </w:rPr>
        <w:t>（二）保证金退还方式</w:t>
      </w:r>
    </w:p>
    <w:p>
      <w:pPr>
        <w:snapToGrid w:val="0"/>
        <w:spacing w:line="360" w:lineRule="auto"/>
        <w:ind w:firstLine="480" w:firstLineChars="200"/>
        <w:rPr>
          <w:rFonts w:ascii="宋体" w:hAnsi="宋体" w:hint="eastAsia"/>
          <w:sz w:val="24"/>
          <w:szCs w:val="24"/>
        </w:rPr>
      </w:pPr>
      <w:r>
        <w:rPr>
          <w:rFonts w:ascii="宋体" w:hAnsi="宋体" w:hint="eastAsia"/>
          <w:sz w:val="24"/>
          <w:szCs w:val="24"/>
        </w:rPr>
        <w:t>1.非中标人的保证金，在中标通知书发放后，由采购代理机构在五个工作日内按来款渠道直接退还。</w:t>
      </w:r>
    </w:p>
    <w:p>
      <w:pPr>
        <w:snapToGrid w:val="0"/>
        <w:spacing w:line="360" w:lineRule="auto"/>
        <w:ind w:firstLine="480" w:firstLineChars="200"/>
        <w:rPr>
          <w:rFonts w:ascii="宋体" w:hAnsi="宋体" w:hint="eastAsia"/>
          <w:sz w:val="24"/>
          <w:szCs w:val="24"/>
        </w:rPr>
      </w:pPr>
      <w:r>
        <w:rPr>
          <w:rFonts w:ascii="宋体" w:hAnsi="宋体" w:hint="eastAsia"/>
          <w:sz w:val="24"/>
          <w:szCs w:val="24"/>
        </w:rPr>
        <w:t>2.中标人的保证金，在中标人与采购人签订合同后，由采购代理机构扣除采购代理服务费后在五个工作日内按资金来款渠道直接退还。</w:t>
      </w:r>
    </w:p>
    <w:p>
      <w:pPr>
        <w:snapToGrid w:val="0"/>
        <w:spacing w:line="360" w:lineRule="auto"/>
        <w:ind w:firstLine="480" w:firstLineChars="200"/>
        <w:rPr>
          <w:rFonts w:ascii="宋体" w:hAnsi="宋体"/>
          <w:sz w:val="24"/>
          <w:szCs w:val="24"/>
        </w:rPr>
        <w:sectPr>
          <w:headerReference w:type="default" r:id="rId21"/>
          <w:footerReference w:type="even" r:id="rId22"/>
          <w:footerReference w:type="default" r:id="rId23"/>
          <w:headerReference w:type="first" r:id="rId24"/>
          <w:type w:val="nextPage"/>
          <w:pgSz w:w="11907" w:h="16840"/>
          <w:pgMar w:top="1134" w:right="1191" w:bottom="1134" w:left="1191" w:header="851" w:footer="992" w:gutter="0"/>
          <w:pgNumType w:fmt="numberInDash" w:start="4"/>
          <w:cols w:space="708"/>
          <w:titlePg w:val="0"/>
          <w:docGrid w:linePitch="380" w:charSpace="-5735"/>
        </w:sectPr>
      </w:pPr>
      <w:r>
        <w:rPr>
          <w:rFonts w:ascii="宋体" w:hAnsi="宋体" w:hint="eastAsia"/>
          <w:sz w:val="24"/>
          <w:szCs w:val="24"/>
        </w:rPr>
        <w:t>咨询电话：（023）88758852。</w:t>
      </w:r>
    </w:p>
    <w:p>
      <w:pPr>
        <w:pStyle w:val="Heading2"/>
        <w:ind w:firstLine="480" w:firstLineChars="200"/>
        <w:jc w:val="left"/>
        <w:rPr>
          <w:rFonts w:hint="eastAsia"/>
          <w:b/>
          <w:sz w:val="24"/>
        </w:rPr>
      </w:pPr>
      <w:bookmarkStart w:id="11" w:name="_Toc93908306"/>
      <w:r>
        <w:rPr>
          <w:rFonts w:hint="eastAsia"/>
          <w:b/>
          <w:sz w:val="24"/>
        </w:rPr>
        <w:t>六、采购项目需落实的政府采购政策</w:t>
      </w:r>
      <w:bookmarkEnd w:id="11"/>
    </w:p>
    <w:p>
      <w:pPr>
        <w:snapToGrid w:val="0"/>
        <w:spacing w:line="360" w:lineRule="auto"/>
        <w:ind w:firstLine="480" w:firstLineChars="200"/>
        <w:rPr>
          <w:rFonts w:ascii="宋体" w:hAnsi="宋体" w:hint="eastAsia"/>
          <w:sz w:val="24"/>
          <w:szCs w:val="24"/>
        </w:rPr>
      </w:pPr>
      <w:r>
        <w:rPr>
          <w:rFonts w:ascii="宋体" w:hAnsi="宋体" w:hint="eastAsia"/>
          <w:sz w:val="24"/>
          <w:szCs w:val="24"/>
        </w:rPr>
        <w:t>（一）按照《财政部发展改革委关于印发节能产品政府采购品目清单的通知》（财库〔2019〕19号）、《财政部生态环境部关于印发环境标志产品政府采购品目清单的通知》（财库〔2019〕18号）的规定，落实国家节能环保政策。</w:t>
      </w:r>
    </w:p>
    <w:p>
      <w:pPr>
        <w:snapToGrid w:val="0"/>
        <w:spacing w:line="360" w:lineRule="auto"/>
        <w:ind w:firstLine="480" w:firstLineChars="200"/>
        <w:rPr>
          <w:rFonts w:ascii="宋体" w:hAnsi="宋体" w:hint="eastAsia"/>
          <w:sz w:val="24"/>
          <w:szCs w:val="24"/>
        </w:rPr>
      </w:pPr>
      <w:r>
        <w:rPr>
          <w:rFonts w:ascii="宋体" w:hAnsi="宋体" w:hint="eastAsia"/>
          <w:sz w:val="24"/>
          <w:szCs w:val="24"/>
        </w:rPr>
        <w:t>（二）按照《关于印发&lt;政府采购促进中小企业发展管理办法&gt;的通知》（财库〔2020〕46号）的规定，落实促进中小企业发展政策。</w:t>
      </w:r>
    </w:p>
    <w:p>
      <w:pPr>
        <w:snapToGrid w:val="0"/>
        <w:spacing w:line="360" w:lineRule="auto"/>
        <w:ind w:firstLine="480" w:firstLineChars="200"/>
        <w:rPr>
          <w:rFonts w:ascii="宋体" w:hAnsi="宋体" w:hint="eastAsia"/>
          <w:sz w:val="24"/>
          <w:szCs w:val="24"/>
        </w:rPr>
      </w:pPr>
      <w:r>
        <w:rPr>
          <w:rFonts w:ascii="宋体" w:hAnsi="宋体" w:hint="eastAsia"/>
          <w:sz w:val="24"/>
          <w:szCs w:val="24"/>
        </w:rPr>
        <w:t>（三）按照《财政部、司法部关于政府采购支持监狱企业发展有关问题的通知》（财库〔2014〕68号）的规定，落实支持监狱企业发展政策。</w:t>
      </w:r>
    </w:p>
    <w:p>
      <w:pPr>
        <w:snapToGrid w:val="0"/>
        <w:spacing w:line="360" w:lineRule="auto"/>
        <w:ind w:firstLine="480" w:firstLineChars="200"/>
        <w:rPr>
          <w:rFonts w:ascii="宋体" w:hAnsi="宋体" w:hint="eastAsia"/>
          <w:sz w:val="24"/>
          <w:szCs w:val="24"/>
        </w:rPr>
      </w:pPr>
      <w:r>
        <w:rPr>
          <w:rFonts w:ascii="宋体" w:hAnsi="宋体" w:hint="eastAsia"/>
          <w:sz w:val="24"/>
          <w:szCs w:val="24"/>
        </w:rPr>
        <w:t>（四）按照《三部门联合发布关于促进残疾人就业政府采购政策的通知》（财库〔2017〕 141号）的规定，落实支持残疾人福利性单位发展政策。</w:t>
      </w:r>
    </w:p>
    <w:p>
      <w:pPr>
        <w:pStyle w:val="Heading2"/>
        <w:ind w:firstLine="480" w:firstLineChars="200"/>
        <w:jc w:val="left"/>
        <w:rPr>
          <w:rFonts w:hint="eastAsia"/>
          <w:b/>
          <w:sz w:val="24"/>
        </w:rPr>
      </w:pPr>
      <w:bookmarkStart w:id="12" w:name="_Toc93908307"/>
      <w:r>
        <w:rPr>
          <w:rFonts w:hint="eastAsia"/>
          <w:b/>
          <w:sz w:val="24"/>
        </w:rPr>
        <w:t>七、投标有关规定</w:t>
      </w:r>
      <w:bookmarkEnd w:id="12"/>
    </w:p>
    <w:p>
      <w:pPr>
        <w:snapToGrid w:val="0"/>
        <w:spacing w:line="360" w:lineRule="auto"/>
        <w:ind w:firstLine="480" w:firstLineChars="200"/>
        <w:rPr>
          <w:rFonts w:ascii="宋体" w:hAnsi="宋体" w:hint="eastAsia"/>
          <w:sz w:val="24"/>
          <w:szCs w:val="24"/>
        </w:rPr>
      </w:pPr>
      <w:r>
        <w:rPr>
          <w:rFonts w:ascii="宋体" w:hAnsi="宋体" w:hint="eastAsia"/>
          <w:sz w:val="24"/>
          <w:szCs w:val="24"/>
        </w:rPr>
        <w:t>（一）</w:t>
      </w:r>
      <w:r>
        <w:rPr>
          <w:rFonts w:ascii="宋体" w:hAnsi="宋体"/>
          <w:sz w:val="24"/>
          <w:szCs w:val="24"/>
        </w:rPr>
        <w:t>单位负责人为同一人或者存在直接控股、管理关系的不同投标人，不得参加同一合同项</w:t>
      </w:r>
      <w:r>
        <w:rPr>
          <w:rFonts w:ascii="宋体" w:hAnsi="宋体" w:hint="eastAsia"/>
          <w:sz w:val="24"/>
          <w:szCs w:val="24"/>
        </w:rPr>
        <w:t>（分包）</w:t>
      </w:r>
      <w:r>
        <w:rPr>
          <w:rFonts w:ascii="宋体" w:hAnsi="宋体"/>
          <w:sz w:val="24"/>
          <w:szCs w:val="24"/>
        </w:rPr>
        <w:t>下的政府采购活动。</w:t>
      </w:r>
    </w:p>
    <w:p>
      <w:pPr>
        <w:snapToGrid w:val="0"/>
        <w:spacing w:line="360" w:lineRule="auto"/>
        <w:ind w:firstLine="480" w:firstLineChars="200"/>
        <w:rPr>
          <w:rFonts w:ascii="宋体" w:hAnsi="宋体" w:hint="eastAsia"/>
          <w:sz w:val="24"/>
          <w:szCs w:val="24"/>
        </w:rPr>
      </w:pPr>
      <w:r>
        <w:rPr>
          <w:rFonts w:ascii="宋体" w:hAnsi="宋体" w:hint="eastAsia"/>
          <w:sz w:val="24"/>
          <w:szCs w:val="24"/>
        </w:rPr>
        <w:t>（二）</w:t>
      </w:r>
      <w:r>
        <w:rPr>
          <w:rFonts w:ascii="宋体" w:hAnsi="宋体"/>
          <w:sz w:val="24"/>
          <w:szCs w:val="24"/>
        </w:rPr>
        <w:t>为采购项目提供整体设计、规范编制或者项目管理、监理、检测等服务的投标人，不得再参加</w:t>
      </w:r>
      <w:r>
        <w:rPr>
          <w:rFonts w:ascii="宋体" w:hAnsi="宋体" w:hint="eastAsia"/>
          <w:sz w:val="24"/>
          <w:szCs w:val="24"/>
        </w:rPr>
        <w:t>该采购</w:t>
      </w:r>
      <w:r>
        <w:rPr>
          <w:rFonts w:ascii="宋体" w:hAnsi="宋体"/>
          <w:sz w:val="24"/>
          <w:szCs w:val="24"/>
        </w:rPr>
        <w:t>项目的</w:t>
      </w:r>
      <w:r>
        <w:rPr>
          <w:rFonts w:ascii="宋体" w:hAnsi="宋体" w:hint="eastAsia"/>
          <w:sz w:val="24"/>
          <w:szCs w:val="24"/>
        </w:rPr>
        <w:t>其他</w:t>
      </w:r>
      <w:r>
        <w:rPr>
          <w:rFonts w:ascii="宋体" w:hAnsi="宋体"/>
          <w:sz w:val="24"/>
          <w:szCs w:val="24"/>
        </w:rPr>
        <w:t>采购活动。</w:t>
      </w:r>
    </w:p>
    <w:p>
      <w:pPr>
        <w:snapToGrid w:val="0"/>
        <w:spacing w:line="360" w:lineRule="auto"/>
        <w:ind w:firstLine="480" w:firstLineChars="200"/>
        <w:rPr>
          <w:rFonts w:ascii="宋体" w:hAnsi="宋体"/>
          <w:sz w:val="24"/>
          <w:szCs w:val="24"/>
        </w:rPr>
      </w:pPr>
      <w:r>
        <w:rPr>
          <w:rFonts w:ascii="宋体" w:hAnsi="宋体" w:hint="eastAsia"/>
          <w:sz w:val="24"/>
          <w:szCs w:val="24"/>
        </w:rPr>
        <w:t>（三）本项目若有补遗文件一律在重庆市经济和信息化委员会网上（http://jjxxw.cq.gov.cn/）上发布，请各投标人注意在网上下载或到采购代理机构领取；无论投标人下载或领取与否，均视同投标人已知晓本项目补遗文件的内容。</w:t>
      </w:r>
    </w:p>
    <w:p>
      <w:pPr>
        <w:snapToGrid w:val="0"/>
        <w:spacing w:line="360" w:lineRule="auto"/>
        <w:ind w:firstLine="480" w:firstLineChars="200"/>
        <w:rPr>
          <w:rFonts w:ascii="宋体" w:hAnsi="宋体" w:hint="eastAsia"/>
          <w:sz w:val="24"/>
          <w:szCs w:val="24"/>
        </w:rPr>
      </w:pPr>
      <w:r>
        <w:rPr>
          <w:rFonts w:ascii="宋体" w:hAnsi="宋体" w:hint="eastAsia"/>
          <w:sz w:val="24"/>
          <w:szCs w:val="24"/>
        </w:rPr>
        <w:t>（四）超过投标截止时间递交的投标文件，恕不接收。</w:t>
      </w:r>
    </w:p>
    <w:p>
      <w:pPr>
        <w:snapToGrid w:val="0"/>
        <w:spacing w:line="360" w:lineRule="auto"/>
        <w:ind w:firstLine="480" w:firstLineChars="200"/>
        <w:rPr>
          <w:rFonts w:ascii="宋体" w:hAnsi="宋体" w:hint="eastAsia"/>
          <w:sz w:val="24"/>
          <w:szCs w:val="24"/>
        </w:rPr>
      </w:pPr>
      <w:r>
        <w:rPr>
          <w:rFonts w:ascii="宋体" w:hAnsi="宋体" w:hint="eastAsia"/>
          <w:sz w:val="24"/>
          <w:szCs w:val="24"/>
        </w:rPr>
        <w:t>（五）投标费用：无论投标结果如何，投标人参与本项目投标的所有费用均应由投标人自行承担。</w:t>
      </w:r>
    </w:p>
    <w:p>
      <w:pPr>
        <w:snapToGrid w:val="0"/>
        <w:spacing w:line="360" w:lineRule="auto"/>
        <w:ind w:firstLine="480" w:firstLineChars="200"/>
        <w:rPr>
          <w:rFonts w:ascii="宋体" w:hAnsi="宋体" w:hint="eastAsia"/>
          <w:b/>
          <w:sz w:val="24"/>
          <w:szCs w:val="24"/>
        </w:rPr>
      </w:pPr>
      <w:r>
        <w:rPr>
          <w:rFonts w:ascii="宋体" w:hAnsi="宋体" w:hint="eastAsia"/>
          <w:b/>
          <w:sz w:val="24"/>
          <w:szCs w:val="24"/>
        </w:rPr>
        <w:t>（六）本项目不接受联合体参与投标。</w:t>
      </w:r>
    </w:p>
    <w:p>
      <w:pPr>
        <w:snapToGrid w:val="0"/>
        <w:spacing w:line="360" w:lineRule="auto"/>
        <w:ind w:firstLine="480" w:firstLineChars="200"/>
        <w:rPr>
          <w:rFonts w:ascii="宋体" w:hAnsi="宋体" w:hint="eastAsia"/>
          <w:b/>
          <w:sz w:val="24"/>
          <w:szCs w:val="24"/>
        </w:rPr>
      </w:pPr>
      <w:r>
        <w:rPr>
          <w:rFonts w:ascii="宋体" w:hAnsi="宋体" w:hint="eastAsia"/>
          <w:b/>
          <w:sz w:val="24"/>
          <w:szCs w:val="24"/>
        </w:rPr>
        <w:t>（七）本项目不接受合同分包。</w:t>
      </w:r>
    </w:p>
    <w:p>
      <w:pPr>
        <w:snapToGrid w:val="0"/>
        <w:spacing w:line="360" w:lineRule="auto"/>
        <w:ind w:firstLine="480" w:firstLineChars="200"/>
        <w:rPr>
          <w:rFonts w:ascii="宋体" w:hAnsi="宋体" w:hint="eastAsia"/>
          <w:sz w:val="24"/>
          <w:szCs w:val="24"/>
        </w:rPr>
      </w:pPr>
      <w:bookmarkStart w:id="13" w:name="OLE_LINK2"/>
      <w:bookmarkStart w:id="14" w:name="OLE_LINK1"/>
      <w:r>
        <w:rPr>
          <w:rFonts w:ascii="宋体" w:hAnsi="宋体" w:hint="eastAsia"/>
          <w:sz w:val="24"/>
          <w:szCs w:val="24"/>
        </w:rPr>
        <w:t>（八）按照《财政部关于在政府采购活动中查询及使用信用记录有关问题的通知》财库〔2016〕125号，投标人列入失信被执行人、重大税收违法案件当事人名单、政府采购严重违法失信行为记录名单及其他不符合《中华人民共和国政府采购法》第二十二条规定条件的</w:t>
      </w:r>
      <w:bookmarkEnd w:id="13"/>
      <w:bookmarkEnd w:id="14"/>
      <w:r>
        <w:rPr>
          <w:rFonts w:ascii="宋体" w:hAnsi="宋体" w:hint="eastAsia"/>
          <w:sz w:val="24"/>
          <w:szCs w:val="24"/>
        </w:rPr>
        <w:t>投标人，将拒绝其参与政府采购活动。</w:t>
      </w:r>
    </w:p>
    <w:p>
      <w:pPr>
        <w:pStyle w:val="Heading2"/>
        <w:ind w:firstLine="480" w:firstLineChars="200"/>
        <w:jc w:val="left"/>
        <w:rPr>
          <w:rFonts w:hint="eastAsia"/>
          <w:b/>
          <w:sz w:val="24"/>
        </w:rPr>
      </w:pPr>
      <w:bookmarkStart w:id="15" w:name="_Toc93908308"/>
      <w:r>
        <w:rPr>
          <w:rFonts w:hint="eastAsia"/>
          <w:b/>
          <w:sz w:val="24"/>
        </w:rPr>
        <w:t>八、联系方式</w:t>
      </w:r>
      <w:bookmarkEnd w:id="15"/>
    </w:p>
    <w:p>
      <w:pPr>
        <w:snapToGrid w:val="0"/>
        <w:spacing w:line="360" w:lineRule="auto"/>
        <w:ind w:firstLine="480" w:firstLineChars="200"/>
        <w:rPr>
          <w:rFonts w:ascii="宋体" w:hAnsi="宋体" w:hint="eastAsia"/>
          <w:sz w:val="24"/>
          <w:szCs w:val="24"/>
        </w:rPr>
      </w:pPr>
      <w:r>
        <w:rPr>
          <w:rFonts w:ascii="宋体" w:hAnsi="宋体"/>
          <w:sz w:val="24"/>
          <w:szCs w:val="24"/>
        </w:rPr>
        <w:t>（一）</w:t>
      </w:r>
      <w:r>
        <w:rPr>
          <w:rFonts w:ascii="宋体" w:hAnsi="宋体" w:hint="eastAsia"/>
          <w:sz w:val="24"/>
          <w:szCs w:val="24"/>
        </w:rPr>
        <w:t>采购人：重庆市经济和信息化委员会</w:t>
      </w:r>
    </w:p>
    <w:p>
      <w:pPr>
        <w:snapToGrid w:val="0"/>
        <w:spacing w:line="360" w:lineRule="auto"/>
        <w:ind w:firstLine="480" w:firstLineChars="200"/>
        <w:rPr>
          <w:rFonts w:ascii="宋体" w:hAnsi="宋体" w:hint="eastAsia"/>
          <w:sz w:val="24"/>
          <w:szCs w:val="24"/>
        </w:rPr>
      </w:pPr>
      <w:r>
        <w:rPr>
          <w:rFonts w:ascii="宋体" w:hAnsi="宋体" w:hint="eastAsia"/>
          <w:sz w:val="24"/>
          <w:szCs w:val="24"/>
        </w:rPr>
        <w:t>联系人：黄老师</w:t>
      </w:r>
    </w:p>
    <w:p>
      <w:pPr>
        <w:snapToGrid w:val="0"/>
        <w:spacing w:line="360" w:lineRule="auto"/>
        <w:ind w:firstLine="480" w:firstLineChars="200"/>
        <w:rPr>
          <w:rFonts w:ascii="宋体" w:hAnsi="宋体" w:hint="eastAsia"/>
          <w:sz w:val="24"/>
          <w:szCs w:val="24"/>
        </w:rPr>
        <w:sectPr>
          <w:headerReference w:type="default" r:id="rId25"/>
          <w:footerReference w:type="even" r:id="rId26"/>
          <w:footerReference w:type="default" r:id="rId27"/>
          <w:headerReference w:type="first" r:id="rId28"/>
          <w:type w:val="nextPage"/>
          <w:pgSz w:w="11907" w:h="16840"/>
          <w:pgMar w:top="1134" w:right="1191" w:bottom="1134" w:left="1191" w:header="851" w:footer="992" w:gutter="0"/>
          <w:pgNumType w:fmt="numberInDash" w:start="5"/>
          <w:cols w:space="708"/>
          <w:titlePg w:val="0"/>
          <w:docGrid w:linePitch="380" w:charSpace="-5735"/>
        </w:sectPr>
      </w:pPr>
      <w:r>
        <w:rPr>
          <w:rFonts w:ascii="宋体" w:hAnsi="宋体" w:hint="eastAsia"/>
          <w:sz w:val="24"/>
          <w:szCs w:val="24"/>
        </w:rPr>
        <w:t>电  话：（0</w:t>
      </w:r>
      <w:r>
        <w:rPr>
          <w:rFonts w:ascii="宋体" w:hAnsi="宋体"/>
          <w:sz w:val="24"/>
          <w:szCs w:val="24"/>
        </w:rPr>
        <w:t>23</w:t>
      </w:r>
      <w:r>
        <w:rPr>
          <w:rFonts w:ascii="宋体" w:hAnsi="宋体" w:hint="eastAsia"/>
          <w:sz w:val="24"/>
          <w:szCs w:val="24"/>
        </w:rPr>
        <w:t>）63899232</w:t>
      </w:r>
    </w:p>
    <w:p>
      <w:pPr>
        <w:snapToGrid w:val="0"/>
        <w:spacing w:line="360" w:lineRule="auto"/>
        <w:ind w:firstLine="480" w:firstLineChars="200"/>
        <w:rPr>
          <w:rFonts w:ascii="宋体" w:hAnsi="宋体"/>
          <w:sz w:val="24"/>
          <w:szCs w:val="24"/>
        </w:rPr>
      </w:pPr>
      <w:r>
        <w:rPr>
          <w:rFonts w:ascii="宋体" w:hAnsi="宋体" w:hint="eastAsia"/>
          <w:sz w:val="24"/>
          <w:szCs w:val="24"/>
        </w:rPr>
        <w:t>地  址：重庆市渝北区云杉南路12号</w:t>
      </w:r>
    </w:p>
    <w:p>
      <w:pPr>
        <w:snapToGrid w:val="0"/>
        <w:spacing w:line="360" w:lineRule="auto"/>
        <w:ind w:firstLine="480" w:firstLineChars="200"/>
        <w:rPr>
          <w:rFonts w:ascii="宋体" w:hAnsi="宋体"/>
          <w:sz w:val="24"/>
          <w:szCs w:val="24"/>
        </w:rPr>
      </w:pPr>
      <w:r>
        <w:rPr>
          <w:rFonts w:ascii="宋体" w:hAnsi="宋体"/>
          <w:sz w:val="24"/>
          <w:szCs w:val="24"/>
        </w:rPr>
        <w:t>（二）采购代理机构：重庆市中基致信招标代理有限公司</w:t>
      </w:r>
    </w:p>
    <w:p>
      <w:pPr>
        <w:snapToGrid w:val="0"/>
        <w:spacing w:line="360" w:lineRule="auto"/>
        <w:ind w:firstLine="480" w:firstLineChars="200"/>
        <w:rPr>
          <w:rFonts w:ascii="宋体" w:hAnsi="宋体"/>
          <w:sz w:val="24"/>
          <w:szCs w:val="24"/>
        </w:rPr>
      </w:pPr>
      <w:r>
        <w:rPr>
          <w:rFonts w:ascii="宋体" w:hAnsi="宋体"/>
          <w:sz w:val="24"/>
          <w:szCs w:val="24"/>
        </w:rPr>
        <w:t>联系人：</w:t>
      </w:r>
      <w:r>
        <w:rPr>
          <w:rFonts w:ascii="宋体" w:hAnsi="宋体" w:hint="eastAsia"/>
          <w:sz w:val="24"/>
          <w:szCs w:val="24"/>
        </w:rPr>
        <w:t>游</w:t>
      </w:r>
      <w:r>
        <w:rPr>
          <w:rFonts w:ascii="宋体" w:hAnsi="宋体"/>
          <w:sz w:val="24"/>
          <w:szCs w:val="24"/>
        </w:rPr>
        <w:t>老师、</w:t>
      </w:r>
      <w:r>
        <w:rPr>
          <w:rFonts w:ascii="宋体" w:hAnsi="宋体" w:hint="eastAsia"/>
          <w:sz w:val="24"/>
          <w:szCs w:val="24"/>
        </w:rPr>
        <w:t>胡</w:t>
      </w:r>
      <w:r>
        <w:rPr>
          <w:rFonts w:ascii="宋体" w:hAnsi="宋体"/>
          <w:sz w:val="24"/>
          <w:szCs w:val="24"/>
        </w:rPr>
        <w:t>老师</w:t>
      </w:r>
    </w:p>
    <w:p>
      <w:pPr>
        <w:snapToGrid w:val="0"/>
        <w:spacing w:line="360" w:lineRule="auto"/>
        <w:ind w:firstLine="480" w:firstLineChars="200"/>
        <w:rPr>
          <w:rFonts w:ascii="宋体" w:hAnsi="宋体"/>
          <w:sz w:val="24"/>
          <w:szCs w:val="24"/>
        </w:rPr>
      </w:pPr>
      <w:r>
        <w:rPr>
          <w:rFonts w:ascii="宋体" w:hAnsi="宋体"/>
          <w:sz w:val="24"/>
          <w:szCs w:val="24"/>
        </w:rPr>
        <w:t>电  话：（023）88758847、887588</w:t>
      </w:r>
      <w:r>
        <w:rPr>
          <w:rFonts w:ascii="宋体" w:hAnsi="宋体" w:hint="eastAsia"/>
          <w:sz w:val="24"/>
          <w:szCs w:val="24"/>
        </w:rPr>
        <w:t>52</w:t>
      </w:r>
    </w:p>
    <w:p>
      <w:pPr>
        <w:snapToGrid w:val="0"/>
        <w:spacing w:line="360" w:lineRule="auto"/>
        <w:ind w:firstLine="480" w:firstLineChars="200"/>
        <w:rPr>
          <w:rFonts w:ascii="宋体" w:hAnsi="宋体"/>
          <w:sz w:val="24"/>
          <w:szCs w:val="24"/>
        </w:rPr>
      </w:pPr>
      <w:r>
        <w:rPr>
          <w:rFonts w:ascii="宋体" w:hAnsi="宋体"/>
          <w:sz w:val="24"/>
          <w:szCs w:val="24"/>
        </w:rPr>
        <w:t>传  真：（023）88505947</w:t>
      </w:r>
    </w:p>
    <w:p>
      <w:pPr>
        <w:snapToGrid w:val="0"/>
        <w:spacing w:line="360" w:lineRule="auto"/>
        <w:ind w:firstLine="480" w:firstLineChars="200"/>
        <w:rPr>
          <w:rFonts w:ascii="宋体" w:hAnsi="宋体" w:hint="eastAsia"/>
          <w:sz w:val="24"/>
          <w:szCs w:val="24"/>
        </w:rPr>
        <w:sectPr>
          <w:headerReference w:type="default" r:id="rId29"/>
          <w:footerReference w:type="even" r:id="rId30"/>
          <w:footerReference w:type="default" r:id="rId31"/>
          <w:headerReference w:type="first" r:id="rId32"/>
          <w:type w:val="nextPage"/>
          <w:pgSz w:w="11907" w:h="16840"/>
          <w:pgMar w:top="1134" w:right="1191" w:bottom="1134" w:left="1191" w:header="851" w:footer="992" w:gutter="0"/>
          <w:pgNumType w:fmt="numberInDash" w:start="6"/>
          <w:cols w:space="708"/>
          <w:titlePg w:val="0"/>
          <w:docGrid w:linePitch="380" w:charSpace="-5735"/>
        </w:sectPr>
      </w:pPr>
      <w:r>
        <w:rPr>
          <w:rFonts w:ascii="宋体" w:hAnsi="宋体"/>
          <w:sz w:val="24"/>
          <w:szCs w:val="24"/>
        </w:rPr>
        <w:t>地  址：重庆市渝北区财富大道2号财富大厦A座</w:t>
      </w:r>
      <w:r>
        <w:rPr>
          <w:rFonts w:ascii="宋体" w:hAnsi="宋体" w:hint="eastAsia"/>
          <w:sz w:val="24"/>
          <w:szCs w:val="24"/>
        </w:rPr>
        <w:t>9</w:t>
      </w:r>
      <w:r>
        <w:rPr>
          <w:rFonts w:ascii="宋体" w:hAnsi="宋体"/>
          <w:sz w:val="24"/>
          <w:szCs w:val="24"/>
        </w:rPr>
        <w:t>楼</w:t>
      </w:r>
    </w:p>
    <w:p>
      <w:pPr>
        <w:pStyle w:val="Heading2"/>
        <w:pageBreakBefore/>
        <w:adjustRightInd/>
        <w:snapToGrid/>
        <w:spacing w:before="260" w:after="260"/>
        <w:jc w:val="center"/>
        <w:rPr>
          <w:rFonts w:hint="eastAsia"/>
          <w:b/>
          <w:sz w:val="44"/>
          <w:szCs w:val="44"/>
        </w:rPr>
      </w:pPr>
      <w:bookmarkStart w:id="16" w:name="_Toc93908309"/>
      <w:bookmarkEnd w:id="1"/>
      <w:r>
        <w:rPr>
          <w:rFonts w:hint="eastAsia"/>
          <w:b/>
          <w:sz w:val="44"/>
          <w:szCs w:val="44"/>
        </w:rPr>
        <w:t>第二篇 项目服务需求</w:t>
      </w:r>
      <w:bookmarkEnd w:id="16"/>
    </w:p>
    <w:p>
      <w:pPr>
        <w:snapToGrid w:val="0"/>
        <w:spacing w:line="360" w:lineRule="auto"/>
        <w:ind w:firstLine="420" w:firstLineChars="200"/>
        <w:rPr>
          <w:rFonts w:ascii="宋体" w:hAnsi="宋体" w:hint="eastAsia"/>
          <w:b/>
          <w:sz w:val="24"/>
          <w:szCs w:val="24"/>
        </w:rPr>
      </w:pPr>
      <w:bookmarkStart w:id="17" w:name="_Toc22128180"/>
      <w:r>
        <w:rPr>
          <w:rFonts w:ascii="宋体" w:hAnsi="宋体" w:hint="eastAsia"/>
          <w:b/>
          <w:sz w:val="21"/>
          <w:szCs w:val="21"/>
        </w:rPr>
        <w:t>“※”</w:t>
      </w:r>
      <w:r>
        <w:rPr>
          <w:rFonts w:ascii="宋体" w:hAnsi="宋体" w:hint="eastAsia"/>
          <w:b/>
          <w:sz w:val="21"/>
          <w:szCs w:val="21"/>
        </w:rPr>
        <w:t>标注的要求为符合性审查中的实质性要求，投标文件若不满足按无效投标处理。</w:t>
      </w:r>
    </w:p>
    <w:p>
      <w:pPr>
        <w:pStyle w:val="Heading2"/>
        <w:ind w:firstLine="480" w:firstLineChars="200"/>
        <w:jc w:val="left"/>
        <w:rPr>
          <w:b/>
          <w:sz w:val="24"/>
        </w:rPr>
      </w:pPr>
      <w:bookmarkStart w:id="18" w:name="_Toc93908310"/>
      <w:bookmarkEnd w:id="17"/>
      <w:r>
        <w:rPr>
          <w:rFonts w:hint="eastAsia"/>
          <w:b/>
          <w:sz w:val="24"/>
        </w:rPr>
        <w:t>一、招标项目一览表</w:t>
      </w:r>
      <w:bookmarkEnd w:id="18"/>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754"/>
        <w:gridCol w:w="857"/>
        <w:gridCol w:w="734"/>
        <w:gridCol w:w="390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65"/>
          <w:jc w:val="center"/>
        </w:trPr>
        <w:tc>
          <w:tcPr>
            <w:tcW w:w="375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b/>
                <w:sz w:val="21"/>
                <w:szCs w:val="21"/>
              </w:rPr>
            </w:pPr>
            <w:r>
              <w:rPr>
                <w:rFonts w:ascii="宋体" w:hAnsi="宋体" w:hint="eastAsia"/>
                <w:b/>
                <w:sz w:val="21"/>
                <w:szCs w:val="21"/>
              </w:rPr>
              <w:t>项目主要服务内容</w:t>
            </w:r>
          </w:p>
        </w:tc>
        <w:tc>
          <w:tcPr>
            <w:tcW w:w="857"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b/>
                <w:sz w:val="21"/>
                <w:szCs w:val="21"/>
              </w:rPr>
            </w:pPr>
            <w:r>
              <w:rPr>
                <w:rFonts w:ascii="宋体" w:hAnsi="宋体" w:hint="eastAsia"/>
                <w:b/>
                <w:sz w:val="21"/>
                <w:szCs w:val="21"/>
              </w:rPr>
              <w:t>单位</w:t>
            </w:r>
          </w:p>
        </w:tc>
        <w:tc>
          <w:tcPr>
            <w:tcW w:w="73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b/>
                <w:sz w:val="21"/>
                <w:szCs w:val="21"/>
              </w:rPr>
            </w:pPr>
            <w:r>
              <w:rPr>
                <w:rFonts w:ascii="宋体" w:hAnsi="宋体" w:hint="eastAsia"/>
                <w:b/>
                <w:sz w:val="21"/>
                <w:szCs w:val="21"/>
              </w:rPr>
              <w:t>数量</w:t>
            </w:r>
          </w:p>
        </w:tc>
        <w:tc>
          <w:tcPr>
            <w:tcW w:w="3900"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b/>
                <w:sz w:val="21"/>
                <w:szCs w:val="21"/>
              </w:rPr>
            </w:pPr>
            <w:r>
              <w:rPr>
                <w:rFonts w:ascii="宋体" w:hAnsi="宋体" w:hint="eastAsia"/>
                <w:b/>
                <w:sz w:val="21"/>
                <w:szCs w:val="21"/>
              </w:rPr>
              <w:t>服务期</w:t>
            </w:r>
          </w:p>
        </w:tc>
      </w:tr>
      <w:tr>
        <w:tblPrEx>
          <w:tblW w:w="0" w:type="auto"/>
          <w:jc w:val="center"/>
          <w:tblLayout w:type="fixed"/>
          <w:tblCellMar>
            <w:top w:w="0" w:type="dxa"/>
            <w:left w:w="108" w:type="dxa"/>
            <w:bottom w:w="0" w:type="dxa"/>
            <w:right w:w="108" w:type="dxa"/>
          </w:tblCellMar>
          <w:tblLook w:val="0000"/>
        </w:tblPrEx>
        <w:trPr>
          <w:trHeight w:val="565"/>
          <w:jc w:val="center"/>
        </w:trPr>
        <w:tc>
          <w:tcPr>
            <w:tcW w:w="375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sz w:val="21"/>
                <w:szCs w:val="21"/>
              </w:rPr>
            </w:pPr>
            <w:r>
              <w:rPr>
                <w:rFonts w:ascii="宋体" w:hAnsi="宋体" w:hint="eastAsia"/>
                <w:sz w:val="21"/>
                <w:szCs w:val="21"/>
              </w:rPr>
              <w:t>重庆市智慧园区大脑平台监理</w:t>
            </w:r>
          </w:p>
        </w:tc>
        <w:tc>
          <w:tcPr>
            <w:tcW w:w="857"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sz w:val="21"/>
                <w:szCs w:val="21"/>
              </w:rPr>
            </w:pPr>
            <w:r>
              <w:rPr>
                <w:rFonts w:ascii="宋体" w:hAnsi="宋体" w:hint="eastAsia"/>
                <w:sz w:val="21"/>
                <w:szCs w:val="21"/>
              </w:rPr>
              <w:t>项</w:t>
            </w:r>
          </w:p>
        </w:tc>
        <w:tc>
          <w:tcPr>
            <w:tcW w:w="73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sz w:val="21"/>
                <w:szCs w:val="21"/>
              </w:rPr>
            </w:pPr>
            <w:r>
              <w:rPr>
                <w:rFonts w:ascii="宋体" w:hAnsi="宋体" w:hint="eastAsia"/>
                <w:sz w:val="21"/>
                <w:szCs w:val="21"/>
              </w:rPr>
              <w:t>1</w:t>
            </w:r>
          </w:p>
        </w:tc>
        <w:tc>
          <w:tcPr>
            <w:tcW w:w="3900" w:type="dxa"/>
            <w:tcBorders>
              <w:top w:val="single" w:sz="4" w:space="0" w:color="auto"/>
              <w:left w:val="single" w:sz="4" w:space="0" w:color="auto"/>
              <w:bottom w:val="single" w:sz="4" w:space="0" w:color="auto"/>
              <w:right w:val="single" w:sz="4" w:space="0" w:color="auto"/>
            </w:tcBorders>
            <w:vAlign w:val="center"/>
          </w:tcPr>
          <w:p>
            <w:pPr>
              <w:jc w:val="left"/>
              <w:rPr>
                <w:rFonts w:ascii="宋体" w:hAnsi="宋体" w:cs="宋体" w:hint="eastAsia"/>
                <w:kern w:val="0"/>
                <w:sz w:val="21"/>
                <w:szCs w:val="21"/>
              </w:rPr>
            </w:pPr>
            <w:r>
              <w:rPr>
                <w:rFonts w:ascii="宋体" w:hAnsi="宋体" w:hint="eastAsia"/>
                <w:sz w:val="21"/>
                <w:szCs w:val="21"/>
              </w:rPr>
              <w:t>自监理合同签订后至项目竣工验收合格为止，包括项目实施阶段、初验阶段、竣工验收阶段。</w:t>
            </w:r>
          </w:p>
        </w:tc>
      </w:tr>
    </w:tbl>
    <w:p>
      <w:pPr>
        <w:pStyle w:val="Heading2"/>
        <w:spacing w:line="450" w:lineRule="exact"/>
        <w:ind w:firstLine="480" w:firstLineChars="200"/>
        <w:jc w:val="left"/>
        <w:rPr>
          <w:rFonts w:hint="eastAsia"/>
          <w:b/>
          <w:sz w:val="24"/>
        </w:rPr>
      </w:pPr>
      <w:bookmarkStart w:id="19" w:name="_Toc93908311"/>
      <w:r>
        <w:rPr>
          <w:rFonts w:hint="eastAsia"/>
          <w:b/>
          <w:sz w:val="24"/>
        </w:rPr>
        <w:t>※</w:t>
      </w:r>
      <w:r>
        <w:rPr>
          <w:rFonts w:hint="eastAsia"/>
          <w:b/>
          <w:sz w:val="24"/>
        </w:rPr>
        <w:t>二、监理内容</w:t>
      </w:r>
      <w:bookmarkEnd w:id="19"/>
    </w:p>
    <w:p>
      <w:pPr>
        <w:snapToGrid w:val="0"/>
        <w:spacing w:line="450" w:lineRule="exact"/>
        <w:ind w:firstLine="480" w:firstLineChars="200"/>
        <w:rPr>
          <w:rFonts w:ascii="宋体" w:hAnsi="宋体" w:hint="eastAsia"/>
          <w:sz w:val="24"/>
          <w:szCs w:val="24"/>
        </w:rPr>
      </w:pPr>
      <w:r>
        <w:rPr>
          <w:rFonts w:ascii="宋体" w:hAnsi="宋体" w:hint="eastAsia"/>
          <w:sz w:val="24"/>
          <w:szCs w:val="24"/>
        </w:rPr>
        <w:t>对重庆市智慧园区大脑平台建设项目实施全内容、全过程监理。</w:t>
      </w:r>
    </w:p>
    <w:p>
      <w:pPr>
        <w:snapToGrid w:val="0"/>
        <w:spacing w:line="450" w:lineRule="exact"/>
        <w:ind w:firstLine="480" w:firstLineChars="200"/>
        <w:rPr>
          <w:rFonts w:ascii="宋体" w:hAnsi="宋体" w:hint="eastAsia"/>
          <w:sz w:val="24"/>
          <w:szCs w:val="24"/>
        </w:rPr>
      </w:pPr>
      <w:r>
        <w:rPr>
          <w:rFonts w:ascii="宋体" w:hAnsi="宋体" w:hint="eastAsia"/>
          <w:sz w:val="24"/>
          <w:szCs w:val="24"/>
        </w:rPr>
        <w:t>（一）监理范围</w:t>
      </w:r>
    </w:p>
    <w:p>
      <w:pPr>
        <w:snapToGrid w:val="0"/>
        <w:spacing w:line="450" w:lineRule="exact"/>
        <w:ind w:firstLine="480" w:firstLineChars="200"/>
        <w:rPr>
          <w:rFonts w:ascii="宋体" w:hAnsi="宋体" w:hint="eastAsia"/>
          <w:sz w:val="24"/>
          <w:szCs w:val="24"/>
        </w:rPr>
      </w:pPr>
      <w:r>
        <w:rPr>
          <w:rFonts w:ascii="宋体" w:hAnsi="宋体" w:hint="eastAsia"/>
          <w:sz w:val="24"/>
          <w:szCs w:val="24"/>
        </w:rPr>
        <w:t>项目实施阶段监理要对以下方面进行有效控制和管理：工程组织及技术方案的把关和优化、项目实施和验收、投资控制、质量控制、进度控制、变更控制、合同管理、文档管理、安全管理</w:t>
      </w:r>
      <w:r>
        <w:rPr>
          <w:rFonts w:ascii="宋体" w:hAnsi="宋体"/>
          <w:sz w:val="24"/>
          <w:szCs w:val="24"/>
        </w:rPr>
        <w:t>、</w:t>
      </w:r>
      <w:r>
        <w:rPr>
          <w:rFonts w:ascii="宋体" w:hAnsi="宋体" w:hint="eastAsia"/>
          <w:sz w:val="24"/>
          <w:szCs w:val="24"/>
        </w:rPr>
        <w:t>知识产权保护以及协调有关单位之间的工作关系等。</w:t>
      </w:r>
    </w:p>
    <w:p>
      <w:pPr>
        <w:snapToGrid w:val="0"/>
        <w:spacing w:line="450" w:lineRule="exact"/>
        <w:ind w:firstLine="480" w:firstLineChars="200"/>
        <w:rPr>
          <w:rFonts w:ascii="宋体" w:hAnsi="宋体" w:hint="eastAsia"/>
          <w:sz w:val="24"/>
          <w:szCs w:val="24"/>
        </w:rPr>
      </w:pPr>
      <w:r>
        <w:rPr>
          <w:rFonts w:ascii="宋体" w:hAnsi="宋体" w:hint="eastAsia"/>
          <w:sz w:val="24"/>
          <w:szCs w:val="24"/>
        </w:rPr>
        <w:t>项目维护监理要对维护工作以下方面进行有效控制和管理：人员培训的质量控制、维护阶段的质量控制、维护阶段系统运行情况跟踪以及协调有关单位之间的工作关系等。</w:t>
      </w:r>
    </w:p>
    <w:p>
      <w:pPr>
        <w:snapToGrid w:val="0"/>
        <w:spacing w:line="450" w:lineRule="exact"/>
        <w:ind w:firstLine="480" w:firstLineChars="200"/>
        <w:rPr>
          <w:rFonts w:ascii="宋体" w:hAnsi="宋体" w:hint="eastAsia"/>
          <w:sz w:val="24"/>
          <w:szCs w:val="24"/>
        </w:rPr>
      </w:pPr>
      <w:r>
        <w:rPr>
          <w:rFonts w:ascii="宋体" w:hAnsi="宋体" w:hint="eastAsia"/>
          <w:sz w:val="24"/>
          <w:szCs w:val="24"/>
        </w:rPr>
        <w:t>（二）监理职责</w:t>
      </w:r>
    </w:p>
    <w:p>
      <w:pPr>
        <w:snapToGrid w:val="0"/>
        <w:spacing w:line="450" w:lineRule="exact"/>
        <w:ind w:firstLine="480" w:firstLineChars="200"/>
        <w:rPr>
          <w:rFonts w:ascii="宋体" w:hAnsi="宋体" w:hint="eastAsia"/>
          <w:sz w:val="24"/>
          <w:szCs w:val="24"/>
        </w:rPr>
      </w:pPr>
      <w:r>
        <w:rPr>
          <w:rFonts w:ascii="宋体" w:hAnsi="宋体"/>
          <w:sz w:val="24"/>
          <w:szCs w:val="24"/>
        </w:rPr>
        <w:t>1.</w:t>
      </w:r>
      <w:r>
        <w:rPr>
          <w:rFonts w:ascii="宋体" w:hAnsi="宋体" w:hint="eastAsia"/>
          <w:sz w:val="24"/>
          <w:szCs w:val="24"/>
        </w:rPr>
        <w:t>项目实施阶段监理职责</w:t>
      </w:r>
    </w:p>
    <w:p>
      <w:pPr>
        <w:snapToGrid w:val="0"/>
        <w:spacing w:line="450" w:lineRule="exact"/>
        <w:ind w:firstLine="480" w:firstLineChars="200"/>
        <w:rPr>
          <w:rFonts w:ascii="宋体" w:hAnsi="宋体" w:hint="eastAsia"/>
          <w:sz w:val="24"/>
          <w:szCs w:val="24"/>
        </w:rPr>
      </w:pPr>
      <w:r>
        <w:rPr>
          <w:rFonts w:ascii="宋体" w:hAnsi="宋体" w:hint="eastAsia"/>
          <w:sz w:val="24"/>
          <w:szCs w:val="24"/>
        </w:rPr>
        <w:t>（1）工程组织及技术方案的把关和优化：审核和确认设计方案；审核和确认项目建设过程中的各种关键技术方案；审核和确认承建单位的组织和实施方案，承建单位提交的《项目计划》；审核和确认承建单位的质量保证计划、质量控制体系，工程进度计划、进度控制节点及测试方案；优化、审核设计变更，参与设计变更的签证。</w:t>
      </w:r>
    </w:p>
    <w:p>
      <w:pPr>
        <w:snapToGrid w:val="0"/>
        <w:spacing w:line="450" w:lineRule="exact"/>
        <w:ind w:firstLine="480" w:firstLineChars="200"/>
        <w:rPr>
          <w:rFonts w:ascii="宋体" w:hAnsi="宋体" w:hint="eastAsia"/>
          <w:sz w:val="24"/>
          <w:szCs w:val="24"/>
        </w:rPr>
      </w:pPr>
      <w:r>
        <w:rPr>
          <w:rFonts w:ascii="宋体" w:hAnsi="宋体" w:hint="eastAsia"/>
          <w:sz w:val="24"/>
          <w:szCs w:val="24"/>
        </w:rPr>
        <w:t>（2）工程质量控制：系统集成方案的审核和确认；审核承建单位采购清单，检查项目使用材料、构建、设备的规格、质量与数量；审查和检查项目实施技术措施、质量保证体系及安全防护措施，提出合理的整改意见和建议，确保采购人目标实现；对设备安装、系统软件的安装调试进行验收；对系统集成进行总体验收。</w:t>
      </w:r>
    </w:p>
    <w:p>
      <w:pPr>
        <w:snapToGrid w:val="0"/>
        <w:spacing w:line="450" w:lineRule="exact"/>
        <w:ind w:firstLine="480" w:firstLineChars="200"/>
        <w:rPr>
          <w:rFonts w:ascii="宋体" w:hAnsi="宋体" w:hint="eastAsia"/>
          <w:sz w:val="24"/>
          <w:szCs w:val="24"/>
        </w:rPr>
      </w:pPr>
      <w:r>
        <w:rPr>
          <w:rFonts w:ascii="宋体" w:hAnsi="宋体" w:hint="eastAsia"/>
          <w:sz w:val="24"/>
          <w:szCs w:val="24"/>
        </w:rPr>
        <w:t>（3）工程进度控制：审核承建单位的进度分解计划，确认分解计划可以保证总体计划目标；对项目实施进度进行实时跟踪，并要求承建单位对进度计划进行动态调整，以确保项目的阶段和总体进度目标的实现；当工期目标偏离时，应及时指出，并提出对策建议，同时督促承建单位尽快采取措施。</w:t>
      </w:r>
    </w:p>
    <w:p>
      <w:pPr>
        <w:snapToGrid w:val="0"/>
        <w:spacing w:line="450" w:lineRule="exact"/>
        <w:ind w:firstLine="480" w:firstLineChars="200"/>
        <w:rPr>
          <w:rFonts w:ascii="宋体" w:hAnsi="宋体" w:hint="eastAsia"/>
          <w:sz w:val="24"/>
          <w:szCs w:val="24"/>
        </w:rPr>
        <w:sectPr>
          <w:headerReference w:type="default" r:id="rId33"/>
          <w:footerReference w:type="even" r:id="rId34"/>
          <w:footerReference w:type="default" r:id="rId35"/>
          <w:headerReference w:type="first" r:id="rId36"/>
          <w:type w:val="nextPage"/>
          <w:pgSz w:w="11907" w:h="16840"/>
          <w:pgMar w:top="1134" w:right="1191" w:bottom="1134" w:left="1191" w:header="851" w:footer="992" w:gutter="0"/>
          <w:pgNumType w:fmt="numberInDash" w:start="7"/>
          <w:cols w:space="708"/>
          <w:titlePg w:val="0"/>
          <w:docGrid w:linePitch="380" w:charSpace="-5735"/>
        </w:sectPr>
      </w:pPr>
    </w:p>
    <w:p>
      <w:pPr>
        <w:snapToGrid w:val="0"/>
        <w:spacing w:line="450" w:lineRule="exact"/>
        <w:ind w:firstLine="480" w:firstLineChars="200"/>
        <w:rPr>
          <w:rFonts w:ascii="宋体" w:hAnsi="宋体" w:hint="eastAsia"/>
          <w:sz w:val="24"/>
          <w:szCs w:val="24"/>
        </w:rPr>
      </w:pPr>
      <w:r>
        <w:rPr>
          <w:rFonts w:ascii="宋体" w:hAnsi="宋体" w:hint="eastAsia"/>
          <w:sz w:val="24"/>
          <w:szCs w:val="24"/>
        </w:rPr>
        <w:t>（4）工程投资控制：通过对工程实施中的方案及设计的优化，确保投资控制在合理、性价比高的范围内；做好项目变更控制，协助建设单位做好项目支付预算的现金流量表，将付款进度、工程质量与形象进度结合起来；参加项目审核工程结算，协作采购人审核工程造价，努力降低工程费用。</w:t>
      </w:r>
    </w:p>
    <w:p>
      <w:pPr>
        <w:snapToGrid w:val="0"/>
        <w:spacing w:line="450" w:lineRule="exact"/>
        <w:ind w:firstLine="480" w:firstLineChars="200"/>
        <w:rPr>
          <w:rFonts w:ascii="宋体" w:hAnsi="宋体" w:hint="eastAsia"/>
          <w:sz w:val="24"/>
          <w:szCs w:val="24"/>
        </w:rPr>
      </w:pPr>
      <w:r>
        <w:rPr>
          <w:rFonts w:ascii="宋体" w:hAnsi="宋体" w:hint="eastAsia"/>
          <w:sz w:val="24"/>
          <w:szCs w:val="24"/>
        </w:rPr>
        <w:t>（5）工程合同管理：参与采购人与承建单位的合同审核；跟踪检查合同的执行情况，确保承建单位按时履约；对合同工期的延误和延期进行审核确认；对合同变更、索赔等事宜进行审核确认；根据合同约定，审核承建单位提交的支付申请，签发付款凭证。</w:t>
      </w:r>
    </w:p>
    <w:p>
      <w:pPr>
        <w:snapToGrid w:val="0"/>
        <w:spacing w:line="450" w:lineRule="exact"/>
        <w:ind w:firstLine="480" w:firstLineChars="200"/>
        <w:rPr>
          <w:rFonts w:ascii="宋体" w:hAnsi="宋体"/>
          <w:sz w:val="24"/>
          <w:szCs w:val="24"/>
        </w:rPr>
      </w:pPr>
      <w:r>
        <w:rPr>
          <w:rFonts w:ascii="宋体" w:hAnsi="宋体" w:hint="eastAsia"/>
          <w:sz w:val="24"/>
          <w:szCs w:val="24"/>
        </w:rPr>
        <w:t>（6）信息管理／工程文档管理：做好监理日记及工程大事记；做好合同批复等各类往来文件的批复和存档；做好项目协调会、技术专题会等各项会议纪要；管理好实施期间的各类、各方技术文档；做好项目周报；做好监理建议书和监理通知书存档。</w:t>
      </w:r>
    </w:p>
    <w:p>
      <w:pPr>
        <w:tabs>
          <w:tab w:val="left" w:pos="360"/>
          <w:tab w:val="left" w:pos="720"/>
        </w:tabs>
        <w:spacing w:line="450" w:lineRule="exact"/>
        <w:ind w:firstLine="480" w:firstLineChars="200"/>
        <w:rPr>
          <w:rFonts w:hint="eastAsia"/>
          <w:sz w:val="24"/>
          <w:szCs w:val="24"/>
        </w:rPr>
      </w:pPr>
      <w:r>
        <w:rPr>
          <w:rFonts w:hint="eastAsia"/>
          <w:sz w:val="24"/>
          <w:szCs w:val="24"/>
        </w:rPr>
        <w:t>（7）安全管理，协助建设单位审核项目建设的有关信息安全及保密的方案；协助建设单位对项目建设过程中所涉及的政府机密数据和资料进行保护，防止被非授权使用。并确保建设过程中无安全事故发生。</w:t>
      </w:r>
    </w:p>
    <w:p>
      <w:pPr>
        <w:snapToGrid w:val="0"/>
        <w:spacing w:line="450" w:lineRule="exact"/>
        <w:ind w:firstLine="480" w:firstLineChars="200"/>
        <w:rPr>
          <w:rFonts w:ascii="宋体" w:hAnsi="宋体" w:hint="eastAsia"/>
          <w:sz w:val="24"/>
          <w:szCs w:val="24"/>
        </w:rPr>
      </w:pPr>
      <w:r>
        <w:rPr>
          <w:rFonts w:ascii="宋体" w:hAnsi="宋体" w:hint="eastAsia"/>
          <w:sz w:val="24"/>
          <w:szCs w:val="24"/>
        </w:rPr>
        <w:t>（</w:t>
      </w:r>
      <w:r>
        <w:rPr>
          <w:rFonts w:ascii="宋体" w:hAnsi="宋体"/>
          <w:sz w:val="24"/>
          <w:szCs w:val="24"/>
        </w:rPr>
        <w:t>8</w:t>
      </w:r>
      <w:r>
        <w:rPr>
          <w:rFonts w:ascii="宋体" w:hAnsi="宋体" w:hint="eastAsia"/>
          <w:sz w:val="24"/>
          <w:szCs w:val="24"/>
        </w:rPr>
        <w:t>）经采购人委托，负责协调本项目所涉及的各承建单位之间的工作关系，并协调解决项目建设过程中的各类纠纷；履行其他法律、法规规定的监理职责义务，提供其他可免费提供的监理服务。</w:t>
      </w:r>
    </w:p>
    <w:p>
      <w:pPr>
        <w:snapToGrid w:val="0"/>
        <w:spacing w:line="450" w:lineRule="exact"/>
        <w:ind w:firstLine="480" w:firstLineChars="200"/>
        <w:rPr>
          <w:rFonts w:ascii="宋体" w:hAnsi="宋体" w:hint="eastAsia"/>
          <w:sz w:val="24"/>
          <w:szCs w:val="24"/>
        </w:rPr>
      </w:pPr>
      <w:r>
        <w:rPr>
          <w:rFonts w:ascii="宋体" w:hAnsi="宋体"/>
          <w:sz w:val="24"/>
          <w:szCs w:val="24"/>
        </w:rPr>
        <w:t>2.</w:t>
      </w:r>
      <w:r>
        <w:rPr>
          <w:rFonts w:ascii="宋体" w:hAnsi="宋体" w:hint="eastAsia"/>
          <w:sz w:val="24"/>
          <w:szCs w:val="24"/>
        </w:rPr>
        <w:t>项目维护监理职责</w:t>
      </w:r>
    </w:p>
    <w:p>
      <w:pPr>
        <w:snapToGrid w:val="0"/>
        <w:spacing w:line="450" w:lineRule="exact"/>
        <w:ind w:firstLine="480" w:firstLineChars="200"/>
        <w:rPr>
          <w:rFonts w:ascii="宋体" w:hAnsi="宋体" w:hint="eastAsia"/>
          <w:sz w:val="24"/>
          <w:szCs w:val="24"/>
        </w:rPr>
      </w:pPr>
      <w:r>
        <w:rPr>
          <w:rFonts w:ascii="宋体" w:hAnsi="宋体" w:hint="eastAsia"/>
          <w:sz w:val="24"/>
          <w:szCs w:val="24"/>
        </w:rPr>
        <w:t>（1）人员培训的质量控制：审核确认承建单位的培训计划；监督承建单位实施其培训计划，并征求用户的反馈意见；监督审查考核工作，评估培训效果；审核确认承建单位的培训总结报告。</w:t>
      </w:r>
    </w:p>
    <w:p>
      <w:pPr>
        <w:snapToGrid w:val="0"/>
        <w:spacing w:line="450" w:lineRule="exact"/>
        <w:ind w:firstLine="480" w:firstLineChars="200"/>
        <w:rPr>
          <w:rFonts w:ascii="宋体" w:hAnsi="宋体" w:hint="eastAsia"/>
          <w:sz w:val="24"/>
          <w:szCs w:val="24"/>
        </w:rPr>
      </w:pPr>
      <w:r>
        <w:rPr>
          <w:rFonts w:ascii="宋体" w:hAnsi="宋体" w:hint="eastAsia"/>
          <w:sz w:val="24"/>
          <w:szCs w:val="24"/>
        </w:rPr>
        <w:t>（2）维护阶段的质量控制：审核承建单位提交的系统维护计划及操作手册；监督承建单位在责任维保期内的工作，定期检查维保工作的实施情况，并向采购人汇报；协助采购人制定维护职责等管理文件；监督承建单位认真执行缺陷责任期的工作计划，检查和验收剩余工程，对已交工工程中出现的缺陷调查其原因并确定相应责任；签发工程缺陷责任终止证书；签发最终支付证书；配合采购人的竣工验收和工程移交工作。</w:t>
      </w:r>
    </w:p>
    <w:p>
      <w:pPr>
        <w:snapToGrid w:val="0"/>
        <w:spacing w:line="450" w:lineRule="exact"/>
        <w:ind w:firstLine="480" w:firstLineChars="200"/>
        <w:rPr>
          <w:rFonts w:ascii="宋体" w:hAnsi="宋体" w:hint="eastAsia"/>
          <w:sz w:val="24"/>
          <w:szCs w:val="24"/>
        </w:rPr>
      </w:pPr>
      <w:r>
        <w:rPr>
          <w:rFonts w:ascii="宋体" w:hAnsi="宋体" w:hint="eastAsia"/>
          <w:sz w:val="24"/>
          <w:szCs w:val="24"/>
        </w:rPr>
        <w:t>（3）维护文档管理：做好维护阶段监理日记，管理好维护阶段的各类、各方技术文档。</w:t>
      </w:r>
    </w:p>
    <w:p>
      <w:pPr>
        <w:snapToGrid w:val="0"/>
        <w:spacing w:line="450" w:lineRule="exact"/>
        <w:ind w:firstLine="480" w:firstLineChars="200"/>
        <w:rPr>
          <w:rFonts w:ascii="宋体" w:hAnsi="宋体"/>
          <w:sz w:val="24"/>
          <w:szCs w:val="24"/>
        </w:rPr>
      </w:pPr>
      <w:r>
        <w:rPr>
          <w:rFonts w:ascii="宋体" w:hAnsi="宋体" w:hint="eastAsia"/>
          <w:sz w:val="24"/>
          <w:szCs w:val="24"/>
        </w:rPr>
        <w:t>（4）在维护期内跟踪系统运行情况，对采购人反映的问题及时通知相关承建单位进行相应处理。</w:t>
      </w:r>
    </w:p>
    <w:p>
      <w:pPr>
        <w:pStyle w:val="Heading2"/>
        <w:spacing w:line="450" w:lineRule="exact"/>
        <w:ind w:firstLine="480" w:firstLineChars="200"/>
        <w:jc w:val="left"/>
        <w:rPr>
          <w:b/>
          <w:sz w:val="24"/>
        </w:rPr>
      </w:pPr>
      <w:bookmarkStart w:id="20" w:name="_Toc93908312"/>
      <w:r>
        <w:rPr>
          <w:rFonts w:hint="eastAsia"/>
          <w:b/>
          <w:sz w:val="24"/>
        </w:rPr>
        <w:t>※</w:t>
      </w:r>
      <w:r>
        <w:rPr>
          <w:rFonts w:hint="eastAsia"/>
          <w:b/>
          <w:sz w:val="24"/>
        </w:rPr>
        <w:t>三、监理服务团队</w:t>
      </w:r>
      <w:bookmarkEnd w:id="20"/>
    </w:p>
    <w:p>
      <w:pPr>
        <w:snapToGrid w:val="0"/>
        <w:spacing w:line="450" w:lineRule="exact"/>
        <w:ind w:firstLine="480" w:firstLineChars="200"/>
        <w:rPr>
          <w:rFonts w:ascii="宋体" w:hAnsi="宋体"/>
          <w:sz w:val="24"/>
          <w:szCs w:val="24"/>
        </w:rPr>
      </w:pPr>
      <w:r>
        <w:rPr>
          <w:rFonts w:ascii="宋体" w:hAnsi="宋体" w:hint="eastAsia"/>
          <w:sz w:val="24"/>
          <w:szCs w:val="24"/>
        </w:rPr>
        <w:t>投标人拟派本项目监理人员至少</w:t>
      </w:r>
      <w:r>
        <w:rPr>
          <w:rFonts w:ascii="宋体" w:hAnsi="宋体"/>
          <w:sz w:val="24"/>
          <w:szCs w:val="24"/>
        </w:rPr>
        <w:t>3</w:t>
      </w:r>
      <w:r>
        <w:rPr>
          <w:rFonts w:ascii="宋体" w:hAnsi="宋体" w:hint="eastAsia"/>
          <w:sz w:val="24"/>
          <w:szCs w:val="24"/>
        </w:rPr>
        <w:t>人，其中总监理工程师1人、专业监理工程师至少</w:t>
      </w:r>
      <w:r>
        <w:rPr>
          <w:rFonts w:ascii="宋体" w:hAnsi="宋体"/>
          <w:sz w:val="24"/>
          <w:szCs w:val="24"/>
        </w:rPr>
        <w:t>1</w:t>
      </w:r>
      <w:r>
        <w:rPr>
          <w:rFonts w:ascii="宋体" w:hAnsi="宋体" w:hint="eastAsia"/>
          <w:sz w:val="24"/>
          <w:szCs w:val="24"/>
        </w:rPr>
        <w:t>人、监理员至少</w:t>
      </w:r>
      <w:r>
        <w:rPr>
          <w:rFonts w:ascii="宋体" w:hAnsi="宋体"/>
          <w:sz w:val="24"/>
          <w:szCs w:val="24"/>
        </w:rPr>
        <w:t>1</w:t>
      </w:r>
      <w:r>
        <w:rPr>
          <w:rFonts w:ascii="宋体" w:hAnsi="宋体" w:hint="eastAsia"/>
          <w:sz w:val="24"/>
          <w:szCs w:val="24"/>
        </w:rPr>
        <w:t>人。总监理工程师、专业监理工程师须具备信息系统监理师资格证书。</w:t>
      </w:r>
    </w:p>
    <w:p>
      <w:pPr>
        <w:snapToGrid w:val="0"/>
        <w:spacing w:line="450" w:lineRule="exact"/>
        <w:ind w:firstLine="480" w:firstLineChars="200"/>
        <w:rPr>
          <w:rFonts w:ascii="宋体" w:hAnsi="宋体" w:hint="eastAsia"/>
          <w:sz w:val="24"/>
          <w:szCs w:val="24"/>
        </w:rPr>
        <w:sectPr>
          <w:headerReference w:type="default" r:id="rId37"/>
          <w:footerReference w:type="even" r:id="rId38"/>
          <w:footerReference w:type="default" r:id="rId39"/>
          <w:headerReference w:type="first" r:id="rId40"/>
          <w:type w:val="nextPage"/>
          <w:pgSz w:w="11907" w:h="16840"/>
          <w:pgMar w:top="1134" w:right="1191" w:bottom="1134" w:left="1191" w:header="851" w:footer="992" w:gutter="0"/>
          <w:pgNumType w:fmt="numberInDash" w:start="8"/>
          <w:cols w:space="708"/>
          <w:titlePg w:val="0"/>
          <w:docGrid w:linePitch="380" w:charSpace="-5735"/>
        </w:sectPr>
      </w:pPr>
      <w:r>
        <w:rPr>
          <w:rFonts w:ascii="宋体" w:hAnsi="宋体" w:hint="eastAsia"/>
          <w:sz w:val="24"/>
          <w:szCs w:val="24"/>
        </w:rPr>
        <w:t>提供人员名单、监理人员资质证书及投标人为其购买的2</w:t>
      </w:r>
      <w:r>
        <w:rPr>
          <w:rFonts w:ascii="宋体" w:hAnsi="宋体"/>
          <w:sz w:val="24"/>
          <w:szCs w:val="24"/>
        </w:rPr>
        <w:t>021</w:t>
      </w:r>
      <w:r>
        <w:rPr>
          <w:rFonts w:ascii="宋体" w:hAnsi="宋体" w:hint="eastAsia"/>
          <w:sz w:val="24"/>
          <w:szCs w:val="24"/>
        </w:rPr>
        <w:t>年任意月份的社保证明复印件，加盖投标人公章。</w:t>
      </w:r>
    </w:p>
    <w:p>
      <w:pPr>
        <w:pStyle w:val="Heading2"/>
        <w:pageBreakBefore/>
        <w:adjustRightInd/>
        <w:snapToGrid/>
        <w:spacing w:before="260" w:after="260"/>
        <w:jc w:val="center"/>
        <w:rPr>
          <w:rFonts w:hint="eastAsia"/>
          <w:b/>
          <w:sz w:val="44"/>
          <w:szCs w:val="44"/>
        </w:rPr>
      </w:pPr>
      <w:bookmarkStart w:id="21" w:name="_Toc93908313"/>
      <w:r>
        <w:rPr>
          <w:rFonts w:hint="eastAsia"/>
          <w:b/>
          <w:sz w:val="44"/>
          <w:szCs w:val="44"/>
        </w:rPr>
        <w:t>第三篇  项目商务要求</w:t>
      </w:r>
      <w:bookmarkEnd w:id="21"/>
    </w:p>
    <w:p>
      <w:pPr>
        <w:snapToGrid w:val="0"/>
        <w:spacing w:line="360" w:lineRule="auto"/>
        <w:ind w:firstLine="420" w:firstLineChars="200"/>
        <w:rPr>
          <w:rFonts w:ascii="宋体" w:hAnsi="宋体" w:hint="eastAsia"/>
          <w:b/>
          <w:sz w:val="24"/>
          <w:szCs w:val="24"/>
        </w:rPr>
      </w:pPr>
      <w:bookmarkStart w:id="22" w:name="_Toc267320049"/>
      <w:r>
        <w:rPr>
          <w:rFonts w:ascii="宋体" w:hAnsi="宋体" w:hint="eastAsia"/>
          <w:b/>
          <w:sz w:val="21"/>
          <w:szCs w:val="21"/>
        </w:rPr>
        <w:t>“※”</w:t>
      </w:r>
      <w:r>
        <w:rPr>
          <w:rFonts w:ascii="宋体" w:hAnsi="宋体" w:hint="eastAsia"/>
          <w:b/>
          <w:sz w:val="21"/>
          <w:szCs w:val="21"/>
        </w:rPr>
        <w:t>标注的要求为符合性审查中的实质性要求，投标文件若不满足按无效投标处理。</w:t>
      </w:r>
    </w:p>
    <w:p>
      <w:pPr>
        <w:pStyle w:val="Heading2"/>
        <w:ind w:firstLine="480" w:firstLineChars="200"/>
        <w:jc w:val="left"/>
        <w:rPr>
          <w:b/>
          <w:sz w:val="24"/>
        </w:rPr>
      </w:pPr>
      <w:bookmarkStart w:id="23" w:name="_Toc30355241"/>
      <w:bookmarkStart w:id="24" w:name="_Toc77353823"/>
      <w:bookmarkStart w:id="25" w:name="_Toc86232780"/>
      <w:bookmarkStart w:id="26" w:name="_Toc93908314"/>
      <w:bookmarkStart w:id="27" w:name="_Toc6232095"/>
      <w:bookmarkStart w:id="28" w:name="_Toc45637941"/>
      <w:bookmarkStart w:id="29" w:name="_Toc267320050"/>
      <w:bookmarkEnd w:id="22"/>
      <w:r>
        <w:rPr>
          <w:rFonts w:hint="eastAsia"/>
          <w:b/>
          <w:sz w:val="24"/>
        </w:rPr>
        <w:t>一、服务时间、地点及验收方式</w:t>
      </w:r>
      <w:bookmarkEnd w:id="23"/>
      <w:bookmarkEnd w:id="24"/>
      <w:bookmarkEnd w:id="25"/>
      <w:bookmarkEnd w:id="26"/>
    </w:p>
    <w:p>
      <w:pPr>
        <w:snapToGrid w:val="0"/>
        <w:spacing w:line="360" w:lineRule="auto"/>
        <w:ind w:firstLine="480" w:firstLineChars="200"/>
        <w:rPr>
          <w:rFonts w:ascii="宋体" w:hAnsi="宋体" w:hint="eastAsia"/>
          <w:sz w:val="24"/>
          <w:szCs w:val="24"/>
        </w:rPr>
      </w:pPr>
      <w:r>
        <w:rPr>
          <w:rFonts w:ascii="宋体" w:hAnsi="宋体" w:hint="eastAsia"/>
          <w:sz w:val="24"/>
          <w:szCs w:val="24"/>
        </w:rPr>
        <w:t>※</w:t>
      </w:r>
      <w:r>
        <w:rPr>
          <w:rFonts w:ascii="宋体" w:hAnsi="宋体" w:hint="eastAsia"/>
          <w:sz w:val="24"/>
          <w:szCs w:val="24"/>
        </w:rPr>
        <w:t>（一）服务时间</w:t>
      </w:r>
    </w:p>
    <w:p>
      <w:pPr>
        <w:snapToGrid w:val="0"/>
        <w:spacing w:line="360" w:lineRule="auto"/>
        <w:ind w:firstLine="480" w:firstLineChars="200"/>
        <w:rPr>
          <w:rFonts w:ascii="宋体" w:hAnsi="宋体"/>
          <w:sz w:val="24"/>
          <w:szCs w:val="24"/>
        </w:rPr>
      </w:pPr>
      <w:r>
        <w:rPr>
          <w:rFonts w:ascii="宋体" w:hAnsi="宋体" w:hint="eastAsia"/>
          <w:sz w:val="24"/>
          <w:szCs w:val="24"/>
        </w:rPr>
        <w:t>自项目建设实施到项目竣工验收合格为止，包括项目实施阶段、初验阶段、竣工验收阶段。</w:t>
      </w:r>
    </w:p>
    <w:p>
      <w:pPr>
        <w:snapToGrid w:val="0"/>
        <w:spacing w:line="360" w:lineRule="auto"/>
        <w:ind w:firstLine="480" w:firstLineChars="200"/>
        <w:rPr>
          <w:rFonts w:ascii="宋体" w:hAnsi="宋体" w:hint="eastAsia"/>
          <w:sz w:val="24"/>
          <w:szCs w:val="24"/>
        </w:rPr>
      </w:pPr>
      <w:r>
        <w:rPr>
          <w:rFonts w:ascii="宋体" w:hAnsi="宋体" w:hint="eastAsia"/>
          <w:sz w:val="24"/>
          <w:szCs w:val="24"/>
        </w:rPr>
        <w:t>（二）服务地点</w:t>
      </w:r>
    </w:p>
    <w:p>
      <w:pPr>
        <w:snapToGrid w:val="0"/>
        <w:spacing w:line="360" w:lineRule="auto"/>
        <w:ind w:firstLine="480" w:firstLineChars="200"/>
        <w:rPr>
          <w:rFonts w:ascii="宋体" w:hAnsi="宋体" w:hint="eastAsia"/>
          <w:sz w:val="24"/>
          <w:szCs w:val="24"/>
        </w:rPr>
      </w:pPr>
      <w:r>
        <w:rPr>
          <w:rFonts w:ascii="宋体" w:hAnsi="宋体" w:hint="eastAsia"/>
          <w:sz w:val="24"/>
          <w:szCs w:val="24"/>
        </w:rPr>
        <w:t>重庆市经济和信息化委员会指定或同意地点。</w:t>
      </w:r>
    </w:p>
    <w:p>
      <w:pPr>
        <w:snapToGrid w:val="0"/>
        <w:spacing w:line="360" w:lineRule="auto"/>
        <w:ind w:firstLine="480" w:firstLineChars="200"/>
        <w:rPr>
          <w:rFonts w:ascii="宋体" w:hAnsi="宋体" w:hint="eastAsia"/>
          <w:sz w:val="24"/>
          <w:szCs w:val="24"/>
        </w:rPr>
      </w:pPr>
      <w:r>
        <w:rPr>
          <w:rFonts w:ascii="宋体" w:hAnsi="宋体" w:hint="eastAsia"/>
          <w:sz w:val="24"/>
          <w:szCs w:val="24"/>
        </w:rPr>
        <w:t>（三）验收方式</w:t>
      </w:r>
    </w:p>
    <w:p>
      <w:pPr>
        <w:snapToGrid w:val="0"/>
        <w:spacing w:line="360" w:lineRule="auto"/>
        <w:ind w:firstLine="480" w:firstLineChars="200"/>
        <w:rPr>
          <w:rFonts w:ascii="宋体" w:hAnsi="宋体" w:hint="eastAsia"/>
          <w:sz w:val="24"/>
          <w:szCs w:val="24"/>
        </w:rPr>
      </w:pPr>
      <w:r>
        <w:rPr>
          <w:rFonts w:ascii="宋体" w:hAnsi="宋体" w:hint="eastAsia"/>
          <w:sz w:val="24"/>
          <w:szCs w:val="24"/>
        </w:rPr>
        <w:t>1.验收组织单位：重庆市经济和信息化委员会。</w:t>
      </w:r>
    </w:p>
    <w:p>
      <w:pPr>
        <w:snapToGrid w:val="0"/>
        <w:spacing w:line="360" w:lineRule="auto"/>
        <w:ind w:firstLine="480" w:firstLineChars="200"/>
        <w:rPr>
          <w:rFonts w:ascii="宋体" w:hAnsi="宋体" w:hint="eastAsia"/>
          <w:sz w:val="24"/>
          <w:szCs w:val="24"/>
        </w:rPr>
      </w:pPr>
      <w:r>
        <w:rPr>
          <w:rFonts w:ascii="宋体" w:hAnsi="宋体" w:hint="eastAsia"/>
          <w:sz w:val="24"/>
          <w:szCs w:val="24"/>
        </w:rPr>
        <w:t>2.验收标准：</w:t>
      </w:r>
      <w:r>
        <w:rPr>
          <w:rFonts w:ascii="宋体" w:hAnsi="宋体" w:cs="宋体" w:hint="eastAsia"/>
          <w:kern w:val="0"/>
          <w:sz w:val="24"/>
          <w:szCs w:val="24"/>
        </w:rPr>
        <w:t>合同执行完毕后，采购人</w:t>
      </w:r>
      <w:r>
        <w:rPr>
          <w:rFonts w:ascii="宋体" w:hAnsi="宋体"/>
          <w:sz w:val="24"/>
          <w:szCs w:val="24"/>
        </w:rPr>
        <w:t>以经确认的</w:t>
      </w:r>
      <w:r>
        <w:rPr>
          <w:rFonts w:ascii="宋体" w:hAnsi="宋体" w:hint="eastAsia"/>
          <w:sz w:val="24"/>
          <w:szCs w:val="24"/>
        </w:rPr>
        <w:t>监理</w:t>
      </w:r>
      <w:r>
        <w:rPr>
          <w:rFonts w:ascii="宋体" w:hAnsi="宋体"/>
          <w:sz w:val="24"/>
          <w:szCs w:val="24"/>
        </w:rPr>
        <w:t>方案、合同</w:t>
      </w:r>
      <w:r>
        <w:rPr>
          <w:rFonts w:ascii="宋体" w:hAnsi="宋体" w:hint="eastAsia"/>
          <w:sz w:val="24"/>
          <w:szCs w:val="24"/>
        </w:rPr>
        <w:t>、</w:t>
      </w:r>
      <w:r>
        <w:rPr>
          <w:rFonts w:ascii="宋体" w:hAnsi="宋体"/>
          <w:sz w:val="24"/>
          <w:szCs w:val="24"/>
        </w:rPr>
        <w:t>采购文件、采购人需求以及按照国家及行业相关标准作为验收标准</w:t>
      </w:r>
      <w:r>
        <w:rPr>
          <w:rFonts w:ascii="宋体" w:hAnsi="宋体" w:hint="eastAsia"/>
          <w:sz w:val="24"/>
          <w:szCs w:val="24"/>
        </w:rPr>
        <w:t>，达到本建设工程的质量标准。</w:t>
      </w:r>
    </w:p>
    <w:p>
      <w:pPr>
        <w:snapToGrid w:val="0"/>
        <w:spacing w:line="360" w:lineRule="auto"/>
        <w:ind w:firstLine="480" w:firstLineChars="200"/>
        <w:rPr>
          <w:rFonts w:ascii="宋体" w:hAnsi="宋体" w:hint="eastAsia"/>
          <w:sz w:val="24"/>
          <w:szCs w:val="24"/>
        </w:rPr>
      </w:pPr>
      <w:r>
        <w:rPr>
          <w:rFonts w:ascii="宋体" w:hAnsi="宋体" w:hint="eastAsia"/>
          <w:sz w:val="24"/>
          <w:szCs w:val="24"/>
        </w:rPr>
        <w:t>3</w:t>
      </w:r>
      <w:r>
        <w:rPr>
          <w:rFonts w:ascii="宋体" w:hAnsi="宋体"/>
          <w:sz w:val="24"/>
          <w:szCs w:val="24"/>
        </w:rPr>
        <w:t>.</w:t>
      </w:r>
      <w:r>
        <w:rPr>
          <w:rFonts w:ascii="宋体" w:hAnsi="宋体" w:hint="eastAsia"/>
          <w:sz w:val="24"/>
          <w:szCs w:val="24"/>
        </w:rPr>
        <w:t xml:space="preserve"> 中标人需积极配合做好项目审计。</w:t>
      </w:r>
    </w:p>
    <w:p>
      <w:pPr>
        <w:pStyle w:val="Heading3"/>
        <w:snapToGrid w:val="0"/>
        <w:spacing w:before="0" w:after="0" w:line="360" w:lineRule="auto"/>
        <w:ind w:firstLine="480" w:firstLineChars="200"/>
        <w:jc w:val="left"/>
        <w:rPr>
          <w:rFonts w:hint="eastAsia"/>
          <w:sz w:val="24"/>
          <w:szCs w:val="24"/>
        </w:rPr>
      </w:pPr>
      <w:bookmarkStart w:id="30" w:name="_Toc77353824"/>
      <w:bookmarkStart w:id="31" w:name="_Toc344475121"/>
      <w:bookmarkStart w:id="32" w:name="_Toc86232781"/>
      <w:bookmarkStart w:id="33" w:name="_Toc30355242"/>
      <w:r>
        <w:rPr>
          <w:rFonts w:ascii="宋体" w:hAnsi="宋体" w:hint="eastAsia"/>
          <w:sz w:val="24"/>
          <w:szCs w:val="24"/>
        </w:rPr>
        <w:t>※</w:t>
      </w:r>
      <w:r>
        <w:rPr>
          <w:rFonts w:hint="eastAsia"/>
          <w:sz w:val="24"/>
          <w:szCs w:val="24"/>
        </w:rPr>
        <w:t>二、</w:t>
      </w:r>
      <w:bookmarkEnd w:id="31"/>
      <w:r>
        <w:rPr>
          <w:rFonts w:hint="eastAsia"/>
          <w:sz w:val="24"/>
          <w:szCs w:val="24"/>
        </w:rPr>
        <w:t>报价要求</w:t>
      </w:r>
      <w:bookmarkEnd w:id="32"/>
      <w:bookmarkEnd w:id="33"/>
      <w:bookmarkEnd w:id="30"/>
    </w:p>
    <w:p>
      <w:pPr>
        <w:snapToGrid w:val="0"/>
        <w:spacing w:line="360" w:lineRule="auto"/>
        <w:ind w:firstLine="480" w:firstLineChars="200"/>
        <w:rPr>
          <w:rFonts w:ascii="宋体" w:hAnsi="宋体"/>
          <w:sz w:val="24"/>
          <w:szCs w:val="24"/>
        </w:rPr>
      </w:pPr>
      <w:r>
        <w:rPr>
          <w:rFonts w:ascii="宋体" w:hAnsi="宋体" w:hint="eastAsia"/>
          <w:sz w:val="24"/>
          <w:szCs w:val="24"/>
        </w:rPr>
        <w:t>（一）本项目报价应包括完成项目的全部费用，包括但不限于劳务费、技术服务费、加班费、办公设施费、通讯费、交通费、检测仪器设备的使用费和管理费、保险、疫情防控费、验收专家费、风险费、利润及税费等所有费用。因报价估计不足或市场价格波动，一律由中标人自行负责，采购人均不承担价差补偿。因中标人自身原因造成漏报、少报皆由其自行承担责任，采购人不再补偿。</w:t>
      </w:r>
    </w:p>
    <w:p>
      <w:pPr>
        <w:pStyle w:val="BodyTextFirstIndent"/>
        <w:rPr>
          <w:szCs w:val="24"/>
        </w:rPr>
      </w:pPr>
      <w:r>
        <w:rPr>
          <w:rFonts w:hint="eastAsia"/>
          <w:szCs w:val="24"/>
        </w:rPr>
        <w:t>（二）投标人的报价为</w:t>
      </w:r>
      <w:r>
        <w:rPr>
          <w:rFonts w:hint="eastAsia"/>
          <w:b/>
          <w:bCs/>
          <w:szCs w:val="24"/>
        </w:rPr>
        <w:t>含税价（即税费不单列）</w:t>
      </w:r>
      <w:r>
        <w:rPr>
          <w:rFonts w:hint="eastAsia"/>
          <w:szCs w:val="24"/>
        </w:rPr>
        <w:t>，应包含</w:t>
      </w:r>
      <w:r>
        <w:rPr>
          <w:rFonts w:hint="eastAsia"/>
          <w:b/>
          <w:bCs/>
          <w:szCs w:val="24"/>
        </w:rPr>
        <w:t>“</w:t>
      </w:r>
      <w:r>
        <w:rPr>
          <w:rFonts w:hint="eastAsia"/>
          <w:b/>
          <w:bCs/>
          <w:szCs w:val="24"/>
        </w:rPr>
        <w:t>本篇 二、报价要求（一）</w:t>
      </w:r>
      <w:r>
        <w:rPr>
          <w:rFonts w:hint="eastAsia"/>
          <w:b/>
          <w:bCs/>
          <w:szCs w:val="24"/>
        </w:rPr>
        <w:t>”</w:t>
      </w:r>
      <w:r>
        <w:rPr>
          <w:rFonts w:hint="eastAsia"/>
          <w:b/>
          <w:bCs/>
          <w:szCs w:val="24"/>
        </w:rPr>
        <w:t>所列的所有费用</w:t>
      </w:r>
      <w:r>
        <w:rPr>
          <w:rFonts w:hint="eastAsia"/>
          <w:szCs w:val="24"/>
        </w:rPr>
        <w:t>。</w:t>
      </w:r>
    </w:p>
    <w:p>
      <w:pPr>
        <w:pStyle w:val="BodyTextFirstIndent"/>
        <w:rPr>
          <w:rFonts w:hint="eastAsia"/>
          <w:b/>
          <w:bCs/>
          <w:szCs w:val="24"/>
        </w:rPr>
      </w:pPr>
      <w:r>
        <w:rPr>
          <w:rFonts w:hint="eastAsia"/>
          <w:b/>
          <w:bCs/>
          <w:szCs w:val="24"/>
        </w:rPr>
        <w:t>（三）投标人须在投标文件</w:t>
      </w:r>
      <w:r>
        <w:rPr>
          <w:rFonts w:hint="eastAsia"/>
          <w:b/>
          <w:bCs/>
          <w:szCs w:val="24"/>
        </w:rPr>
        <w:t>“</w:t>
      </w:r>
      <w:r>
        <w:rPr>
          <w:rFonts w:hint="eastAsia"/>
          <w:b/>
          <w:bCs/>
          <w:szCs w:val="24"/>
        </w:rPr>
        <w:t>明细报价表</w:t>
      </w:r>
      <w:r>
        <w:rPr>
          <w:rFonts w:hint="eastAsia"/>
          <w:b/>
          <w:bCs/>
          <w:szCs w:val="24"/>
        </w:rPr>
        <w:t>”</w:t>
      </w:r>
      <w:r>
        <w:rPr>
          <w:rFonts w:hint="eastAsia"/>
          <w:b/>
          <w:bCs/>
          <w:szCs w:val="24"/>
        </w:rPr>
        <w:t>的</w:t>
      </w:r>
      <w:r>
        <w:rPr>
          <w:rFonts w:hint="eastAsia"/>
          <w:b/>
          <w:bCs/>
          <w:szCs w:val="24"/>
        </w:rPr>
        <w:t>“</w:t>
      </w:r>
      <w:r>
        <w:rPr>
          <w:rFonts w:hint="eastAsia"/>
          <w:b/>
          <w:bCs/>
          <w:szCs w:val="24"/>
        </w:rPr>
        <w:t>相关信息</w:t>
      </w:r>
      <w:r>
        <w:rPr>
          <w:rFonts w:hint="eastAsia"/>
          <w:b/>
          <w:bCs/>
          <w:szCs w:val="24"/>
        </w:rPr>
        <w:t>”</w:t>
      </w:r>
      <w:r>
        <w:rPr>
          <w:rFonts w:hint="eastAsia"/>
          <w:b/>
          <w:bCs/>
          <w:szCs w:val="24"/>
        </w:rPr>
        <w:t>一栏中详细列出明细报价组成情况。若明细内容较多的，投标人可自行增加列表。</w:t>
      </w:r>
    </w:p>
    <w:p>
      <w:pPr>
        <w:pStyle w:val="Heading3"/>
        <w:snapToGrid w:val="0"/>
        <w:spacing w:before="0" w:after="0" w:line="360" w:lineRule="auto"/>
        <w:ind w:firstLine="480" w:firstLineChars="200"/>
        <w:jc w:val="left"/>
        <w:rPr>
          <w:rFonts w:hint="eastAsia"/>
          <w:sz w:val="24"/>
          <w:szCs w:val="24"/>
        </w:rPr>
      </w:pPr>
      <w:bookmarkStart w:id="34" w:name="_Toc30355243"/>
      <w:bookmarkStart w:id="35" w:name="_Toc77353825"/>
      <w:bookmarkStart w:id="36" w:name="_Toc86232782"/>
      <w:r>
        <w:rPr>
          <w:rFonts w:ascii="宋体" w:hAnsi="宋体" w:hint="eastAsia"/>
          <w:sz w:val="24"/>
          <w:szCs w:val="24"/>
        </w:rPr>
        <w:t>※</w:t>
      </w:r>
      <w:r>
        <w:rPr>
          <w:rFonts w:hint="eastAsia"/>
          <w:sz w:val="24"/>
          <w:szCs w:val="24"/>
        </w:rPr>
        <w:t>三、</w:t>
      </w:r>
      <w:bookmarkStart w:id="37" w:name="_Toc344475122"/>
      <w:r>
        <w:rPr>
          <w:rFonts w:hint="eastAsia"/>
          <w:sz w:val="24"/>
          <w:szCs w:val="24"/>
        </w:rPr>
        <w:t>付款方式</w:t>
      </w:r>
      <w:bookmarkEnd w:id="34"/>
      <w:bookmarkEnd w:id="35"/>
      <w:bookmarkEnd w:id="36"/>
    </w:p>
    <w:p>
      <w:pPr>
        <w:snapToGrid w:val="0"/>
        <w:spacing w:line="360" w:lineRule="auto"/>
        <w:ind w:firstLine="480" w:firstLineChars="200"/>
        <w:rPr>
          <w:rFonts w:ascii="宋体" w:hAnsi="宋体" w:hint="eastAsia"/>
          <w:sz w:val="24"/>
          <w:szCs w:val="24"/>
        </w:rPr>
      </w:pPr>
      <w:bookmarkStart w:id="38" w:name="_Toc69312327"/>
      <w:r>
        <w:rPr>
          <w:rFonts w:ascii="宋体" w:hAnsi="宋体" w:hint="eastAsia"/>
          <w:sz w:val="24"/>
          <w:szCs w:val="24"/>
        </w:rPr>
        <w:t>（一）合同签订后中标人向采购人提供合同总额50％的增值税发票，采购人按资金审批流程于5个工作日内支付合同总额的50％。</w:t>
      </w:r>
    </w:p>
    <w:p>
      <w:pPr>
        <w:snapToGrid w:val="0"/>
        <w:spacing w:line="360" w:lineRule="auto"/>
        <w:ind w:firstLine="480" w:firstLineChars="200"/>
        <w:rPr>
          <w:rFonts w:ascii="宋体" w:hAnsi="宋体"/>
          <w:sz w:val="24"/>
          <w:szCs w:val="24"/>
        </w:rPr>
        <w:sectPr>
          <w:headerReference w:type="default" r:id="rId41"/>
          <w:footerReference w:type="even" r:id="rId42"/>
          <w:footerReference w:type="default" r:id="rId43"/>
          <w:headerReference w:type="first" r:id="rId44"/>
          <w:type w:val="nextPage"/>
          <w:pgSz w:w="11907" w:h="16840"/>
          <w:pgMar w:top="1134" w:right="1191" w:bottom="1134" w:left="1191" w:header="851" w:footer="992" w:gutter="0"/>
          <w:pgNumType w:fmt="numberInDash" w:start="9"/>
          <w:cols w:space="708"/>
          <w:titlePg w:val="0"/>
          <w:docGrid w:linePitch="380" w:charSpace="-5735"/>
        </w:sectPr>
      </w:pPr>
      <w:r>
        <w:rPr>
          <w:rFonts w:ascii="宋体" w:hAnsi="宋体" w:hint="eastAsia"/>
          <w:sz w:val="24"/>
          <w:szCs w:val="24"/>
        </w:rPr>
        <w:t>（二）中标人按采购合同完成所有工作内容、提交项目成果资料（包括但不限于文字资料、图片资料、影像资料等）且项目验收完成后，提供剩余应付金额足额增值税发票，采购人按资金审批流程于5个工作日内支付剩余款项。</w:t>
      </w:r>
    </w:p>
    <w:p>
      <w:pPr>
        <w:pStyle w:val="Heading2"/>
        <w:ind w:firstLine="480" w:firstLineChars="200"/>
        <w:jc w:val="left"/>
        <w:rPr>
          <w:b/>
          <w:sz w:val="24"/>
        </w:rPr>
      </w:pPr>
      <w:bookmarkStart w:id="39" w:name="_Toc93908315"/>
      <w:bookmarkEnd w:id="37"/>
      <w:bookmarkEnd w:id="38"/>
      <w:r>
        <w:rPr>
          <w:rFonts w:hint="eastAsia"/>
          <w:b/>
          <w:sz w:val="24"/>
        </w:rPr>
        <w:t>※</w:t>
      </w:r>
      <w:r>
        <w:rPr>
          <w:rFonts w:hint="eastAsia"/>
          <w:b/>
          <w:sz w:val="24"/>
        </w:rPr>
        <w:t>四、履约保证金</w:t>
      </w:r>
      <w:bookmarkEnd w:id="39"/>
    </w:p>
    <w:p>
      <w:pPr>
        <w:snapToGrid w:val="0"/>
        <w:spacing w:line="360" w:lineRule="auto"/>
        <w:ind w:firstLine="480" w:firstLineChars="200"/>
        <w:rPr>
          <w:rFonts w:ascii="宋体" w:hAnsi="宋体"/>
          <w:sz w:val="24"/>
          <w:szCs w:val="24"/>
        </w:rPr>
      </w:pPr>
      <w:r>
        <w:rPr>
          <w:rFonts w:ascii="宋体" w:hAnsi="宋体" w:hint="eastAsia"/>
          <w:sz w:val="24"/>
          <w:szCs w:val="24"/>
        </w:rPr>
        <w:t>金    额：合同金额的5%；</w:t>
      </w:r>
    </w:p>
    <w:p>
      <w:pPr>
        <w:snapToGrid w:val="0"/>
        <w:spacing w:line="360" w:lineRule="auto"/>
        <w:ind w:firstLine="480" w:firstLineChars="200"/>
        <w:rPr>
          <w:rFonts w:ascii="宋体" w:hAnsi="宋体"/>
          <w:sz w:val="24"/>
          <w:szCs w:val="24"/>
        </w:rPr>
      </w:pPr>
      <w:r>
        <w:rPr>
          <w:rFonts w:ascii="宋体" w:hAnsi="宋体" w:hint="eastAsia"/>
          <w:sz w:val="24"/>
          <w:szCs w:val="24"/>
        </w:rPr>
        <w:t>缴纳时间：领中标通知书后</w:t>
      </w:r>
      <w:r>
        <w:rPr>
          <w:rFonts w:ascii="宋体" w:hAnsi="宋体"/>
          <w:sz w:val="24"/>
          <w:szCs w:val="24"/>
        </w:rPr>
        <w:t>5</w:t>
      </w:r>
      <w:r>
        <w:rPr>
          <w:rFonts w:ascii="宋体" w:hAnsi="宋体" w:hint="eastAsia"/>
          <w:sz w:val="24"/>
          <w:szCs w:val="24"/>
        </w:rPr>
        <w:t>个工作日内支付至采购人指定账户；</w:t>
      </w:r>
    </w:p>
    <w:p>
      <w:pPr>
        <w:snapToGrid w:val="0"/>
        <w:spacing w:line="360" w:lineRule="auto"/>
        <w:ind w:firstLine="480" w:firstLineChars="200"/>
        <w:rPr>
          <w:rFonts w:ascii="宋体" w:hAnsi="宋体"/>
          <w:sz w:val="24"/>
          <w:szCs w:val="24"/>
        </w:rPr>
      </w:pPr>
      <w:r>
        <w:rPr>
          <w:rFonts w:ascii="宋体" w:hAnsi="宋体" w:hint="eastAsia"/>
          <w:sz w:val="24"/>
          <w:szCs w:val="24"/>
        </w:rPr>
        <w:t>退还时间：项目验收合格后一次性无息退还。</w:t>
      </w:r>
    </w:p>
    <w:p>
      <w:pPr>
        <w:snapToGrid w:val="0"/>
        <w:spacing w:line="360" w:lineRule="auto"/>
        <w:ind w:firstLine="480" w:firstLineChars="200"/>
        <w:rPr>
          <w:rFonts w:ascii="宋体" w:hAnsi="宋体" w:hint="eastAsia"/>
          <w:sz w:val="24"/>
          <w:szCs w:val="24"/>
        </w:rPr>
      </w:pPr>
      <w:r>
        <w:rPr>
          <w:rFonts w:ascii="宋体" w:hAnsi="宋体" w:hint="eastAsia"/>
          <w:sz w:val="24"/>
          <w:szCs w:val="24"/>
        </w:rPr>
        <w:t>若中标人未按要求递交履约保证金的，采购人有权不与其签订合同，并没收投标保证金。</w:t>
      </w:r>
    </w:p>
    <w:p>
      <w:pPr>
        <w:pStyle w:val="Heading2"/>
        <w:ind w:firstLine="480" w:firstLineChars="200"/>
        <w:jc w:val="left"/>
        <w:rPr>
          <w:rFonts w:hint="eastAsia"/>
          <w:b/>
          <w:sz w:val="24"/>
        </w:rPr>
      </w:pPr>
      <w:bookmarkStart w:id="40" w:name="_Toc93908316"/>
      <w:r>
        <w:rPr>
          <w:rFonts w:hint="eastAsia"/>
          <w:b/>
          <w:sz w:val="24"/>
        </w:rPr>
        <w:t>※</w:t>
      </w:r>
      <w:r>
        <w:rPr>
          <w:rFonts w:hint="eastAsia"/>
          <w:b/>
          <w:sz w:val="24"/>
        </w:rPr>
        <w:t>五、违约条款</w:t>
      </w:r>
      <w:bookmarkEnd w:id="40"/>
    </w:p>
    <w:p>
      <w:pPr>
        <w:snapToGrid w:val="0"/>
        <w:spacing w:line="360" w:lineRule="auto"/>
        <w:ind w:firstLine="480" w:firstLineChars="200"/>
        <w:rPr>
          <w:rFonts w:ascii="宋体" w:hAnsi="宋体"/>
          <w:sz w:val="24"/>
          <w:szCs w:val="24"/>
        </w:rPr>
      </w:pPr>
      <w:r>
        <w:rPr>
          <w:rFonts w:ascii="宋体" w:hAnsi="宋体" w:hint="eastAsia"/>
          <w:sz w:val="24"/>
          <w:szCs w:val="24"/>
        </w:rPr>
        <w:t>采购人将不定期对中标人的工作效果进行审核，出现一次审核不达标的，采购人予以口头警告；出现两次不达标的，中标人应向采购人支付合同金额5%的违约金；出现三次不达标的，中标人应向采购人支付合同金额10%的违约金；出现四次不达标的，采购人有权终止合同，没收中标人的履约保证金，并追究相关法律责任。</w:t>
      </w:r>
    </w:p>
    <w:p>
      <w:pPr>
        <w:snapToGrid w:val="0"/>
        <w:spacing w:line="360" w:lineRule="auto"/>
        <w:ind w:firstLine="480" w:firstLineChars="200"/>
        <w:rPr>
          <w:rFonts w:ascii="宋体" w:hAnsi="宋体"/>
          <w:b/>
          <w:sz w:val="24"/>
        </w:rPr>
      </w:pPr>
      <w:r>
        <w:rPr>
          <w:rFonts w:ascii="宋体" w:hAnsi="宋体" w:hint="eastAsia"/>
          <w:b/>
          <w:sz w:val="24"/>
        </w:rPr>
        <w:t>六、知识产权</w:t>
      </w:r>
    </w:p>
    <w:p>
      <w:pPr>
        <w:snapToGrid w:val="0"/>
        <w:spacing w:line="360" w:lineRule="auto"/>
        <w:ind w:firstLine="480" w:firstLineChars="200"/>
        <w:rPr>
          <w:rFonts w:ascii="宋体" w:hAnsi="宋体"/>
          <w:sz w:val="24"/>
          <w:szCs w:val="24"/>
        </w:rPr>
      </w:pPr>
      <w:r>
        <w:rPr>
          <w:rFonts w:ascii="宋体" w:hAnsi="宋体" w:hint="eastAsia"/>
          <w:sz w:val="24"/>
          <w:szCs w:val="24"/>
        </w:rPr>
        <w:t>采购人在中华人民共和国境内使用投标人提供的服务时免受第三方提出的侵犯其专利权或其它知识产权的起诉。如果第三方提出侵权指控，中标人应承担由此而引起的一切法律责任和费用。</w:t>
      </w:r>
    </w:p>
    <w:p>
      <w:pPr>
        <w:pStyle w:val="Heading2"/>
        <w:ind w:firstLine="480" w:firstLineChars="200"/>
        <w:jc w:val="left"/>
        <w:rPr>
          <w:b/>
          <w:sz w:val="24"/>
        </w:rPr>
      </w:pPr>
      <w:bookmarkStart w:id="41" w:name="_Toc93908317"/>
      <w:r>
        <w:rPr>
          <w:rFonts w:hint="eastAsia"/>
          <w:b/>
          <w:sz w:val="24"/>
        </w:rPr>
        <w:t>※</w:t>
      </w:r>
      <w:r>
        <w:rPr>
          <w:rFonts w:hint="eastAsia"/>
          <w:b/>
          <w:sz w:val="24"/>
        </w:rPr>
        <w:t>七、保密要求</w:t>
      </w:r>
      <w:bookmarkEnd w:id="41"/>
    </w:p>
    <w:p>
      <w:pPr>
        <w:snapToGrid w:val="0"/>
        <w:spacing w:line="360" w:lineRule="auto"/>
        <w:ind w:firstLine="480" w:firstLineChars="200"/>
        <w:rPr>
          <w:rFonts w:ascii="宋体" w:hAnsi="宋体"/>
          <w:sz w:val="24"/>
          <w:szCs w:val="24"/>
        </w:rPr>
      </w:pPr>
      <w:r>
        <w:rPr>
          <w:rFonts w:ascii="宋体" w:hAnsi="宋体" w:hint="eastAsia"/>
          <w:sz w:val="24"/>
          <w:szCs w:val="24"/>
        </w:rPr>
        <w:t>中标人在本项目执行过程中应对所获悉的所有项目内容进行保密，未经采购人允许不得随意公布、不得转交给第三方。中标人在签订合同时与采购人签订保密协议，若有违反按保密协议规定进行处理，情节严重的，采购人将有权追究其相关法律责任。（保密协议详见附件3）</w:t>
      </w:r>
    </w:p>
    <w:p>
      <w:pPr>
        <w:pStyle w:val="Heading2"/>
        <w:ind w:firstLine="480" w:firstLineChars="200"/>
        <w:jc w:val="left"/>
        <w:rPr>
          <w:b/>
          <w:sz w:val="24"/>
        </w:rPr>
      </w:pPr>
      <w:bookmarkStart w:id="42" w:name="_Toc93908318"/>
      <w:r>
        <w:rPr>
          <w:b/>
          <w:sz w:val="24"/>
        </w:rPr>
        <w:t>※</w:t>
      </w:r>
      <w:r>
        <w:rPr>
          <w:rFonts w:hint="eastAsia"/>
          <w:b/>
          <w:sz w:val="24"/>
        </w:rPr>
        <w:t>八、不可抗力</w:t>
      </w:r>
      <w:bookmarkEnd w:id="42"/>
    </w:p>
    <w:p>
      <w:pPr>
        <w:snapToGrid w:val="0"/>
        <w:spacing w:line="360" w:lineRule="auto"/>
        <w:ind w:firstLine="480" w:firstLineChars="200"/>
        <w:jc w:val="left"/>
        <w:rPr>
          <w:rFonts w:ascii="宋体" w:hAnsi="宋体"/>
          <w:sz w:val="24"/>
          <w:szCs w:val="24"/>
        </w:rPr>
      </w:pPr>
      <w:r>
        <w:rPr>
          <w:rFonts w:ascii="宋体" w:hAnsi="宋体"/>
          <w:sz w:val="24"/>
          <w:szCs w:val="24"/>
        </w:rPr>
        <w:t>因</w:t>
      </w:r>
      <w:r>
        <w:rPr>
          <w:rFonts w:ascii="宋体" w:hAnsi="宋体" w:hint="eastAsia"/>
          <w:sz w:val="24"/>
          <w:szCs w:val="24"/>
        </w:rPr>
        <w:t>新冠肺炎</w:t>
      </w:r>
      <w:r>
        <w:rPr>
          <w:rFonts w:ascii="宋体" w:hAnsi="宋体"/>
          <w:sz w:val="24"/>
          <w:szCs w:val="24"/>
        </w:rPr>
        <w:t>疫情、相关政策调整</w:t>
      </w:r>
      <w:r>
        <w:rPr>
          <w:rFonts w:ascii="宋体" w:hAnsi="宋体" w:hint="eastAsia"/>
          <w:sz w:val="24"/>
          <w:szCs w:val="24"/>
        </w:rPr>
        <w:t>或其他</w:t>
      </w:r>
      <w:r>
        <w:rPr>
          <w:rFonts w:ascii="宋体" w:hAnsi="宋体"/>
          <w:sz w:val="24"/>
          <w:szCs w:val="24"/>
        </w:rPr>
        <w:t>不可抗力</w:t>
      </w:r>
      <w:r>
        <w:rPr>
          <w:rFonts w:ascii="宋体" w:hAnsi="宋体" w:hint="eastAsia"/>
          <w:sz w:val="24"/>
          <w:szCs w:val="24"/>
        </w:rPr>
        <w:t>等</w:t>
      </w:r>
      <w:r>
        <w:rPr>
          <w:rFonts w:ascii="宋体" w:hAnsi="宋体"/>
          <w:sz w:val="24"/>
          <w:szCs w:val="24"/>
        </w:rPr>
        <w:t>原因致使招标项目取消</w:t>
      </w:r>
      <w:r>
        <w:rPr>
          <w:rFonts w:ascii="宋体" w:hAnsi="宋体" w:hint="eastAsia"/>
          <w:sz w:val="24"/>
          <w:szCs w:val="24"/>
        </w:rPr>
        <w:t>的</w:t>
      </w:r>
      <w:r>
        <w:rPr>
          <w:rFonts w:ascii="宋体" w:hAnsi="宋体"/>
          <w:sz w:val="24"/>
          <w:szCs w:val="24"/>
        </w:rPr>
        <w:t>，或因</w:t>
      </w:r>
      <w:r>
        <w:rPr>
          <w:rFonts w:ascii="宋体" w:hAnsi="宋体" w:hint="eastAsia"/>
          <w:sz w:val="24"/>
          <w:szCs w:val="24"/>
        </w:rPr>
        <w:t>客观</w:t>
      </w:r>
      <w:r>
        <w:rPr>
          <w:rFonts w:ascii="宋体" w:hAnsi="宋体"/>
          <w:sz w:val="24"/>
          <w:szCs w:val="24"/>
        </w:rPr>
        <w:t>原因致使合同无法订立或订立后因无法履行而解除的，采购人不承担任何责任（</w:t>
      </w:r>
      <w:r>
        <w:rPr>
          <w:rFonts w:ascii="宋体" w:hAnsi="宋体" w:hint="eastAsia"/>
          <w:sz w:val="24"/>
          <w:szCs w:val="24"/>
        </w:rPr>
        <w:t>投标人</w:t>
      </w:r>
      <w:r>
        <w:rPr>
          <w:rFonts w:ascii="宋体" w:hAnsi="宋体"/>
          <w:sz w:val="24"/>
          <w:szCs w:val="24"/>
        </w:rPr>
        <w:t>提供承诺函</w:t>
      </w:r>
      <w:r>
        <w:rPr>
          <w:rFonts w:ascii="宋体" w:hAnsi="宋体" w:hint="eastAsia"/>
          <w:sz w:val="24"/>
          <w:szCs w:val="24"/>
        </w:rPr>
        <w:t>原件</w:t>
      </w:r>
      <w:r>
        <w:rPr>
          <w:rFonts w:ascii="宋体" w:hAnsi="宋体"/>
          <w:sz w:val="24"/>
          <w:szCs w:val="24"/>
        </w:rPr>
        <w:t>）。</w:t>
      </w:r>
    </w:p>
    <w:p>
      <w:pPr>
        <w:pStyle w:val="Heading2"/>
        <w:ind w:firstLine="480" w:firstLineChars="200"/>
        <w:jc w:val="left"/>
        <w:rPr>
          <w:b/>
          <w:sz w:val="24"/>
        </w:rPr>
      </w:pPr>
      <w:bookmarkStart w:id="43" w:name="_Toc93908319"/>
      <w:r>
        <w:rPr>
          <w:rFonts w:hint="eastAsia"/>
          <w:b/>
          <w:sz w:val="24"/>
        </w:rPr>
        <w:t>九、其他</w:t>
      </w:r>
      <w:bookmarkEnd w:id="43"/>
    </w:p>
    <w:p>
      <w:pPr>
        <w:snapToGrid w:val="0"/>
        <w:spacing w:line="360" w:lineRule="auto"/>
        <w:ind w:firstLine="480" w:firstLineChars="200"/>
        <w:rPr>
          <w:rFonts w:ascii="宋体" w:hAnsi="宋体"/>
          <w:sz w:val="24"/>
          <w:szCs w:val="24"/>
        </w:rPr>
      </w:pPr>
      <w:r>
        <w:rPr>
          <w:rFonts w:ascii="宋体" w:hAnsi="宋体" w:hint="eastAsia"/>
          <w:sz w:val="24"/>
          <w:szCs w:val="24"/>
        </w:rPr>
        <w:t>（一）投标人必须在投标文件中对以上条款和服务承诺明确列出，承诺内容必须达到本篇及招标文件其他条款的要求。</w:t>
      </w:r>
    </w:p>
    <w:p>
      <w:pPr>
        <w:snapToGrid w:val="0"/>
        <w:spacing w:line="360" w:lineRule="auto"/>
        <w:ind w:firstLine="480" w:firstLineChars="200"/>
        <w:rPr>
          <w:rFonts w:ascii="宋体" w:hAnsi="宋体"/>
          <w:sz w:val="24"/>
          <w:szCs w:val="24"/>
        </w:rPr>
      </w:pPr>
      <w:r>
        <w:rPr>
          <w:rFonts w:ascii="宋体" w:hAnsi="宋体" w:hint="eastAsia"/>
          <w:sz w:val="24"/>
          <w:szCs w:val="24"/>
        </w:rPr>
        <w:t>（二）其他未尽事宜由供需双方在采购合同中详细约定。</w:t>
      </w:r>
    </w:p>
    <w:p>
      <w:pPr>
        <w:snapToGrid w:val="0"/>
        <w:spacing w:line="360" w:lineRule="auto"/>
        <w:ind w:firstLine="480" w:firstLineChars="200"/>
        <w:jc w:val="left"/>
        <w:rPr>
          <w:rFonts w:ascii="宋体" w:hAnsi="宋体"/>
          <w:sz w:val="24"/>
          <w:szCs w:val="24"/>
        </w:rPr>
      </w:pPr>
    </w:p>
    <w:p>
      <w:pPr>
        <w:pStyle w:val="BodyTextFirstIndent"/>
        <w:rPr>
          <w:rFonts w:ascii="Times New Roman" w:hAnsi="Times New Roman" w:hint="eastAsia"/>
        </w:rPr>
        <w:sectPr>
          <w:headerReference w:type="default" r:id="rId45"/>
          <w:footerReference w:type="even" r:id="rId46"/>
          <w:footerReference w:type="default" r:id="rId47"/>
          <w:headerReference w:type="first" r:id="rId48"/>
          <w:type w:val="nextPage"/>
          <w:pgSz w:w="11907" w:h="16840"/>
          <w:pgMar w:top="1134" w:right="1191" w:bottom="1134" w:left="1191" w:header="851" w:footer="992" w:gutter="0"/>
          <w:pgNumType w:fmt="numberInDash" w:start="10"/>
          <w:cols w:space="708"/>
          <w:titlePg w:val="0"/>
          <w:docGrid w:linePitch="380" w:charSpace="-5735"/>
        </w:sectPr>
      </w:pPr>
      <w:bookmarkEnd w:id="27"/>
      <w:bookmarkEnd w:id="28"/>
    </w:p>
    <w:p>
      <w:pPr>
        <w:pStyle w:val="Heading2"/>
        <w:pageBreakBefore/>
        <w:adjustRightInd/>
        <w:snapToGrid/>
        <w:spacing w:before="260" w:after="260"/>
        <w:jc w:val="center"/>
        <w:rPr>
          <w:rFonts w:hint="eastAsia"/>
          <w:b/>
          <w:sz w:val="44"/>
          <w:szCs w:val="44"/>
        </w:rPr>
      </w:pPr>
      <w:bookmarkStart w:id="44" w:name="_Toc93908320"/>
      <w:bookmarkEnd w:id="29"/>
      <w:r>
        <w:rPr>
          <w:rFonts w:hint="eastAsia"/>
          <w:b/>
          <w:sz w:val="44"/>
          <w:szCs w:val="44"/>
        </w:rPr>
        <w:t>第四篇  资格审查及评标办法</w:t>
      </w:r>
      <w:bookmarkEnd w:id="44"/>
    </w:p>
    <w:p>
      <w:pPr>
        <w:pStyle w:val="Heading2"/>
        <w:ind w:firstLine="480" w:firstLineChars="200"/>
        <w:jc w:val="left"/>
        <w:rPr>
          <w:rFonts w:hint="eastAsia"/>
          <w:b/>
          <w:sz w:val="24"/>
        </w:rPr>
      </w:pPr>
      <w:bookmarkStart w:id="45" w:name="_Toc492721015"/>
      <w:bookmarkStart w:id="46" w:name="_Toc93908321"/>
      <w:r>
        <w:rPr>
          <w:rFonts w:hint="eastAsia"/>
          <w:b/>
          <w:sz w:val="24"/>
        </w:rPr>
        <w:t>一、资格审查</w:t>
      </w:r>
      <w:bookmarkEnd w:id="45"/>
      <w:bookmarkEnd w:id="46"/>
    </w:p>
    <w:p>
      <w:pPr>
        <w:snapToGrid w:val="0"/>
        <w:spacing w:line="360" w:lineRule="auto"/>
        <w:ind w:firstLine="480" w:firstLineChars="200"/>
        <w:rPr>
          <w:rFonts w:ascii="宋体" w:hAnsi="宋体" w:cs="宋体" w:hint="eastAsia"/>
          <w:kern w:val="0"/>
          <w:sz w:val="24"/>
          <w:szCs w:val="24"/>
        </w:rPr>
      </w:pPr>
      <w:r>
        <w:rPr>
          <w:rFonts w:ascii="宋体" w:hAnsi="宋体" w:cs="宋体" w:hint="eastAsia"/>
          <w:kern w:val="0"/>
          <w:sz w:val="24"/>
          <w:szCs w:val="24"/>
        </w:rPr>
        <w:t>依据政府采购相关法律法规规定,由采购人或采购代理机构对投标文件中的资格证明文件进行审查。资格审查资料表如下：</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17"/>
        <w:gridCol w:w="851"/>
        <w:gridCol w:w="4110"/>
        <w:gridCol w:w="385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45"/>
        </w:trPr>
        <w:tc>
          <w:tcPr>
            <w:tcW w:w="817" w:type="dxa"/>
            <w:vAlign w:val="center"/>
          </w:tcPr>
          <w:p>
            <w:pPr>
              <w:spacing w:line="240" w:lineRule="exact"/>
              <w:jc w:val="center"/>
              <w:rPr>
                <w:rFonts w:ascii="宋体" w:hAnsi="宋体" w:cs="宋体" w:hint="eastAsia"/>
                <w:kern w:val="0"/>
                <w:sz w:val="21"/>
                <w:szCs w:val="21"/>
              </w:rPr>
            </w:pPr>
            <w:r>
              <w:rPr>
                <w:rFonts w:ascii="宋体" w:hAnsi="宋体" w:cs="宋体" w:hint="eastAsia"/>
                <w:kern w:val="0"/>
                <w:sz w:val="21"/>
                <w:szCs w:val="21"/>
              </w:rPr>
              <w:t>序号</w:t>
            </w:r>
          </w:p>
        </w:tc>
        <w:tc>
          <w:tcPr>
            <w:tcW w:w="4961" w:type="dxa"/>
            <w:gridSpan w:val="2"/>
            <w:vAlign w:val="center"/>
          </w:tcPr>
          <w:p>
            <w:pPr>
              <w:spacing w:line="240" w:lineRule="exact"/>
              <w:jc w:val="center"/>
              <w:rPr>
                <w:rFonts w:ascii="宋体" w:hAnsi="宋体" w:cs="宋体" w:hint="eastAsia"/>
                <w:kern w:val="0"/>
                <w:sz w:val="21"/>
                <w:szCs w:val="21"/>
              </w:rPr>
            </w:pPr>
            <w:r>
              <w:rPr>
                <w:rFonts w:ascii="宋体" w:hAnsi="宋体" w:cs="宋体" w:hint="eastAsia"/>
                <w:kern w:val="0"/>
                <w:sz w:val="21"/>
                <w:szCs w:val="21"/>
              </w:rPr>
              <w:t>检查因素</w:t>
            </w:r>
          </w:p>
        </w:tc>
        <w:tc>
          <w:tcPr>
            <w:tcW w:w="3850" w:type="dxa"/>
            <w:vAlign w:val="center"/>
          </w:tcPr>
          <w:p>
            <w:pPr>
              <w:spacing w:line="240" w:lineRule="exact"/>
              <w:jc w:val="center"/>
              <w:rPr>
                <w:rFonts w:ascii="宋体" w:hAnsi="宋体" w:cs="宋体" w:hint="eastAsia"/>
                <w:kern w:val="0"/>
                <w:sz w:val="21"/>
                <w:szCs w:val="21"/>
              </w:rPr>
            </w:pPr>
            <w:r>
              <w:rPr>
                <w:rFonts w:ascii="宋体" w:hAnsi="宋体" w:cs="宋体" w:hint="eastAsia"/>
                <w:kern w:val="0"/>
                <w:sz w:val="21"/>
                <w:szCs w:val="21"/>
              </w:rPr>
              <w:t>检查内容</w:t>
            </w:r>
          </w:p>
        </w:tc>
      </w:tr>
      <w:tr>
        <w:tblPrEx>
          <w:tblW w:w="0" w:type="auto"/>
          <w:tblLayout w:type="fixed"/>
          <w:tblCellMar>
            <w:top w:w="0" w:type="dxa"/>
            <w:left w:w="108" w:type="dxa"/>
            <w:bottom w:w="0" w:type="dxa"/>
            <w:right w:w="108" w:type="dxa"/>
          </w:tblCellMar>
          <w:tblLook w:val="0000"/>
        </w:tblPrEx>
        <w:trPr>
          <w:trHeight w:val="872"/>
        </w:trPr>
        <w:tc>
          <w:tcPr>
            <w:tcW w:w="817" w:type="dxa"/>
            <w:vMerge w:val="restart"/>
            <w:vAlign w:val="center"/>
          </w:tcPr>
          <w:p>
            <w:pPr>
              <w:spacing w:line="240" w:lineRule="exact"/>
              <w:jc w:val="center"/>
              <w:rPr>
                <w:rFonts w:ascii="宋体" w:hAnsi="宋体" w:hint="eastAsia"/>
                <w:sz w:val="21"/>
                <w:szCs w:val="21"/>
              </w:rPr>
            </w:pPr>
            <w:r>
              <w:rPr>
                <w:rFonts w:ascii="宋体" w:hAnsi="宋体" w:hint="eastAsia"/>
                <w:sz w:val="21"/>
                <w:szCs w:val="21"/>
              </w:rPr>
              <w:t>（一）</w:t>
            </w:r>
          </w:p>
        </w:tc>
        <w:tc>
          <w:tcPr>
            <w:tcW w:w="851" w:type="dxa"/>
            <w:vMerge w:val="restart"/>
            <w:vAlign w:val="center"/>
          </w:tcPr>
          <w:p>
            <w:pPr>
              <w:spacing w:line="240" w:lineRule="exact"/>
              <w:rPr>
                <w:rFonts w:ascii="宋体" w:hAnsi="宋体" w:cs="仿宋_GB2312" w:hint="eastAsia"/>
                <w:sz w:val="21"/>
                <w:szCs w:val="21"/>
                <w:lang w:val="zh-CN"/>
              </w:rPr>
            </w:pPr>
            <w:r>
              <w:rPr>
                <w:rFonts w:ascii="宋体" w:hAnsi="宋体" w:cs="仿宋_GB2312" w:hint="eastAsia"/>
                <w:sz w:val="21"/>
                <w:szCs w:val="21"/>
                <w:lang w:val="zh-CN"/>
              </w:rPr>
              <w:t>《中华人民共和国政府采购法》第二十二条规定</w:t>
            </w:r>
          </w:p>
        </w:tc>
        <w:tc>
          <w:tcPr>
            <w:tcW w:w="4110" w:type="dxa"/>
            <w:vAlign w:val="center"/>
          </w:tcPr>
          <w:p>
            <w:pPr>
              <w:spacing w:line="240" w:lineRule="exact"/>
              <w:rPr>
                <w:rFonts w:ascii="宋体" w:hAnsi="宋体" w:cs="仿宋_GB2312" w:hint="eastAsia"/>
                <w:sz w:val="21"/>
                <w:szCs w:val="21"/>
                <w:lang w:val="zh-CN"/>
              </w:rPr>
            </w:pPr>
            <w:r>
              <w:rPr>
                <w:rFonts w:ascii="宋体" w:hAnsi="宋体" w:cs="仿宋_GB2312" w:hint="eastAsia"/>
                <w:sz w:val="21"/>
                <w:szCs w:val="21"/>
                <w:lang w:val="zh-CN"/>
              </w:rPr>
              <w:t>1.具有独立承担民事责任的能力</w:t>
            </w:r>
          </w:p>
        </w:tc>
        <w:tc>
          <w:tcPr>
            <w:tcW w:w="3850" w:type="dxa"/>
            <w:vAlign w:val="center"/>
          </w:tcPr>
          <w:p>
            <w:pPr>
              <w:spacing w:line="240" w:lineRule="exact"/>
              <w:rPr>
                <w:rFonts w:ascii="宋体" w:hAnsi="宋体" w:hint="eastAsia"/>
                <w:sz w:val="21"/>
                <w:szCs w:val="21"/>
              </w:rPr>
            </w:pPr>
            <w:r>
              <w:rPr>
                <w:rFonts w:ascii="宋体" w:hAnsi="宋体" w:hint="eastAsia"/>
                <w:sz w:val="21"/>
                <w:szCs w:val="21"/>
              </w:rPr>
              <w:t>1.投标人法人营业执照（副本）或事业单位法人证书（副本）或个体工商户营业执照有效的自然人身份证明或社会团体法人登记证书（副本）；</w:t>
            </w:r>
          </w:p>
          <w:p>
            <w:pPr>
              <w:spacing w:line="240" w:lineRule="exact"/>
              <w:rPr>
                <w:rFonts w:ascii="宋体" w:hAnsi="宋体" w:hint="eastAsia"/>
              </w:rPr>
            </w:pPr>
            <w:r>
              <w:rPr>
                <w:rFonts w:ascii="宋体" w:hAnsi="宋体" w:hint="eastAsia"/>
                <w:sz w:val="21"/>
                <w:szCs w:val="21"/>
              </w:rPr>
              <w:t>2.投标人法定代表人身份证明和法定代表人授权代表委托书。</w:t>
            </w:r>
          </w:p>
        </w:tc>
      </w:tr>
      <w:tr>
        <w:tblPrEx>
          <w:tblW w:w="0" w:type="auto"/>
          <w:tblLayout w:type="fixed"/>
          <w:tblCellMar>
            <w:top w:w="0" w:type="dxa"/>
            <w:left w:w="108" w:type="dxa"/>
            <w:bottom w:w="0" w:type="dxa"/>
            <w:right w:w="108" w:type="dxa"/>
          </w:tblCellMar>
          <w:tblLook w:val="0000"/>
        </w:tblPrEx>
        <w:trPr>
          <w:trHeight w:val="1222"/>
        </w:trPr>
        <w:tc>
          <w:tcPr>
            <w:tcW w:w="817" w:type="dxa"/>
            <w:vMerge/>
            <w:vAlign w:val="center"/>
          </w:tcPr>
          <w:p>
            <w:pPr>
              <w:spacing w:line="240" w:lineRule="exact"/>
              <w:jc w:val="center"/>
              <w:rPr>
                <w:rFonts w:ascii="宋体" w:hAnsi="宋体" w:hint="eastAsia"/>
                <w:sz w:val="21"/>
                <w:szCs w:val="21"/>
              </w:rPr>
            </w:pPr>
          </w:p>
        </w:tc>
        <w:tc>
          <w:tcPr>
            <w:tcW w:w="851" w:type="dxa"/>
            <w:vMerge/>
            <w:vAlign w:val="center"/>
          </w:tcPr>
          <w:p>
            <w:pPr>
              <w:spacing w:line="240" w:lineRule="exact"/>
              <w:rPr>
                <w:rFonts w:ascii="宋体" w:hAnsi="宋体" w:cs="仿宋_GB2312" w:hint="eastAsia"/>
                <w:sz w:val="21"/>
                <w:szCs w:val="21"/>
                <w:lang w:val="zh-CN"/>
              </w:rPr>
            </w:pPr>
          </w:p>
        </w:tc>
        <w:tc>
          <w:tcPr>
            <w:tcW w:w="4110" w:type="dxa"/>
            <w:vAlign w:val="center"/>
          </w:tcPr>
          <w:p>
            <w:pPr>
              <w:spacing w:line="240" w:lineRule="exact"/>
              <w:rPr>
                <w:rFonts w:ascii="宋体" w:hAnsi="宋体" w:cs="仿宋_GB2312" w:hint="eastAsia"/>
                <w:sz w:val="21"/>
                <w:szCs w:val="21"/>
                <w:lang w:val="zh-CN"/>
              </w:rPr>
            </w:pPr>
            <w:r>
              <w:rPr>
                <w:rFonts w:ascii="宋体" w:hAnsi="宋体" w:cs="仿宋_GB2312" w:hint="eastAsia"/>
                <w:sz w:val="21"/>
                <w:szCs w:val="21"/>
                <w:lang w:val="zh-CN"/>
              </w:rPr>
              <w:t>2.具有良好的商业信誉和健全的财务会计制度</w:t>
            </w:r>
          </w:p>
        </w:tc>
        <w:tc>
          <w:tcPr>
            <w:tcW w:w="3850" w:type="dxa"/>
            <w:vAlign w:val="center"/>
          </w:tcPr>
          <w:p>
            <w:pPr>
              <w:spacing w:line="240" w:lineRule="exact"/>
              <w:rPr>
                <w:rFonts w:ascii="宋体" w:hAnsi="宋体" w:hint="eastAsia"/>
                <w:sz w:val="21"/>
                <w:szCs w:val="21"/>
              </w:rPr>
            </w:pPr>
            <w:r>
              <w:rPr>
                <w:rFonts w:ascii="宋体" w:hAnsi="宋体" w:hint="eastAsia"/>
                <w:sz w:val="21"/>
                <w:szCs w:val="21"/>
              </w:rPr>
              <w:t>1.提供2</w:t>
            </w:r>
            <w:r>
              <w:rPr>
                <w:rFonts w:ascii="宋体" w:hAnsi="宋体"/>
                <w:sz w:val="21"/>
                <w:szCs w:val="21"/>
              </w:rPr>
              <w:t>020年度</w:t>
            </w:r>
            <w:r>
              <w:rPr>
                <w:rFonts w:ascii="宋体" w:hAnsi="宋体" w:hint="eastAsia"/>
                <w:sz w:val="21"/>
                <w:szCs w:val="21"/>
              </w:rPr>
              <w:t>财务状况报告（表）复印件；</w:t>
            </w:r>
          </w:p>
          <w:p>
            <w:pPr>
              <w:spacing w:line="240" w:lineRule="exact"/>
              <w:rPr>
                <w:rFonts w:ascii="宋体" w:hAnsi="宋体" w:hint="eastAsia"/>
                <w:sz w:val="21"/>
                <w:szCs w:val="21"/>
              </w:rPr>
            </w:pPr>
            <w:r>
              <w:rPr>
                <w:rFonts w:ascii="宋体" w:hAnsi="宋体" w:hint="eastAsia"/>
                <w:sz w:val="21"/>
                <w:szCs w:val="21"/>
              </w:rPr>
              <w:t>2.本年度新成立或成立不满一年的组织和自然人无法提供财务状况报告（表）的，可提供银行出具的资信证明复印件。</w:t>
            </w:r>
          </w:p>
        </w:tc>
      </w:tr>
      <w:tr>
        <w:tblPrEx>
          <w:tblW w:w="0" w:type="auto"/>
          <w:tblLayout w:type="fixed"/>
          <w:tblCellMar>
            <w:top w:w="0" w:type="dxa"/>
            <w:left w:w="108" w:type="dxa"/>
            <w:bottom w:w="0" w:type="dxa"/>
            <w:right w:w="108" w:type="dxa"/>
          </w:tblCellMar>
          <w:tblLook w:val="0000"/>
        </w:tblPrEx>
        <w:trPr>
          <w:trHeight w:val="709"/>
        </w:trPr>
        <w:tc>
          <w:tcPr>
            <w:tcW w:w="817" w:type="dxa"/>
            <w:vMerge/>
            <w:vAlign w:val="center"/>
          </w:tcPr>
          <w:p>
            <w:pPr>
              <w:spacing w:line="240" w:lineRule="exact"/>
              <w:jc w:val="center"/>
              <w:rPr>
                <w:rFonts w:ascii="宋体" w:hAnsi="宋体" w:hint="eastAsia"/>
                <w:sz w:val="21"/>
                <w:szCs w:val="21"/>
              </w:rPr>
            </w:pPr>
          </w:p>
        </w:tc>
        <w:tc>
          <w:tcPr>
            <w:tcW w:w="851" w:type="dxa"/>
            <w:vMerge/>
            <w:vAlign w:val="center"/>
          </w:tcPr>
          <w:p>
            <w:pPr>
              <w:spacing w:line="240" w:lineRule="exact"/>
              <w:rPr>
                <w:rFonts w:ascii="宋体" w:hAnsi="宋体" w:cs="仿宋_GB2312" w:hint="eastAsia"/>
                <w:sz w:val="21"/>
                <w:szCs w:val="21"/>
                <w:lang w:val="zh-CN"/>
              </w:rPr>
            </w:pPr>
          </w:p>
        </w:tc>
        <w:tc>
          <w:tcPr>
            <w:tcW w:w="4110" w:type="dxa"/>
            <w:vAlign w:val="center"/>
          </w:tcPr>
          <w:p>
            <w:pPr>
              <w:spacing w:line="240" w:lineRule="exact"/>
              <w:rPr>
                <w:rFonts w:ascii="宋体" w:hAnsi="宋体" w:cs="仿宋_GB2312" w:hint="eastAsia"/>
                <w:sz w:val="21"/>
                <w:szCs w:val="21"/>
                <w:lang w:val="zh-CN"/>
              </w:rPr>
            </w:pPr>
            <w:r>
              <w:rPr>
                <w:rFonts w:ascii="宋体" w:hAnsi="宋体" w:cs="仿宋_GB2312" w:hint="eastAsia"/>
                <w:sz w:val="21"/>
                <w:szCs w:val="21"/>
                <w:lang w:val="zh-CN"/>
              </w:rPr>
              <w:t>3.具有履行合同所必需的设备和专业技术能力</w:t>
            </w:r>
          </w:p>
        </w:tc>
        <w:tc>
          <w:tcPr>
            <w:tcW w:w="3850" w:type="dxa"/>
            <w:vAlign w:val="center"/>
          </w:tcPr>
          <w:p>
            <w:pPr>
              <w:spacing w:line="240" w:lineRule="exact"/>
              <w:rPr>
                <w:rFonts w:ascii="宋体" w:hAnsi="宋体" w:hint="eastAsia"/>
                <w:sz w:val="21"/>
                <w:szCs w:val="21"/>
              </w:rPr>
            </w:pPr>
            <w:r>
              <w:rPr>
                <w:rFonts w:ascii="宋体" w:hAnsi="宋体" w:hint="eastAsia"/>
                <w:sz w:val="21"/>
                <w:szCs w:val="21"/>
              </w:rPr>
              <w:t>投标人提供书面声明或相关证明材料（见格式文件）。</w:t>
            </w:r>
          </w:p>
        </w:tc>
      </w:tr>
      <w:tr>
        <w:tblPrEx>
          <w:tblW w:w="0" w:type="auto"/>
          <w:tblLayout w:type="fixed"/>
          <w:tblCellMar>
            <w:top w:w="0" w:type="dxa"/>
            <w:left w:w="108" w:type="dxa"/>
            <w:bottom w:w="0" w:type="dxa"/>
            <w:right w:w="108" w:type="dxa"/>
          </w:tblCellMar>
          <w:tblLook w:val="0000"/>
        </w:tblPrEx>
        <w:trPr>
          <w:trHeight w:val="2122"/>
        </w:trPr>
        <w:tc>
          <w:tcPr>
            <w:tcW w:w="817" w:type="dxa"/>
            <w:vMerge/>
            <w:vAlign w:val="center"/>
          </w:tcPr>
          <w:p>
            <w:pPr>
              <w:spacing w:line="240" w:lineRule="exact"/>
              <w:jc w:val="center"/>
              <w:rPr>
                <w:rFonts w:ascii="宋体" w:hAnsi="宋体" w:hint="eastAsia"/>
                <w:sz w:val="21"/>
                <w:szCs w:val="21"/>
              </w:rPr>
            </w:pPr>
          </w:p>
        </w:tc>
        <w:tc>
          <w:tcPr>
            <w:tcW w:w="851" w:type="dxa"/>
            <w:vMerge/>
            <w:vAlign w:val="center"/>
          </w:tcPr>
          <w:p>
            <w:pPr>
              <w:spacing w:line="240" w:lineRule="exact"/>
              <w:rPr>
                <w:rFonts w:ascii="宋体" w:hAnsi="宋体" w:cs="仿宋_GB2312" w:hint="eastAsia"/>
                <w:sz w:val="21"/>
                <w:szCs w:val="21"/>
                <w:lang w:val="zh-CN"/>
              </w:rPr>
            </w:pPr>
          </w:p>
        </w:tc>
        <w:tc>
          <w:tcPr>
            <w:tcW w:w="4110" w:type="dxa"/>
            <w:vAlign w:val="center"/>
          </w:tcPr>
          <w:p>
            <w:pPr>
              <w:spacing w:line="240" w:lineRule="exact"/>
              <w:rPr>
                <w:rFonts w:ascii="宋体" w:hAnsi="宋体" w:cs="仿宋_GB2312" w:hint="eastAsia"/>
                <w:sz w:val="21"/>
                <w:szCs w:val="21"/>
                <w:lang w:val="zh-CN"/>
              </w:rPr>
            </w:pPr>
            <w:r>
              <w:rPr>
                <w:rFonts w:ascii="宋体" w:hAnsi="宋体" w:cs="仿宋_GB2312" w:hint="eastAsia"/>
                <w:sz w:val="21"/>
                <w:szCs w:val="21"/>
                <w:lang w:val="zh-CN"/>
              </w:rPr>
              <w:t>4.有依法缴纳税收和社会保障金的良好记录</w:t>
            </w:r>
          </w:p>
        </w:tc>
        <w:tc>
          <w:tcPr>
            <w:tcW w:w="3850" w:type="dxa"/>
            <w:vAlign w:val="center"/>
          </w:tcPr>
          <w:p>
            <w:pPr>
              <w:spacing w:line="240" w:lineRule="exact"/>
              <w:rPr>
                <w:rFonts w:ascii="宋体" w:hAnsi="宋体" w:hint="eastAsia"/>
                <w:sz w:val="21"/>
                <w:szCs w:val="21"/>
              </w:rPr>
            </w:pPr>
            <w:r>
              <w:rPr>
                <w:rFonts w:ascii="宋体" w:hAnsi="宋体" w:hint="eastAsia"/>
                <w:sz w:val="21"/>
                <w:szCs w:val="21"/>
              </w:rPr>
              <w:t>1.税务登记证（副本）复印件（注</w:t>
            </w:r>
            <w:r>
              <w:rPr>
                <w:rFonts w:ascii="宋体" w:hAnsi="宋体" w:hint="eastAsia"/>
                <w:sz w:val="21"/>
                <w:szCs w:val="21"/>
              </w:rPr>
              <w:t>①</w:t>
            </w:r>
            <w:r>
              <w:rPr>
                <w:rFonts w:ascii="宋体" w:hAnsi="宋体" w:hint="eastAsia"/>
                <w:sz w:val="21"/>
                <w:szCs w:val="21"/>
              </w:rPr>
              <w:t>）2.缴纳社会保障金的证明材料复印件（缴纳社会保障金的证明材料指：社会保险登记证或缴纳社会保险的凭据（专用收据或社会保险缴纳清单）。</w:t>
            </w:r>
          </w:p>
          <w:p>
            <w:pPr>
              <w:spacing w:line="240" w:lineRule="exact"/>
              <w:rPr>
                <w:rFonts w:ascii="宋体" w:hAnsi="宋体" w:hint="eastAsia"/>
                <w:sz w:val="21"/>
                <w:szCs w:val="21"/>
              </w:rPr>
            </w:pPr>
            <w:r>
              <w:rPr>
                <w:rFonts w:ascii="宋体" w:hAnsi="宋体" w:hint="eastAsia"/>
                <w:sz w:val="21"/>
                <w:szCs w:val="21"/>
              </w:rPr>
              <w:t>3.依法免税或不需要缴纳社会保障资金的投标人，应提供相应文件证明其依法免税或不需要缴纳社会保障资金。</w:t>
            </w:r>
          </w:p>
        </w:tc>
      </w:tr>
      <w:tr>
        <w:tblPrEx>
          <w:tblW w:w="0" w:type="auto"/>
          <w:tblLayout w:type="fixed"/>
          <w:tblCellMar>
            <w:top w:w="0" w:type="dxa"/>
            <w:left w:w="108" w:type="dxa"/>
            <w:bottom w:w="0" w:type="dxa"/>
            <w:right w:w="108" w:type="dxa"/>
          </w:tblCellMar>
          <w:tblLook w:val="0000"/>
        </w:tblPrEx>
        <w:trPr>
          <w:trHeight w:val="2252"/>
        </w:trPr>
        <w:tc>
          <w:tcPr>
            <w:tcW w:w="817" w:type="dxa"/>
            <w:vMerge/>
            <w:vAlign w:val="center"/>
          </w:tcPr>
          <w:p>
            <w:pPr>
              <w:spacing w:line="240" w:lineRule="exact"/>
              <w:jc w:val="center"/>
              <w:rPr>
                <w:rFonts w:ascii="宋体" w:hAnsi="宋体" w:hint="eastAsia"/>
                <w:sz w:val="21"/>
                <w:szCs w:val="21"/>
              </w:rPr>
            </w:pPr>
          </w:p>
        </w:tc>
        <w:tc>
          <w:tcPr>
            <w:tcW w:w="851" w:type="dxa"/>
            <w:vMerge/>
            <w:vAlign w:val="center"/>
          </w:tcPr>
          <w:p>
            <w:pPr>
              <w:spacing w:line="240" w:lineRule="exact"/>
              <w:rPr>
                <w:rFonts w:ascii="宋体" w:hAnsi="宋体" w:cs="仿宋_GB2312" w:hint="eastAsia"/>
                <w:sz w:val="21"/>
                <w:szCs w:val="21"/>
                <w:lang w:val="zh-CN"/>
              </w:rPr>
            </w:pPr>
          </w:p>
        </w:tc>
        <w:tc>
          <w:tcPr>
            <w:tcW w:w="4110" w:type="dxa"/>
            <w:vAlign w:val="center"/>
          </w:tcPr>
          <w:p>
            <w:pPr>
              <w:spacing w:line="240" w:lineRule="exact"/>
              <w:rPr>
                <w:rFonts w:ascii="宋体" w:hAnsi="宋体" w:cs="仿宋_GB2312" w:hint="eastAsia"/>
                <w:sz w:val="21"/>
                <w:szCs w:val="21"/>
                <w:lang w:val="zh-CN"/>
              </w:rPr>
            </w:pPr>
            <w:r>
              <w:rPr>
                <w:rFonts w:ascii="宋体" w:hAnsi="宋体" w:cs="仿宋_GB2312" w:hint="eastAsia"/>
                <w:sz w:val="21"/>
                <w:szCs w:val="21"/>
                <w:lang w:val="zh-CN"/>
              </w:rPr>
              <w:t>5.参加政府采购活动前三年内，在经营活动中没有重大违法记录（注</w:t>
            </w:r>
            <w:r>
              <w:rPr>
                <w:rFonts w:ascii="宋体" w:hAnsi="宋体" w:cs="仿宋_GB2312" w:hint="eastAsia"/>
                <w:sz w:val="21"/>
                <w:szCs w:val="21"/>
                <w:lang w:val="zh-CN"/>
              </w:rPr>
              <w:t>②</w:t>
            </w:r>
            <w:r>
              <w:rPr>
                <w:rFonts w:ascii="宋体" w:hAnsi="宋体" w:cs="仿宋_GB2312" w:hint="eastAsia"/>
                <w:sz w:val="21"/>
                <w:szCs w:val="21"/>
                <w:lang w:val="zh-CN"/>
              </w:rPr>
              <w:t>）</w:t>
            </w:r>
          </w:p>
        </w:tc>
        <w:tc>
          <w:tcPr>
            <w:tcW w:w="3850" w:type="dxa"/>
            <w:vAlign w:val="center"/>
          </w:tcPr>
          <w:p>
            <w:pPr>
              <w:spacing w:line="240" w:lineRule="exact"/>
              <w:rPr>
                <w:rFonts w:ascii="宋体" w:hAnsi="宋体" w:hint="eastAsia"/>
                <w:sz w:val="21"/>
                <w:szCs w:val="21"/>
              </w:rPr>
            </w:pPr>
            <w:r>
              <w:rPr>
                <w:rFonts w:ascii="宋体" w:hAnsi="宋体" w:hint="eastAsia"/>
                <w:sz w:val="21"/>
                <w:szCs w:val="21"/>
              </w:rPr>
              <w:t>1.投标人提供书面声明（见格式文件）；</w:t>
            </w:r>
          </w:p>
          <w:p>
            <w:pPr>
              <w:spacing w:line="240" w:lineRule="exact"/>
              <w:rPr>
                <w:rFonts w:ascii="宋体" w:hAnsi="宋体" w:hint="eastAsia"/>
                <w:b/>
                <w:sz w:val="21"/>
                <w:szCs w:val="21"/>
              </w:rPr>
            </w:pPr>
            <w:r>
              <w:rPr>
                <w:rFonts w:ascii="宋体" w:hAnsi="宋体" w:hint="eastAsia"/>
                <w:sz w:val="21"/>
                <w:szCs w:val="21"/>
              </w:rPr>
              <w:t xml:space="preserve">2.采购人或采购代理机构将通过 </w:t>
            </w:r>
            <w:r>
              <w:rPr>
                <w:rFonts w:ascii="宋体" w:hAnsi="宋体" w:hint="eastAsia"/>
                <w:sz w:val="21"/>
                <w:szCs w:val="21"/>
              </w:rPr>
              <w:t>“</w:t>
            </w:r>
            <w:r>
              <w:rPr>
                <w:rFonts w:ascii="宋体" w:hAnsi="宋体" w:hint="eastAsia"/>
                <w:sz w:val="21"/>
                <w:szCs w:val="21"/>
              </w:rPr>
              <w:t>信用中国</w:t>
            </w:r>
            <w:r>
              <w:rPr>
                <w:rFonts w:ascii="宋体" w:hAnsi="宋体" w:hint="eastAsia"/>
                <w:sz w:val="21"/>
                <w:szCs w:val="21"/>
              </w:rPr>
              <w:t>”</w:t>
            </w:r>
            <w:r>
              <w:rPr>
                <w:rFonts w:ascii="宋体" w:hAnsi="宋体" w:hint="eastAsia"/>
                <w:sz w:val="21"/>
                <w:szCs w:val="21"/>
              </w:rPr>
              <w:t>网站(www.creditchina.gov.cn)、"中国政府采购网"(www.ccgp.gov.cn)等渠道查询投标人信用记录，对列入失信被执行人、重大税收违法案件当事人名单、政府采购严重违法失信行为记录名单的投标人将拒绝其参与政府采购活动。</w:t>
            </w:r>
          </w:p>
        </w:tc>
      </w:tr>
      <w:tr>
        <w:tblPrEx>
          <w:tblW w:w="0" w:type="auto"/>
          <w:tblLayout w:type="fixed"/>
          <w:tblCellMar>
            <w:top w:w="0" w:type="dxa"/>
            <w:left w:w="108" w:type="dxa"/>
            <w:bottom w:w="0" w:type="dxa"/>
            <w:right w:w="108" w:type="dxa"/>
          </w:tblCellMar>
          <w:tblLook w:val="0000"/>
        </w:tblPrEx>
        <w:trPr>
          <w:trHeight w:val="414"/>
        </w:trPr>
        <w:tc>
          <w:tcPr>
            <w:tcW w:w="817" w:type="dxa"/>
            <w:vMerge/>
            <w:vAlign w:val="center"/>
          </w:tcPr>
          <w:p>
            <w:pPr>
              <w:spacing w:line="240" w:lineRule="exact"/>
              <w:jc w:val="center"/>
              <w:rPr>
                <w:rFonts w:ascii="宋体" w:hAnsi="宋体" w:hint="eastAsia"/>
                <w:sz w:val="21"/>
                <w:szCs w:val="21"/>
              </w:rPr>
            </w:pPr>
          </w:p>
        </w:tc>
        <w:tc>
          <w:tcPr>
            <w:tcW w:w="851" w:type="dxa"/>
            <w:vMerge/>
            <w:vAlign w:val="center"/>
          </w:tcPr>
          <w:p>
            <w:pPr>
              <w:spacing w:line="240" w:lineRule="exact"/>
              <w:rPr>
                <w:rFonts w:ascii="宋体" w:hAnsi="宋体" w:cs="仿宋_GB2312" w:hint="eastAsia"/>
                <w:sz w:val="21"/>
                <w:szCs w:val="21"/>
                <w:lang w:val="zh-CN"/>
              </w:rPr>
            </w:pPr>
          </w:p>
        </w:tc>
        <w:tc>
          <w:tcPr>
            <w:tcW w:w="4110" w:type="dxa"/>
            <w:vAlign w:val="center"/>
          </w:tcPr>
          <w:p>
            <w:pPr>
              <w:spacing w:line="240" w:lineRule="exact"/>
              <w:rPr>
                <w:rFonts w:ascii="宋体" w:hAnsi="宋体" w:cs="仿宋_GB2312" w:hint="eastAsia"/>
                <w:sz w:val="21"/>
                <w:szCs w:val="21"/>
                <w:lang w:val="zh-CN"/>
              </w:rPr>
            </w:pPr>
            <w:r>
              <w:rPr>
                <w:rFonts w:ascii="宋体" w:hAnsi="宋体" w:cs="仿宋_GB2312" w:hint="eastAsia"/>
                <w:sz w:val="21"/>
                <w:szCs w:val="21"/>
                <w:lang w:val="zh-CN"/>
              </w:rPr>
              <w:t>6.法律、行政法规规定的其他条件</w:t>
            </w:r>
          </w:p>
        </w:tc>
        <w:tc>
          <w:tcPr>
            <w:tcW w:w="3850" w:type="dxa"/>
            <w:vAlign w:val="center"/>
          </w:tcPr>
          <w:p>
            <w:pPr>
              <w:spacing w:line="240" w:lineRule="exact"/>
              <w:rPr>
                <w:rFonts w:ascii="宋体" w:hAnsi="宋体" w:hint="eastAsia"/>
                <w:sz w:val="21"/>
                <w:szCs w:val="21"/>
              </w:rPr>
            </w:pPr>
          </w:p>
        </w:tc>
      </w:tr>
      <w:tr>
        <w:tblPrEx>
          <w:tblW w:w="0" w:type="auto"/>
          <w:tblLayout w:type="fixed"/>
          <w:tblCellMar>
            <w:top w:w="0" w:type="dxa"/>
            <w:left w:w="108" w:type="dxa"/>
            <w:bottom w:w="0" w:type="dxa"/>
            <w:right w:w="108" w:type="dxa"/>
          </w:tblCellMar>
          <w:tblLook w:val="0000"/>
        </w:tblPrEx>
        <w:trPr>
          <w:trHeight w:val="133"/>
        </w:trPr>
        <w:tc>
          <w:tcPr>
            <w:tcW w:w="817" w:type="dxa"/>
            <w:vAlign w:val="center"/>
          </w:tcPr>
          <w:p>
            <w:pPr>
              <w:spacing w:line="240" w:lineRule="exact"/>
              <w:jc w:val="center"/>
              <w:rPr>
                <w:rFonts w:ascii="宋体" w:hAnsi="宋体" w:hint="eastAsia"/>
                <w:sz w:val="21"/>
                <w:szCs w:val="21"/>
              </w:rPr>
            </w:pPr>
            <w:r>
              <w:rPr>
                <w:rFonts w:ascii="宋体" w:hAnsi="宋体" w:hint="eastAsia"/>
                <w:sz w:val="21"/>
                <w:szCs w:val="21"/>
              </w:rPr>
              <w:t>（二）</w:t>
            </w:r>
          </w:p>
        </w:tc>
        <w:tc>
          <w:tcPr>
            <w:tcW w:w="4961" w:type="dxa"/>
            <w:gridSpan w:val="2"/>
            <w:vAlign w:val="center"/>
          </w:tcPr>
          <w:p>
            <w:pPr>
              <w:spacing w:line="240" w:lineRule="exact"/>
              <w:rPr>
                <w:rFonts w:ascii="宋体" w:hAnsi="宋体" w:cs="仿宋_GB2312" w:hint="eastAsia"/>
                <w:sz w:val="21"/>
                <w:szCs w:val="21"/>
                <w:lang w:val="zh-CN"/>
              </w:rPr>
            </w:pPr>
            <w:r>
              <w:rPr>
                <w:rFonts w:ascii="宋体" w:hAnsi="宋体" w:cs="仿宋_GB2312" w:hint="eastAsia"/>
                <w:sz w:val="21"/>
                <w:szCs w:val="21"/>
                <w:lang w:val="zh-CN"/>
              </w:rPr>
              <w:t>本项目特定资格要求</w:t>
            </w:r>
          </w:p>
        </w:tc>
        <w:tc>
          <w:tcPr>
            <w:tcW w:w="3850" w:type="dxa"/>
            <w:vAlign w:val="center"/>
          </w:tcPr>
          <w:p>
            <w:pPr>
              <w:spacing w:line="240" w:lineRule="exact"/>
              <w:rPr>
                <w:rFonts w:ascii="宋体" w:hAnsi="宋体" w:hint="eastAsia"/>
                <w:sz w:val="21"/>
                <w:szCs w:val="21"/>
              </w:rPr>
            </w:pPr>
            <w:r>
              <w:rPr>
                <w:rFonts w:ascii="宋体" w:hAnsi="宋体" w:hint="eastAsia"/>
                <w:sz w:val="21"/>
                <w:szCs w:val="21"/>
              </w:rPr>
              <w:t>按第一篇</w:t>
            </w:r>
            <w:r>
              <w:rPr>
                <w:rFonts w:ascii="宋体" w:hAnsi="宋体" w:hint="eastAsia"/>
                <w:sz w:val="21"/>
                <w:szCs w:val="21"/>
              </w:rPr>
              <w:t>“</w:t>
            </w:r>
            <w:r>
              <w:rPr>
                <w:rFonts w:ascii="宋体" w:hAnsi="宋体" w:hint="eastAsia"/>
                <w:sz w:val="21"/>
                <w:szCs w:val="21"/>
              </w:rPr>
              <w:t>三、投标人资格要求（二）本项目的特定资格要求</w:t>
            </w:r>
            <w:r>
              <w:rPr>
                <w:rFonts w:ascii="宋体" w:hAnsi="宋体" w:hint="eastAsia"/>
                <w:sz w:val="21"/>
                <w:szCs w:val="21"/>
              </w:rPr>
              <w:t>”</w:t>
            </w:r>
            <w:r>
              <w:rPr>
                <w:rFonts w:ascii="宋体" w:hAnsi="宋体" w:hint="eastAsia"/>
                <w:sz w:val="21"/>
                <w:szCs w:val="21"/>
              </w:rPr>
              <w:t>的要求提交（如果有）。</w:t>
            </w:r>
          </w:p>
        </w:tc>
      </w:tr>
      <w:tr>
        <w:tblPrEx>
          <w:tblW w:w="0" w:type="auto"/>
          <w:tblLayout w:type="fixed"/>
          <w:tblCellMar>
            <w:top w:w="0" w:type="dxa"/>
            <w:left w:w="108" w:type="dxa"/>
            <w:bottom w:w="0" w:type="dxa"/>
            <w:right w:w="108" w:type="dxa"/>
          </w:tblCellMar>
          <w:tblLook w:val="0000"/>
        </w:tblPrEx>
        <w:trPr>
          <w:trHeight w:val="414"/>
        </w:trPr>
        <w:tc>
          <w:tcPr>
            <w:tcW w:w="817" w:type="dxa"/>
            <w:vAlign w:val="center"/>
          </w:tcPr>
          <w:p>
            <w:pPr>
              <w:spacing w:line="240" w:lineRule="exact"/>
              <w:jc w:val="center"/>
              <w:rPr>
                <w:rFonts w:ascii="宋体" w:hAnsi="宋体" w:hint="eastAsia"/>
                <w:sz w:val="21"/>
                <w:szCs w:val="21"/>
              </w:rPr>
            </w:pPr>
            <w:r>
              <w:rPr>
                <w:rFonts w:ascii="宋体" w:hAnsi="宋体" w:hint="eastAsia"/>
                <w:sz w:val="21"/>
                <w:szCs w:val="21"/>
              </w:rPr>
              <w:t>（三）</w:t>
            </w:r>
          </w:p>
        </w:tc>
        <w:tc>
          <w:tcPr>
            <w:tcW w:w="4961" w:type="dxa"/>
            <w:gridSpan w:val="2"/>
            <w:vAlign w:val="center"/>
          </w:tcPr>
          <w:p>
            <w:pPr>
              <w:spacing w:line="240" w:lineRule="exact"/>
              <w:rPr>
                <w:rFonts w:ascii="宋体" w:hAnsi="宋体" w:cs="仿宋_GB2312" w:hint="eastAsia"/>
                <w:sz w:val="21"/>
                <w:szCs w:val="21"/>
                <w:lang w:val="zh-CN"/>
              </w:rPr>
            </w:pPr>
            <w:r>
              <w:rPr>
                <w:rFonts w:ascii="宋体" w:hAnsi="宋体" w:cs="仿宋_GB2312" w:hint="eastAsia"/>
                <w:sz w:val="21"/>
                <w:szCs w:val="21"/>
                <w:lang w:val="zh-CN"/>
              </w:rPr>
              <w:t>落实政府采购政策需满足的资格要求</w:t>
            </w:r>
          </w:p>
        </w:tc>
        <w:tc>
          <w:tcPr>
            <w:tcW w:w="3850" w:type="dxa"/>
            <w:vAlign w:val="center"/>
          </w:tcPr>
          <w:p>
            <w:pPr>
              <w:spacing w:line="240" w:lineRule="exact"/>
              <w:rPr>
                <w:rFonts w:ascii="宋体" w:hAnsi="宋体" w:hint="eastAsia"/>
                <w:sz w:val="21"/>
                <w:szCs w:val="21"/>
              </w:rPr>
            </w:pPr>
            <w:r>
              <w:rPr>
                <w:rFonts w:ascii="宋体" w:hAnsi="宋体" w:hint="eastAsia"/>
                <w:sz w:val="21"/>
                <w:szCs w:val="21"/>
              </w:rPr>
              <w:t>按第一篇</w:t>
            </w:r>
            <w:r>
              <w:rPr>
                <w:rFonts w:ascii="宋体" w:hAnsi="宋体" w:hint="eastAsia"/>
                <w:sz w:val="21"/>
                <w:szCs w:val="21"/>
              </w:rPr>
              <w:t>“</w:t>
            </w:r>
            <w:r>
              <w:rPr>
                <w:rFonts w:ascii="宋体" w:hAnsi="宋体" w:hint="eastAsia"/>
                <w:sz w:val="21"/>
                <w:szCs w:val="21"/>
              </w:rPr>
              <w:t>三、投标人资格要求（三）落实政府采购政策需满足的资格要求</w:t>
            </w:r>
            <w:r>
              <w:rPr>
                <w:rFonts w:ascii="宋体" w:hAnsi="宋体" w:hint="eastAsia"/>
                <w:sz w:val="21"/>
                <w:szCs w:val="21"/>
              </w:rPr>
              <w:t>”</w:t>
            </w:r>
            <w:r>
              <w:rPr>
                <w:rFonts w:ascii="宋体" w:hAnsi="宋体" w:hint="eastAsia"/>
                <w:sz w:val="21"/>
                <w:szCs w:val="21"/>
              </w:rPr>
              <w:t>的要求提交（如果有）。</w:t>
            </w:r>
          </w:p>
        </w:tc>
      </w:tr>
      <w:tr>
        <w:tblPrEx>
          <w:tblW w:w="0" w:type="auto"/>
          <w:tblLayout w:type="fixed"/>
          <w:tblCellMar>
            <w:top w:w="0" w:type="dxa"/>
            <w:left w:w="108" w:type="dxa"/>
            <w:bottom w:w="0" w:type="dxa"/>
            <w:right w:w="108" w:type="dxa"/>
          </w:tblCellMar>
          <w:tblLook w:val="0000"/>
        </w:tblPrEx>
        <w:trPr>
          <w:trHeight w:val="389"/>
        </w:trPr>
        <w:tc>
          <w:tcPr>
            <w:tcW w:w="817" w:type="dxa"/>
            <w:vAlign w:val="center"/>
          </w:tcPr>
          <w:p>
            <w:pPr>
              <w:spacing w:line="240" w:lineRule="exact"/>
              <w:jc w:val="center"/>
              <w:rPr>
                <w:rFonts w:ascii="宋体" w:hAnsi="宋体"/>
                <w:sz w:val="21"/>
                <w:szCs w:val="21"/>
              </w:rPr>
            </w:pPr>
            <w:r>
              <w:rPr>
                <w:rFonts w:ascii="宋体" w:hAnsi="宋体" w:hint="eastAsia"/>
                <w:sz w:val="21"/>
                <w:szCs w:val="21"/>
              </w:rPr>
              <w:t>（四）</w:t>
            </w:r>
          </w:p>
        </w:tc>
        <w:tc>
          <w:tcPr>
            <w:tcW w:w="4961" w:type="dxa"/>
            <w:gridSpan w:val="2"/>
            <w:vAlign w:val="center"/>
          </w:tcPr>
          <w:p>
            <w:pPr>
              <w:spacing w:line="240" w:lineRule="exact"/>
              <w:rPr>
                <w:rFonts w:ascii="宋体" w:hAnsi="宋体" w:hint="eastAsia"/>
                <w:sz w:val="21"/>
                <w:szCs w:val="21"/>
              </w:rPr>
            </w:pPr>
            <w:r>
              <w:rPr>
                <w:rFonts w:ascii="宋体" w:hAnsi="宋体" w:hint="eastAsia"/>
                <w:sz w:val="21"/>
                <w:szCs w:val="21"/>
              </w:rPr>
              <w:t>投标保证金</w:t>
            </w:r>
          </w:p>
        </w:tc>
        <w:tc>
          <w:tcPr>
            <w:tcW w:w="3850" w:type="dxa"/>
            <w:vAlign w:val="center"/>
          </w:tcPr>
          <w:p>
            <w:pPr>
              <w:spacing w:line="240" w:lineRule="exact"/>
              <w:rPr>
                <w:rFonts w:ascii="宋体" w:hAnsi="宋体" w:hint="eastAsia"/>
                <w:sz w:val="21"/>
                <w:szCs w:val="21"/>
              </w:rPr>
            </w:pPr>
            <w:r>
              <w:rPr>
                <w:rFonts w:ascii="宋体" w:hAnsi="宋体" w:hint="eastAsia"/>
                <w:sz w:val="21"/>
                <w:szCs w:val="21"/>
              </w:rPr>
              <w:t>按照采购文件的规定提交投标保证金。</w:t>
            </w:r>
          </w:p>
        </w:tc>
      </w:tr>
    </w:tbl>
    <w:p>
      <w:pPr>
        <w:snapToGrid w:val="0"/>
        <w:spacing w:line="360" w:lineRule="auto"/>
        <w:ind w:firstLine="480" w:firstLineChars="200"/>
        <w:rPr>
          <w:rFonts w:ascii="宋体" w:hAnsi="宋体" w:cs="宋体" w:hint="eastAsia"/>
          <w:kern w:val="0"/>
          <w:sz w:val="24"/>
          <w:szCs w:val="24"/>
        </w:rPr>
      </w:pPr>
      <w:r>
        <w:rPr>
          <w:rFonts w:ascii="宋体" w:hAnsi="宋体" w:cs="宋体" w:hint="eastAsia"/>
          <w:kern w:val="0"/>
          <w:sz w:val="24"/>
          <w:szCs w:val="24"/>
        </w:rPr>
        <w:t>注：</w:t>
      </w:r>
    </w:p>
    <w:p>
      <w:pPr>
        <w:snapToGrid w:val="0"/>
        <w:spacing w:line="360" w:lineRule="auto"/>
        <w:ind w:firstLine="480" w:firstLineChars="200"/>
        <w:rPr>
          <w:rFonts w:ascii="宋体" w:hAnsi="宋体" w:hint="eastAsia"/>
          <w:sz w:val="24"/>
          <w:szCs w:val="24"/>
        </w:rPr>
        <w:sectPr>
          <w:headerReference w:type="default" r:id="rId49"/>
          <w:footerReference w:type="even" r:id="rId50"/>
          <w:footerReference w:type="default" r:id="rId51"/>
          <w:headerReference w:type="first" r:id="rId52"/>
          <w:type w:val="nextPage"/>
          <w:pgSz w:w="11907" w:h="16840"/>
          <w:pgMar w:top="1134" w:right="1191" w:bottom="1134" w:left="1191" w:header="851" w:footer="992" w:gutter="0"/>
          <w:pgNumType w:fmt="numberInDash" w:start="11"/>
          <w:cols w:space="708"/>
          <w:titlePg w:val="0"/>
          <w:docGrid w:linePitch="380" w:charSpace="-5735"/>
        </w:sectPr>
      </w:pPr>
      <w:r>
        <w:rPr>
          <w:rFonts w:ascii="宋体" w:hAnsi="宋体" w:hint="eastAsia"/>
          <w:sz w:val="24"/>
          <w:szCs w:val="24"/>
        </w:rPr>
        <w:t>①</w:t>
      </w:r>
      <w:r>
        <w:rPr>
          <w:rFonts w:ascii="宋体" w:hAnsi="宋体" w:hint="eastAsia"/>
          <w:sz w:val="24"/>
          <w:szCs w:val="24"/>
        </w:rPr>
        <w:t>投标人按</w:t>
      </w:r>
      <w:r>
        <w:rPr>
          <w:rFonts w:ascii="宋体" w:hAnsi="宋体" w:hint="eastAsia"/>
          <w:sz w:val="24"/>
          <w:szCs w:val="24"/>
        </w:rPr>
        <w:t>“</w:t>
      </w:r>
      <w:r>
        <w:rPr>
          <w:rFonts w:ascii="宋体" w:hAnsi="宋体" w:hint="eastAsia"/>
          <w:sz w:val="24"/>
          <w:szCs w:val="24"/>
        </w:rPr>
        <w:t>多证合一</w:t>
      </w:r>
      <w:r>
        <w:rPr>
          <w:rFonts w:ascii="宋体" w:hAnsi="宋体" w:hint="eastAsia"/>
          <w:sz w:val="24"/>
          <w:szCs w:val="24"/>
        </w:rPr>
        <w:t>”</w:t>
      </w:r>
    </w:p>
    <w:p>
      <w:pPr>
        <w:snapToGrid w:val="0"/>
        <w:spacing w:line="360" w:lineRule="auto"/>
        <w:ind w:firstLine="480" w:firstLineChars="200"/>
        <w:rPr>
          <w:rFonts w:ascii="宋体" w:hAnsi="宋体" w:hint="eastAsia"/>
          <w:sz w:val="24"/>
          <w:szCs w:val="24"/>
        </w:rPr>
      </w:pPr>
      <w:r>
        <w:rPr>
          <w:rFonts w:ascii="宋体" w:hAnsi="宋体" w:hint="eastAsia"/>
          <w:sz w:val="24"/>
          <w:szCs w:val="24"/>
        </w:rPr>
        <w:t>登记制度办理营业执照的，税务登记证及社会保险登记证以投标人所提供的营业执照（副本）复印件为准。</w:t>
      </w:r>
    </w:p>
    <w:p>
      <w:pPr>
        <w:snapToGrid w:val="0"/>
        <w:spacing w:line="360" w:lineRule="auto"/>
        <w:ind w:firstLine="420" w:firstLineChars="200"/>
        <w:rPr>
          <w:rFonts w:ascii="宋体" w:hAnsi="宋体" w:cs="宋体" w:hint="eastAsia"/>
          <w:kern w:val="0"/>
          <w:sz w:val="24"/>
          <w:szCs w:val="24"/>
        </w:rPr>
      </w:pPr>
      <w:r>
        <w:rPr>
          <w:rFonts w:ascii="宋体" w:hAnsi="宋体" w:hint="eastAsia"/>
          <w:sz w:val="21"/>
          <w:szCs w:val="21"/>
        </w:rPr>
        <w:t>②</w:t>
      </w:r>
      <w:r>
        <w:rPr>
          <w:rFonts w:ascii="宋体" w:hAnsi="宋体" w:cs="宋体" w:hint="eastAsia"/>
          <w:kern w:val="0"/>
          <w:sz w:val="24"/>
          <w:szCs w:val="24"/>
        </w:rPr>
        <w:t>根据《</w:t>
      </w:r>
      <w:r>
        <w:rPr>
          <w:rFonts w:ascii="宋体" w:hAnsi="宋体" w:cs="宋体"/>
          <w:kern w:val="0"/>
          <w:sz w:val="24"/>
          <w:szCs w:val="24"/>
        </w:rPr>
        <w:t>中华人民共和国政府采购法实施条例</w:t>
      </w:r>
      <w:r>
        <w:rPr>
          <w:rFonts w:ascii="宋体" w:hAnsi="宋体" w:cs="宋体" w:hint="eastAsia"/>
          <w:kern w:val="0"/>
          <w:sz w:val="24"/>
          <w:szCs w:val="24"/>
        </w:rPr>
        <w:t>》第十九条</w:t>
      </w:r>
      <w:r>
        <w:rPr>
          <w:rFonts w:ascii="宋体" w:hAnsi="宋体" w:cs="宋体" w:hint="eastAsia"/>
          <w:kern w:val="0"/>
          <w:sz w:val="24"/>
          <w:szCs w:val="24"/>
        </w:rPr>
        <w:t>“</w:t>
      </w:r>
      <w:r>
        <w:rPr>
          <w:rFonts w:ascii="宋体" w:hAnsi="宋体" w:cs="宋体" w:hint="eastAsia"/>
          <w:kern w:val="0"/>
          <w:sz w:val="24"/>
          <w:szCs w:val="24"/>
        </w:rPr>
        <w:t>参加政府采购活动前三年内，在经营活动中没有重大违法记录</w:t>
      </w:r>
      <w:r>
        <w:rPr>
          <w:rFonts w:ascii="宋体" w:hAnsi="宋体" w:cs="宋体" w:hint="eastAsia"/>
          <w:kern w:val="0"/>
          <w:sz w:val="24"/>
          <w:szCs w:val="24"/>
        </w:rPr>
        <w:t>”</w:t>
      </w:r>
      <w:r>
        <w:rPr>
          <w:rFonts w:ascii="宋体" w:hAnsi="宋体" w:cs="宋体" w:hint="eastAsia"/>
          <w:kern w:val="0"/>
          <w:sz w:val="24"/>
          <w:szCs w:val="24"/>
        </w:rPr>
        <w:t>中</w:t>
      </w:r>
      <w:r>
        <w:rPr>
          <w:rFonts w:ascii="宋体" w:hAnsi="宋体" w:cs="宋体" w:hint="eastAsia"/>
          <w:kern w:val="0"/>
          <w:sz w:val="24"/>
          <w:szCs w:val="24"/>
        </w:rPr>
        <w:t>“</w:t>
      </w:r>
      <w:r>
        <w:rPr>
          <w:rFonts w:ascii="宋体" w:hAnsi="宋体" w:cs="宋体" w:hint="eastAsia"/>
          <w:kern w:val="0"/>
          <w:sz w:val="24"/>
          <w:szCs w:val="24"/>
        </w:rPr>
        <w:t>重大违法记录</w:t>
      </w:r>
      <w:r>
        <w:rPr>
          <w:rFonts w:ascii="宋体" w:hAnsi="宋体" w:cs="宋体" w:hint="eastAsia"/>
          <w:kern w:val="0"/>
          <w:sz w:val="24"/>
          <w:szCs w:val="24"/>
        </w:rPr>
        <w:t>”</w:t>
      </w:r>
      <w:r>
        <w:rPr>
          <w:rFonts w:ascii="宋体" w:hAnsi="宋体" w:cs="宋体"/>
          <w:kern w:val="0"/>
          <w:sz w:val="24"/>
          <w:szCs w:val="24"/>
        </w:rPr>
        <w:t>，是指投标人因违法经营受到刑事处罚或者责令停产停业、吊销许可证或者执照、较大数额罚款等行政处罚。</w:t>
      </w:r>
      <w:r>
        <w:rPr>
          <w:rFonts w:ascii="宋体" w:hAnsi="宋体" w:cs="宋体" w:hint="eastAsia"/>
          <w:kern w:val="0"/>
          <w:sz w:val="24"/>
          <w:szCs w:val="24"/>
        </w:rPr>
        <w:t>行政处罚中</w:t>
      </w:r>
      <w:r>
        <w:rPr>
          <w:rFonts w:ascii="宋体" w:hAnsi="宋体" w:cs="宋体" w:hint="eastAsia"/>
          <w:kern w:val="0"/>
          <w:sz w:val="24"/>
          <w:szCs w:val="24"/>
        </w:rPr>
        <w:t>“</w:t>
      </w:r>
      <w:r>
        <w:rPr>
          <w:rFonts w:ascii="宋体" w:hAnsi="宋体" w:cs="宋体" w:hint="eastAsia"/>
          <w:kern w:val="0"/>
          <w:sz w:val="24"/>
          <w:szCs w:val="24"/>
        </w:rPr>
        <w:t>较大数额</w:t>
      </w:r>
      <w:r>
        <w:rPr>
          <w:rFonts w:ascii="宋体" w:hAnsi="宋体" w:cs="宋体" w:hint="eastAsia"/>
          <w:kern w:val="0"/>
          <w:sz w:val="24"/>
          <w:szCs w:val="24"/>
        </w:rPr>
        <w:t>”</w:t>
      </w:r>
      <w:r>
        <w:rPr>
          <w:rFonts w:ascii="宋体" w:hAnsi="宋体" w:cs="宋体" w:hint="eastAsia"/>
          <w:kern w:val="0"/>
          <w:sz w:val="24"/>
          <w:szCs w:val="24"/>
        </w:rPr>
        <w:t>的认定标准，由被执行人所在的省、自治区、直辖市人民政府制定，国务院有关部门规定了较大数额标准的，从其规定。</w:t>
      </w:r>
    </w:p>
    <w:p>
      <w:pPr>
        <w:pStyle w:val="Heading2"/>
        <w:ind w:firstLine="480" w:firstLineChars="200"/>
        <w:jc w:val="left"/>
        <w:rPr>
          <w:rFonts w:hint="eastAsia"/>
          <w:b/>
          <w:sz w:val="24"/>
        </w:rPr>
      </w:pPr>
      <w:bookmarkStart w:id="47" w:name="_Toc492721016"/>
      <w:bookmarkStart w:id="48" w:name="_Toc93908322"/>
      <w:r>
        <w:rPr>
          <w:rFonts w:hint="eastAsia"/>
          <w:b/>
          <w:sz w:val="24"/>
        </w:rPr>
        <w:t>二、评标方法</w:t>
      </w:r>
      <w:bookmarkEnd w:id="47"/>
      <w:bookmarkEnd w:id="48"/>
    </w:p>
    <w:p>
      <w:pPr>
        <w:snapToGrid w:val="0"/>
        <w:spacing w:line="360" w:lineRule="auto"/>
        <w:ind w:firstLine="480" w:firstLineChars="200"/>
        <w:rPr>
          <w:rFonts w:ascii="宋体" w:hAnsi="宋体" w:cs="仿宋" w:hint="eastAsia"/>
          <w:kern w:val="0"/>
          <w:sz w:val="24"/>
          <w:szCs w:val="24"/>
        </w:rPr>
      </w:pPr>
      <w:r>
        <w:rPr>
          <w:rFonts w:ascii="宋体" w:hAnsi="宋体" w:cs="仿宋" w:hint="eastAsia"/>
          <w:kern w:val="0"/>
          <w:sz w:val="24"/>
          <w:szCs w:val="24"/>
        </w:rPr>
        <w:t>本项目采用综合评分法进行评标。</w:t>
      </w:r>
    </w:p>
    <w:p>
      <w:pPr>
        <w:snapToGrid w:val="0"/>
        <w:spacing w:line="360" w:lineRule="auto"/>
        <w:ind w:firstLine="480" w:firstLineChars="200"/>
        <w:rPr>
          <w:rFonts w:ascii="宋体" w:hAnsi="宋体" w:cs="仿宋" w:hint="eastAsia"/>
          <w:sz w:val="24"/>
          <w:szCs w:val="24"/>
          <w:u w:val="single"/>
        </w:rPr>
      </w:pPr>
      <w:r>
        <w:rPr>
          <w:rFonts w:ascii="宋体" w:hAnsi="宋体" w:cs="仿宋" w:hint="eastAsia"/>
          <w:kern w:val="0"/>
          <w:sz w:val="24"/>
          <w:szCs w:val="24"/>
        </w:rPr>
        <w:t>综合评分法，是指投标文件满足招标文件全部实质性要求且按照评审因素的量化指标评审得分最高的投标人为中标候选人的评标方法。投标人总得分为价格、商务、技术等评定因素分别按照相应权重值计算分项得分后相加，</w:t>
      </w:r>
      <w:r>
        <w:rPr>
          <w:rFonts w:ascii="宋体" w:hAnsi="宋体" w:hint="eastAsia"/>
          <w:sz w:val="24"/>
          <w:szCs w:val="24"/>
        </w:rPr>
        <w:t>满分为10</w:t>
      </w:r>
      <w:r>
        <w:rPr>
          <w:rFonts w:ascii="宋体" w:hAnsi="宋体"/>
          <w:sz w:val="24"/>
          <w:szCs w:val="24"/>
        </w:rPr>
        <w:t>0</w:t>
      </w:r>
      <w:r>
        <w:rPr>
          <w:rFonts w:ascii="宋体" w:hAnsi="宋体" w:hint="eastAsia"/>
          <w:sz w:val="24"/>
          <w:szCs w:val="24"/>
        </w:rPr>
        <w:t>分。（详见评审标准）</w:t>
      </w:r>
    </w:p>
    <w:p>
      <w:pPr>
        <w:snapToGrid w:val="0"/>
        <w:spacing w:line="360" w:lineRule="auto"/>
        <w:ind w:firstLine="480" w:firstLineChars="200"/>
        <w:rPr>
          <w:rFonts w:ascii="宋体" w:hAnsi="宋体" w:cs="宋体" w:hint="eastAsia"/>
          <w:kern w:val="0"/>
          <w:sz w:val="24"/>
          <w:szCs w:val="24"/>
        </w:rPr>
      </w:pPr>
      <w:r>
        <w:rPr>
          <w:rFonts w:ascii="宋体" w:hAnsi="宋体" w:cs="宋体" w:hint="eastAsia"/>
          <w:kern w:val="0"/>
          <w:sz w:val="24"/>
          <w:szCs w:val="24"/>
        </w:rPr>
        <w:t>（一）符合性审查</w:t>
      </w:r>
    </w:p>
    <w:p>
      <w:pPr>
        <w:snapToGrid w:val="0"/>
        <w:spacing w:line="360" w:lineRule="auto"/>
        <w:ind w:firstLine="480" w:firstLineChars="200"/>
        <w:rPr>
          <w:rFonts w:ascii="宋体" w:hAnsi="宋体" w:hint="eastAsia"/>
          <w:kern w:val="0"/>
          <w:sz w:val="24"/>
          <w:szCs w:val="24"/>
        </w:rPr>
      </w:pPr>
      <w:r>
        <w:rPr>
          <w:rFonts w:ascii="宋体" w:hAnsi="宋体" w:cs="宋体" w:hint="eastAsia"/>
          <w:kern w:val="0"/>
          <w:sz w:val="24"/>
          <w:szCs w:val="24"/>
        </w:rPr>
        <w:t>评标委员会应当对符合资格的投标人的投标文件进行符合性审查，以确定其是否满足招标文件的实质性要求。</w:t>
      </w:r>
      <w:r>
        <w:rPr>
          <w:rFonts w:ascii="宋体" w:hAnsi="宋体" w:hint="eastAsia"/>
          <w:kern w:val="0"/>
          <w:sz w:val="24"/>
          <w:szCs w:val="24"/>
        </w:rPr>
        <w:t>符合性审查资料表如下：</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75"/>
        <w:gridCol w:w="1562"/>
        <w:gridCol w:w="1984"/>
        <w:gridCol w:w="5409"/>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21"/>
        </w:trPr>
        <w:tc>
          <w:tcPr>
            <w:tcW w:w="675" w:type="dxa"/>
            <w:vAlign w:val="center"/>
          </w:tcPr>
          <w:p>
            <w:pPr>
              <w:spacing w:line="240" w:lineRule="exact"/>
              <w:jc w:val="center"/>
              <w:rPr>
                <w:rFonts w:ascii="宋体" w:hAnsi="宋体" w:cs="宋体" w:hint="eastAsia"/>
                <w:b/>
                <w:kern w:val="0"/>
                <w:sz w:val="21"/>
                <w:szCs w:val="21"/>
              </w:rPr>
            </w:pPr>
            <w:r>
              <w:rPr>
                <w:rFonts w:ascii="宋体" w:hAnsi="宋体" w:cs="宋体" w:hint="eastAsia"/>
                <w:b/>
                <w:kern w:val="0"/>
                <w:sz w:val="21"/>
                <w:szCs w:val="21"/>
              </w:rPr>
              <w:t>序号</w:t>
            </w:r>
          </w:p>
        </w:tc>
        <w:tc>
          <w:tcPr>
            <w:tcW w:w="3546" w:type="dxa"/>
            <w:gridSpan w:val="2"/>
            <w:vAlign w:val="center"/>
          </w:tcPr>
          <w:p>
            <w:pPr>
              <w:spacing w:line="240" w:lineRule="exact"/>
              <w:jc w:val="center"/>
              <w:rPr>
                <w:rFonts w:ascii="宋体" w:hAnsi="宋体" w:cs="宋体" w:hint="eastAsia"/>
                <w:b/>
                <w:kern w:val="0"/>
                <w:sz w:val="21"/>
                <w:szCs w:val="21"/>
              </w:rPr>
            </w:pPr>
            <w:r>
              <w:rPr>
                <w:rFonts w:ascii="宋体" w:hAnsi="宋体" w:cs="宋体" w:hint="eastAsia"/>
                <w:b/>
                <w:kern w:val="0"/>
                <w:sz w:val="21"/>
                <w:szCs w:val="21"/>
              </w:rPr>
              <w:t>评审因素</w:t>
            </w:r>
          </w:p>
        </w:tc>
        <w:tc>
          <w:tcPr>
            <w:tcW w:w="5409" w:type="dxa"/>
            <w:vAlign w:val="center"/>
          </w:tcPr>
          <w:p>
            <w:pPr>
              <w:spacing w:line="240" w:lineRule="exact"/>
              <w:jc w:val="center"/>
              <w:rPr>
                <w:rFonts w:ascii="宋体" w:hAnsi="宋体" w:cs="宋体" w:hint="eastAsia"/>
                <w:b/>
                <w:kern w:val="0"/>
                <w:sz w:val="21"/>
                <w:szCs w:val="21"/>
              </w:rPr>
            </w:pPr>
            <w:r>
              <w:rPr>
                <w:rFonts w:ascii="宋体" w:hAnsi="宋体" w:cs="宋体" w:hint="eastAsia"/>
                <w:b/>
                <w:kern w:val="0"/>
                <w:sz w:val="21"/>
                <w:szCs w:val="21"/>
              </w:rPr>
              <w:t>评审标准</w:t>
            </w:r>
          </w:p>
        </w:tc>
      </w:tr>
      <w:tr>
        <w:tblPrEx>
          <w:tblW w:w="0" w:type="auto"/>
          <w:tblLayout w:type="fixed"/>
          <w:tblCellMar>
            <w:top w:w="0" w:type="dxa"/>
            <w:left w:w="108" w:type="dxa"/>
            <w:bottom w:w="0" w:type="dxa"/>
            <w:right w:w="108" w:type="dxa"/>
          </w:tblCellMar>
          <w:tblLook w:val="0000"/>
        </w:tblPrEx>
        <w:trPr>
          <w:trHeight w:val="435"/>
        </w:trPr>
        <w:tc>
          <w:tcPr>
            <w:tcW w:w="675" w:type="dxa"/>
            <w:vMerge w:val="restart"/>
            <w:vAlign w:val="center"/>
          </w:tcPr>
          <w:p>
            <w:pPr>
              <w:spacing w:line="240" w:lineRule="exact"/>
              <w:jc w:val="center"/>
              <w:rPr>
                <w:rFonts w:ascii="宋体" w:hAnsi="宋体" w:cs="宋体" w:hint="eastAsia"/>
                <w:kern w:val="0"/>
                <w:sz w:val="21"/>
                <w:szCs w:val="21"/>
              </w:rPr>
            </w:pPr>
            <w:r>
              <w:rPr>
                <w:rFonts w:ascii="宋体" w:hAnsi="宋体" w:cs="宋体" w:hint="eastAsia"/>
                <w:kern w:val="0"/>
                <w:sz w:val="21"/>
                <w:szCs w:val="21"/>
              </w:rPr>
              <w:t>1</w:t>
            </w:r>
          </w:p>
        </w:tc>
        <w:tc>
          <w:tcPr>
            <w:tcW w:w="1562" w:type="dxa"/>
            <w:vMerge w:val="restart"/>
            <w:vAlign w:val="center"/>
          </w:tcPr>
          <w:p>
            <w:pPr>
              <w:spacing w:line="240" w:lineRule="exact"/>
              <w:rPr>
                <w:rFonts w:ascii="宋体" w:hAnsi="宋体" w:cs="宋体" w:hint="eastAsia"/>
                <w:kern w:val="0"/>
                <w:sz w:val="21"/>
                <w:szCs w:val="21"/>
              </w:rPr>
            </w:pPr>
            <w:r>
              <w:rPr>
                <w:rFonts w:ascii="宋体" w:hAnsi="宋体" w:cs="宋体" w:hint="eastAsia"/>
                <w:kern w:val="0"/>
                <w:sz w:val="21"/>
                <w:szCs w:val="21"/>
              </w:rPr>
              <w:t>有效性审查</w:t>
            </w:r>
          </w:p>
        </w:tc>
        <w:tc>
          <w:tcPr>
            <w:tcW w:w="1984" w:type="dxa"/>
            <w:vAlign w:val="center"/>
          </w:tcPr>
          <w:p>
            <w:pPr>
              <w:spacing w:line="240" w:lineRule="exact"/>
              <w:rPr>
                <w:rFonts w:ascii="宋体" w:hAnsi="宋体" w:cs="宋体" w:hint="eastAsia"/>
                <w:kern w:val="0"/>
                <w:sz w:val="21"/>
                <w:szCs w:val="21"/>
              </w:rPr>
            </w:pPr>
            <w:r>
              <w:rPr>
                <w:rFonts w:ascii="宋体" w:hAnsi="宋体" w:hint="eastAsia"/>
                <w:sz w:val="21"/>
                <w:szCs w:val="21"/>
              </w:rPr>
              <w:t>投标文件签署</w:t>
            </w:r>
          </w:p>
        </w:tc>
        <w:tc>
          <w:tcPr>
            <w:tcW w:w="5409" w:type="dxa"/>
            <w:vAlign w:val="center"/>
          </w:tcPr>
          <w:p>
            <w:pPr>
              <w:spacing w:line="240" w:lineRule="exact"/>
              <w:rPr>
                <w:rFonts w:ascii="宋体" w:hAnsi="宋体" w:cs="宋体" w:hint="eastAsia"/>
                <w:kern w:val="0"/>
                <w:sz w:val="21"/>
                <w:szCs w:val="21"/>
              </w:rPr>
            </w:pPr>
            <w:r>
              <w:rPr>
                <w:rFonts w:ascii="宋体" w:hAnsi="宋体" w:hint="eastAsia"/>
                <w:sz w:val="21"/>
                <w:szCs w:val="21"/>
              </w:rPr>
              <w:t>投标文件上法定代表人或其授权代表人的签字或盖章齐全</w:t>
            </w:r>
          </w:p>
        </w:tc>
      </w:tr>
      <w:tr>
        <w:tblPrEx>
          <w:tblW w:w="0" w:type="auto"/>
          <w:tblLayout w:type="fixed"/>
          <w:tblCellMar>
            <w:top w:w="0" w:type="dxa"/>
            <w:left w:w="108" w:type="dxa"/>
            <w:bottom w:w="0" w:type="dxa"/>
            <w:right w:w="108" w:type="dxa"/>
          </w:tblCellMar>
          <w:tblLook w:val="0000"/>
        </w:tblPrEx>
        <w:trPr>
          <w:trHeight w:val="386"/>
        </w:trPr>
        <w:tc>
          <w:tcPr>
            <w:tcW w:w="675" w:type="dxa"/>
            <w:vMerge/>
            <w:vAlign w:val="center"/>
          </w:tcPr>
          <w:p>
            <w:pPr>
              <w:spacing w:line="240" w:lineRule="exact"/>
              <w:jc w:val="center"/>
              <w:rPr>
                <w:rFonts w:ascii="宋体" w:hAnsi="宋体" w:cs="宋体" w:hint="eastAsia"/>
                <w:kern w:val="0"/>
                <w:sz w:val="21"/>
                <w:szCs w:val="21"/>
              </w:rPr>
            </w:pPr>
          </w:p>
        </w:tc>
        <w:tc>
          <w:tcPr>
            <w:tcW w:w="1562" w:type="dxa"/>
            <w:vMerge/>
            <w:vAlign w:val="center"/>
          </w:tcPr>
          <w:p>
            <w:pPr>
              <w:spacing w:line="240" w:lineRule="exact"/>
              <w:rPr>
                <w:rFonts w:ascii="宋体" w:hAnsi="宋体" w:cs="宋体" w:hint="eastAsia"/>
                <w:kern w:val="0"/>
                <w:sz w:val="21"/>
                <w:szCs w:val="21"/>
              </w:rPr>
            </w:pPr>
          </w:p>
        </w:tc>
        <w:tc>
          <w:tcPr>
            <w:tcW w:w="1984" w:type="dxa"/>
            <w:vAlign w:val="center"/>
          </w:tcPr>
          <w:p>
            <w:pPr>
              <w:spacing w:line="240" w:lineRule="exact"/>
              <w:rPr>
                <w:rFonts w:ascii="宋体" w:hAnsi="宋体" w:cs="仿宋_GB2312" w:hint="eastAsia"/>
                <w:sz w:val="21"/>
                <w:szCs w:val="21"/>
                <w:lang w:val="zh-CN"/>
              </w:rPr>
            </w:pPr>
            <w:r>
              <w:rPr>
                <w:rFonts w:ascii="宋体" w:hAnsi="宋体" w:cs="仿宋_GB2312" w:hint="eastAsia"/>
                <w:sz w:val="21"/>
                <w:szCs w:val="21"/>
                <w:lang w:val="zh-CN"/>
              </w:rPr>
              <w:t>投标方案</w:t>
            </w:r>
          </w:p>
        </w:tc>
        <w:tc>
          <w:tcPr>
            <w:tcW w:w="5409" w:type="dxa"/>
            <w:vAlign w:val="center"/>
          </w:tcPr>
          <w:p>
            <w:pPr>
              <w:spacing w:line="240" w:lineRule="exact"/>
              <w:rPr>
                <w:rFonts w:ascii="宋体" w:hAnsi="宋体" w:cs="宋体" w:hint="eastAsia"/>
                <w:kern w:val="0"/>
                <w:sz w:val="21"/>
                <w:szCs w:val="21"/>
              </w:rPr>
            </w:pPr>
            <w:r>
              <w:rPr>
                <w:rFonts w:ascii="宋体" w:hAnsi="宋体" w:cs="仿宋_GB2312" w:hint="eastAsia"/>
                <w:sz w:val="21"/>
                <w:szCs w:val="21"/>
                <w:lang w:val="zh-CN"/>
              </w:rPr>
              <w:t>每个分包只能有一个方案投标</w:t>
            </w:r>
          </w:p>
        </w:tc>
      </w:tr>
      <w:tr>
        <w:tblPrEx>
          <w:tblW w:w="0" w:type="auto"/>
          <w:tblLayout w:type="fixed"/>
          <w:tblCellMar>
            <w:top w:w="0" w:type="dxa"/>
            <w:left w:w="108" w:type="dxa"/>
            <w:bottom w:w="0" w:type="dxa"/>
            <w:right w:w="108" w:type="dxa"/>
          </w:tblCellMar>
          <w:tblLook w:val="0000"/>
        </w:tblPrEx>
        <w:trPr>
          <w:trHeight w:val="560"/>
        </w:trPr>
        <w:tc>
          <w:tcPr>
            <w:tcW w:w="675" w:type="dxa"/>
            <w:vMerge/>
            <w:vAlign w:val="center"/>
          </w:tcPr>
          <w:p>
            <w:pPr>
              <w:spacing w:line="240" w:lineRule="exact"/>
              <w:jc w:val="center"/>
              <w:rPr>
                <w:rFonts w:ascii="宋体" w:hAnsi="宋体" w:cs="宋体" w:hint="eastAsia"/>
                <w:kern w:val="0"/>
                <w:sz w:val="21"/>
                <w:szCs w:val="21"/>
              </w:rPr>
            </w:pPr>
          </w:p>
        </w:tc>
        <w:tc>
          <w:tcPr>
            <w:tcW w:w="1562" w:type="dxa"/>
            <w:vMerge/>
            <w:vAlign w:val="center"/>
          </w:tcPr>
          <w:p>
            <w:pPr>
              <w:spacing w:line="240" w:lineRule="exact"/>
              <w:rPr>
                <w:rFonts w:ascii="宋体" w:hAnsi="宋体" w:cs="宋体" w:hint="eastAsia"/>
                <w:kern w:val="0"/>
                <w:sz w:val="21"/>
                <w:szCs w:val="21"/>
              </w:rPr>
            </w:pPr>
          </w:p>
        </w:tc>
        <w:tc>
          <w:tcPr>
            <w:tcW w:w="1984" w:type="dxa"/>
            <w:vAlign w:val="center"/>
          </w:tcPr>
          <w:p>
            <w:pPr>
              <w:spacing w:line="240" w:lineRule="exact"/>
              <w:rPr>
                <w:rFonts w:ascii="宋体" w:hAnsi="宋体" w:cs="仿宋_GB2312" w:hint="eastAsia"/>
                <w:sz w:val="21"/>
                <w:szCs w:val="21"/>
                <w:lang w:val="zh-CN"/>
              </w:rPr>
            </w:pPr>
            <w:r>
              <w:rPr>
                <w:rFonts w:ascii="宋体" w:hAnsi="宋体" w:hint="eastAsia"/>
                <w:sz w:val="21"/>
                <w:szCs w:val="21"/>
              </w:rPr>
              <w:t>报价唯一</w:t>
            </w:r>
          </w:p>
        </w:tc>
        <w:tc>
          <w:tcPr>
            <w:tcW w:w="5409" w:type="dxa"/>
            <w:vAlign w:val="center"/>
          </w:tcPr>
          <w:p>
            <w:pPr>
              <w:spacing w:line="240" w:lineRule="exact"/>
              <w:rPr>
                <w:rFonts w:ascii="宋体" w:hAnsi="宋体" w:cs="宋体" w:hint="eastAsia"/>
                <w:kern w:val="0"/>
                <w:sz w:val="21"/>
                <w:szCs w:val="21"/>
              </w:rPr>
            </w:pPr>
            <w:r>
              <w:rPr>
                <w:rFonts w:ascii="宋体" w:hAnsi="宋体" w:cs="仿宋_GB2312" w:hint="eastAsia"/>
                <w:sz w:val="21"/>
                <w:szCs w:val="21"/>
                <w:lang w:val="zh-CN"/>
              </w:rPr>
              <w:t>只能在预算金额和最高限价内报价，</w:t>
            </w:r>
            <w:r>
              <w:rPr>
                <w:rFonts w:ascii="宋体" w:hAnsi="宋体" w:hint="eastAsia"/>
                <w:sz w:val="21"/>
                <w:szCs w:val="21"/>
              </w:rPr>
              <w:t>只能有一个有效报价，不得提交选择性报价</w:t>
            </w:r>
          </w:p>
        </w:tc>
      </w:tr>
      <w:tr>
        <w:tblPrEx>
          <w:tblW w:w="0" w:type="auto"/>
          <w:tblLayout w:type="fixed"/>
          <w:tblCellMar>
            <w:top w:w="0" w:type="dxa"/>
            <w:left w:w="108" w:type="dxa"/>
            <w:bottom w:w="0" w:type="dxa"/>
            <w:right w:w="108" w:type="dxa"/>
          </w:tblCellMar>
          <w:tblLook w:val="0000"/>
        </w:tblPrEx>
        <w:trPr>
          <w:trHeight w:val="351"/>
        </w:trPr>
        <w:tc>
          <w:tcPr>
            <w:tcW w:w="675" w:type="dxa"/>
            <w:vAlign w:val="center"/>
          </w:tcPr>
          <w:p>
            <w:pPr>
              <w:spacing w:line="240" w:lineRule="exact"/>
              <w:jc w:val="center"/>
              <w:rPr>
                <w:rFonts w:ascii="宋体" w:hAnsi="宋体" w:cs="宋体" w:hint="eastAsia"/>
                <w:kern w:val="0"/>
                <w:sz w:val="21"/>
                <w:szCs w:val="21"/>
              </w:rPr>
            </w:pPr>
            <w:r>
              <w:rPr>
                <w:rFonts w:ascii="宋体" w:hAnsi="宋体" w:cs="宋体" w:hint="eastAsia"/>
                <w:kern w:val="0"/>
                <w:sz w:val="21"/>
                <w:szCs w:val="21"/>
              </w:rPr>
              <w:t>2</w:t>
            </w:r>
          </w:p>
        </w:tc>
        <w:tc>
          <w:tcPr>
            <w:tcW w:w="1562" w:type="dxa"/>
            <w:vAlign w:val="center"/>
          </w:tcPr>
          <w:p>
            <w:pPr>
              <w:spacing w:line="240" w:lineRule="exact"/>
              <w:rPr>
                <w:rFonts w:ascii="宋体" w:hAnsi="宋体" w:cs="宋体" w:hint="eastAsia"/>
                <w:kern w:val="0"/>
                <w:sz w:val="21"/>
                <w:szCs w:val="21"/>
              </w:rPr>
            </w:pPr>
            <w:r>
              <w:rPr>
                <w:rFonts w:ascii="宋体" w:hAnsi="宋体" w:cs="宋体" w:hint="eastAsia"/>
                <w:kern w:val="0"/>
                <w:sz w:val="21"/>
                <w:szCs w:val="21"/>
              </w:rPr>
              <w:t>完整性审查</w:t>
            </w:r>
          </w:p>
        </w:tc>
        <w:tc>
          <w:tcPr>
            <w:tcW w:w="1984" w:type="dxa"/>
            <w:vAlign w:val="center"/>
          </w:tcPr>
          <w:p>
            <w:pPr>
              <w:spacing w:line="240" w:lineRule="exact"/>
              <w:rPr>
                <w:rFonts w:ascii="宋体" w:hAnsi="宋体" w:cs="宋体" w:hint="eastAsia"/>
                <w:kern w:val="0"/>
                <w:sz w:val="21"/>
                <w:szCs w:val="21"/>
              </w:rPr>
            </w:pPr>
            <w:r>
              <w:rPr>
                <w:rFonts w:ascii="宋体" w:hAnsi="宋体" w:cs="仿宋_GB2312" w:hint="eastAsia"/>
                <w:sz w:val="21"/>
                <w:szCs w:val="21"/>
                <w:lang w:val="zh-CN"/>
              </w:rPr>
              <w:t>投标文件份数</w:t>
            </w:r>
          </w:p>
        </w:tc>
        <w:tc>
          <w:tcPr>
            <w:tcW w:w="5409" w:type="dxa"/>
            <w:vAlign w:val="center"/>
          </w:tcPr>
          <w:p>
            <w:pPr>
              <w:spacing w:line="240" w:lineRule="exact"/>
              <w:rPr>
                <w:rFonts w:ascii="宋体" w:hAnsi="宋体" w:cs="宋体" w:hint="eastAsia"/>
                <w:kern w:val="0"/>
                <w:sz w:val="21"/>
                <w:szCs w:val="21"/>
              </w:rPr>
            </w:pPr>
            <w:r>
              <w:rPr>
                <w:rFonts w:ascii="宋体" w:hAnsi="宋体" w:cs="仿宋_GB2312" w:hint="eastAsia"/>
                <w:sz w:val="21"/>
                <w:szCs w:val="21"/>
                <w:lang w:val="zh-CN"/>
              </w:rPr>
              <w:t>投标文件正、副本数量（含电子文档）符合招标文件要求</w:t>
            </w:r>
          </w:p>
        </w:tc>
      </w:tr>
      <w:tr>
        <w:tblPrEx>
          <w:tblW w:w="0" w:type="auto"/>
          <w:tblLayout w:type="fixed"/>
          <w:tblCellMar>
            <w:top w:w="0" w:type="dxa"/>
            <w:left w:w="108" w:type="dxa"/>
            <w:bottom w:w="0" w:type="dxa"/>
            <w:right w:w="108" w:type="dxa"/>
          </w:tblCellMar>
          <w:tblLook w:val="0000"/>
        </w:tblPrEx>
        <w:trPr>
          <w:trHeight w:val="418"/>
        </w:trPr>
        <w:tc>
          <w:tcPr>
            <w:tcW w:w="675" w:type="dxa"/>
            <w:vAlign w:val="center"/>
          </w:tcPr>
          <w:p>
            <w:pPr>
              <w:spacing w:line="240" w:lineRule="exact"/>
              <w:jc w:val="center"/>
              <w:rPr>
                <w:rFonts w:ascii="宋体" w:hAnsi="宋体" w:cs="宋体" w:hint="eastAsia"/>
                <w:kern w:val="0"/>
                <w:sz w:val="21"/>
                <w:szCs w:val="21"/>
              </w:rPr>
            </w:pPr>
            <w:r>
              <w:rPr>
                <w:rFonts w:ascii="宋体" w:hAnsi="宋体" w:cs="宋体" w:hint="eastAsia"/>
                <w:kern w:val="0"/>
                <w:sz w:val="21"/>
                <w:szCs w:val="21"/>
              </w:rPr>
              <w:t>3</w:t>
            </w:r>
          </w:p>
        </w:tc>
        <w:tc>
          <w:tcPr>
            <w:tcW w:w="1562" w:type="dxa"/>
            <w:vAlign w:val="center"/>
          </w:tcPr>
          <w:p>
            <w:pPr>
              <w:spacing w:line="240" w:lineRule="exact"/>
              <w:jc w:val="left"/>
              <w:rPr>
                <w:rFonts w:ascii="宋体" w:hAnsi="宋体" w:cs="宋体" w:hint="eastAsia"/>
                <w:kern w:val="0"/>
                <w:sz w:val="21"/>
                <w:szCs w:val="21"/>
              </w:rPr>
            </w:pPr>
            <w:r>
              <w:rPr>
                <w:rFonts w:ascii="宋体" w:hAnsi="宋体" w:cs="宋体" w:hint="eastAsia"/>
                <w:kern w:val="0"/>
                <w:sz w:val="21"/>
                <w:szCs w:val="21"/>
              </w:rPr>
              <w:t>技术部分</w:t>
            </w:r>
          </w:p>
        </w:tc>
        <w:tc>
          <w:tcPr>
            <w:tcW w:w="1984" w:type="dxa"/>
            <w:vAlign w:val="center"/>
          </w:tcPr>
          <w:p>
            <w:pPr>
              <w:spacing w:line="240" w:lineRule="exact"/>
              <w:jc w:val="left"/>
              <w:rPr>
                <w:rFonts w:ascii="宋体" w:hAnsi="宋体" w:cs="宋体" w:hint="eastAsia"/>
                <w:kern w:val="0"/>
                <w:sz w:val="21"/>
                <w:szCs w:val="21"/>
              </w:rPr>
            </w:pPr>
            <w:r>
              <w:rPr>
                <w:rFonts w:ascii="宋体" w:hAnsi="宋体" w:cs="宋体" w:hint="eastAsia"/>
                <w:kern w:val="0"/>
                <w:sz w:val="21"/>
                <w:szCs w:val="21"/>
              </w:rPr>
              <w:t>投标文件内容</w:t>
            </w:r>
          </w:p>
        </w:tc>
        <w:tc>
          <w:tcPr>
            <w:tcW w:w="5409" w:type="dxa"/>
            <w:vAlign w:val="center"/>
          </w:tcPr>
          <w:p>
            <w:pPr>
              <w:spacing w:line="240" w:lineRule="exact"/>
              <w:jc w:val="left"/>
              <w:rPr>
                <w:rFonts w:ascii="宋体" w:hAnsi="宋体" w:cs="宋体" w:hint="eastAsia"/>
                <w:kern w:val="0"/>
                <w:sz w:val="21"/>
                <w:szCs w:val="21"/>
              </w:rPr>
            </w:pPr>
            <w:r>
              <w:rPr>
                <w:rFonts w:ascii="宋体" w:hAnsi="宋体" w:cs="宋体" w:hint="eastAsia"/>
                <w:kern w:val="0"/>
                <w:sz w:val="21"/>
                <w:szCs w:val="21"/>
              </w:rPr>
              <w:t>本招标文件第二篇中（</w:t>
            </w:r>
            <w:r>
              <w:rPr>
                <w:rFonts w:ascii="宋体" w:hAnsi="宋体" w:cs="宋体" w:hint="eastAsia"/>
                <w:kern w:val="0"/>
                <w:sz w:val="21"/>
                <w:szCs w:val="21"/>
              </w:rPr>
              <w:t>※</w:t>
            </w:r>
            <w:r>
              <w:rPr>
                <w:rFonts w:ascii="宋体" w:hAnsi="宋体" w:cs="宋体" w:hint="eastAsia"/>
                <w:kern w:val="0"/>
                <w:sz w:val="21"/>
                <w:szCs w:val="21"/>
              </w:rPr>
              <w:t>）号标注部分的要求</w:t>
            </w:r>
          </w:p>
        </w:tc>
      </w:tr>
      <w:tr>
        <w:tblPrEx>
          <w:tblW w:w="0" w:type="auto"/>
          <w:tblLayout w:type="fixed"/>
          <w:tblCellMar>
            <w:top w:w="0" w:type="dxa"/>
            <w:left w:w="108" w:type="dxa"/>
            <w:bottom w:w="0" w:type="dxa"/>
            <w:right w:w="108" w:type="dxa"/>
          </w:tblCellMar>
          <w:tblLook w:val="0000"/>
        </w:tblPrEx>
        <w:trPr>
          <w:trHeight w:val="379"/>
        </w:trPr>
        <w:tc>
          <w:tcPr>
            <w:tcW w:w="675" w:type="dxa"/>
            <w:vAlign w:val="center"/>
          </w:tcPr>
          <w:p>
            <w:pPr>
              <w:spacing w:line="240" w:lineRule="exact"/>
              <w:jc w:val="center"/>
              <w:rPr>
                <w:rFonts w:ascii="宋体" w:hAnsi="宋体" w:cs="宋体" w:hint="eastAsia"/>
                <w:kern w:val="0"/>
                <w:sz w:val="21"/>
                <w:szCs w:val="21"/>
              </w:rPr>
            </w:pPr>
            <w:r>
              <w:rPr>
                <w:rFonts w:ascii="宋体" w:hAnsi="宋体" w:cs="宋体" w:hint="eastAsia"/>
                <w:kern w:val="0"/>
                <w:sz w:val="21"/>
                <w:szCs w:val="21"/>
              </w:rPr>
              <w:t>4</w:t>
            </w:r>
          </w:p>
        </w:tc>
        <w:tc>
          <w:tcPr>
            <w:tcW w:w="1562" w:type="dxa"/>
            <w:vAlign w:val="center"/>
          </w:tcPr>
          <w:p>
            <w:pPr>
              <w:spacing w:line="240" w:lineRule="exact"/>
              <w:jc w:val="left"/>
              <w:rPr>
                <w:rFonts w:ascii="宋体" w:hAnsi="宋体" w:cs="宋体" w:hint="eastAsia"/>
                <w:kern w:val="0"/>
                <w:sz w:val="21"/>
                <w:szCs w:val="21"/>
              </w:rPr>
            </w:pPr>
            <w:r>
              <w:rPr>
                <w:rFonts w:ascii="宋体" w:hAnsi="宋体" w:cs="宋体" w:hint="eastAsia"/>
                <w:kern w:val="0"/>
                <w:sz w:val="21"/>
                <w:szCs w:val="21"/>
              </w:rPr>
              <w:t>商务部分</w:t>
            </w:r>
          </w:p>
        </w:tc>
        <w:tc>
          <w:tcPr>
            <w:tcW w:w="1984" w:type="dxa"/>
            <w:vAlign w:val="center"/>
          </w:tcPr>
          <w:p>
            <w:pPr>
              <w:spacing w:line="240" w:lineRule="exact"/>
              <w:jc w:val="left"/>
              <w:rPr>
                <w:rFonts w:ascii="宋体" w:hAnsi="宋体" w:cs="宋体" w:hint="eastAsia"/>
                <w:kern w:val="0"/>
                <w:sz w:val="21"/>
                <w:szCs w:val="21"/>
              </w:rPr>
            </w:pPr>
            <w:r>
              <w:rPr>
                <w:rFonts w:ascii="宋体" w:hAnsi="宋体" w:cs="宋体" w:hint="eastAsia"/>
                <w:kern w:val="0"/>
                <w:sz w:val="21"/>
                <w:szCs w:val="21"/>
              </w:rPr>
              <w:t>投标文件内容</w:t>
            </w:r>
          </w:p>
        </w:tc>
        <w:tc>
          <w:tcPr>
            <w:tcW w:w="5409" w:type="dxa"/>
            <w:vAlign w:val="center"/>
          </w:tcPr>
          <w:p>
            <w:pPr>
              <w:spacing w:line="240" w:lineRule="exact"/>
              <w:jc w:val="left"/>
              <w:rPr>
                <w:rFonts w:ascii="宋体" w:hAnsi="宋体" w:cs="宋体" w:hint="eastAsia"/>
                <w:kern w:val="0"/>
                <w:sz w:val="21"/>
                <w:szCs w:val="21"/>
              </w:rPr>
            </w:pPr>
            <w:r>
              <w:rPr>
                <w:rFonts w:ascii="宋体" w:hAnsi="宋体" w:cs="宋体" w:hint="eastAsia"/>
                <w:kern w:val="0"/>
                <w:sz w:val="21"/>
                <w:szCs w:val="21"/>
              </w:rPr>
              <w:t>本招标文件第三篇中（</w:t>
            </w:r>
            <w:r>
              <w:rPr>
                <w:rFonts w:ascii="宋体" w:hAnsi="宋体" w:cs="宋体" w:hint="eastAsia"/>
                <w:kern w:val="0"/>
                <w:sz w:val="21"/>
                <w:szCs w:val="21"/>
              </w:rPr>
              <w:t>※</w:t>
            </w:r>
            <w:r>
              <w:rPr>
                <w:rFonts w:ascii="宋体" w:hAnsi="宋体" w:cs="宋体" w:hint="eastAsia"/>
                <w:kern w:val="0"/>
                <w:sz w:val="21"/>
                <w:szCs w:val="21"/>
              </w:rPr>
              <w:t>）号标注部分的要求</w:t>
            </w:r>
          </w:p>
        </w:tc>
      </w:tr>
      <w:tr>
        <w:tblPrEx>
          <w:tblW w:w="0" w:type="auto"/>
          <w:tblLayout w:type="fixed"/>
          <w:tblCellMar>
            <w:top w:w="0" w:type="dxa"/>
            <w:left w:w="108" w:type="dxa"/>
            <w:bottom w:w="0" w:type="dxa"/>
            <w:right w:w="108" w:type="dxa"/>
          </w:tblCellMar>
          <w:tblLook w:val="0000"/>
        </w:tblPrEx>
        <w:trPr>
          <w:trHeight w:val="384"/>
        </w:trPr>
        <w:tc>
          <w:tcPr>
            <w:tcW w:w="675" w:type="dxa"/>
            <w:vAlign w:val="center"/>
          </w:tcPr>
          <w:p>
            <w:pPr>
              <w:spacing w:line="240" w:lineRule="exact"/>
              <w:jc w:val="center"/>
              <w:rPr>
                <w:rFonts w:ascii="宋体" w:hAnsi="宋体" w:cs="宋体" w:hint="eastAsia"/>
                <w:kern w:val="0"/>
                <w:sz w:val="21"/>
                <w:szCs w:val="21"/>
              </w:rPr>
            </w:pPr>
            <w:r>
              <w:rPr>
                <w:rFonts w:ascii="宋体" w:hAnsi="宋体" w:cs="宋体" w:hint="eastAsia"/>
                <w:kern w:val="0"/>
                <w:sz w:val="21"/>
                <w:szCs w:val="21"/>
              </w:rPr>
              <w:t>5</w:t>
            </w:r>
          </w:p>
        </w:tc>
        <w:tc>
          <w:tcPr>
            <w:tcW w:w="1562" w:type="dxa"/>
            <w:vAlign w:val="center"/>
          </w:tcPr>
          <w:p>
            <w:pPr>
              <w:spacing w:line="240" w:lineRule="exact"/>
              <w:jc w:val="left"/>
              <w:rPr>
                <w:rFonts w:ascii="宋体" w:hAnsi="宋体" w:cs="宋体" w:hint="eastAsia"/>
                <w:kern w:val="0"/>
                <w:sz w:val="21"/>
                <w:szCs w:val="21"/>
              </w:rPr>
            </w:pPr>
            <w:r>
              <w:rPr>
                <w:rFonts w:ascii="宋体" w:hAnsi="宋体" w:cs="宋体" w:hint="eastAsia"/>
                <w:kern w:val="0"/>
                <w:sz w:val="21"/>
                <w:szCs w:val="21"/>
              </w:rPr>
              <w:t>投标有效期</w:t>
            </w:r>
          </w:p>
        </w:tc>
        <w:tc>
          <w:tcPr>
            <w:tcW w:w="1984" w:type="dxa"/>
            <w:vAlign w:val="center"/>
          </w:tcPr>
          <w:p>
            <w:pPr>
              <w:spacing w:line="240" w:lineRule="exact"/>
              <w:jc w:val="left"/>
              <w:rPr>
                <w:rFonts w:ascii="宋体" w:hAnsi="宋体" w:cs="宋体" w:hint="eastAsia"/>
                <w:kern w:val="0"/>
                <w:sz w:val="21"/>
                <w:szCs w:val="21"/>
              </w:rPr>
            </w:pPr>
            <w:r>
              <w:rPr>
                <w:rFonts w:ascii="宋体" w:hAnsi="宋体" w:cs="宋体" w:hint="eastAsia"/>
                <w:kern w:val="0"/>
                <w:sz w:val="21"/>
                <w:szCs w:val="21"/>
              </w:rPr>
              <w:t>投标文件内容</w:t>
            </w:r>
          </w:p>
        </w:tc>
        <w:tc>
          <w:tcPr>
            <w:tcW w:w="5409" w:type="dxa"/>
            <w:vAlign w:val="center"/>
          </w:tcPr>
          <w:p>
            <w:pPr>
              <w:spacing w:line="240" w:lineRule="exact"/>
              <w:jc w:val="left"/>
              <w:rPr>
                <w:rFonts w:ascii="宋体" w:hAnsi="宋体" w:cs="宋体" w:hint="eastAsia"/>
                <w:kern w:val="0"/>
                <w:sz w:val="21"/>
                <w:szCs w:val="21"/>
              </w:rPr>
            </w:pPr>
            <w:r>
              <w:rPr>
                <w:rFonts w:ascii="宋体" w:hAnsi="宋体" w:cs="宋体" w:hint="eastAsia"/>
                <w:kern w:val="0"/>
                <w:sz w:val="21"/>
                <w:szCs w:val="21"/>
              </w:rPr>
              <w:t>投标有效期为投标截止日期后九十天内</w:t>
            </w:r>
          </w:p>
        </w:tc>
      </w:tr>
    </w:tbl>
    <w:p>
      <w:pPr>
        <w:snapToGrid w:val="0"/>
        <w:spacing w:line="360" w:lineRule="auto"/>
        <w:ind w:firstLine="480" w:firstLineChars="200"/>
        <w:rPr>
          <w:rFonts w:ascii="宋体" w:hAnsi="宋体" w:hint="eastAsia"/>
          <w:sz w:val="24"/>
          <w:szCs w:val="24"/>
        </w:rPr>
      </w:pPr>
      <w:r>
        <w:rPr>
          <w:rFonts w:ascii="宋体" w:hAnsi="宋体" w:hint="eastAsia"/>
          <w:sz w:val="24"/>
          <w:szCs w:val="24"/>
        </w:rPr>
        <w:t>（二）澄清有关问题</w:t>
      </w:r>
    </w:p>
    <w:p>
      <w:pPr>
        <w:snapToGrid w:val="0"/>
        <w:spacing w:line="360" w:lineRule="auto"/>
        <w:ind w:firstLine="480" w:firstLineChars="200"/>
        <w:rPr>
          <w:rFonts w:ascii="宋体" w:hAnsi="宋体" w:hint="eastAsia"/>
          <w:sz w:val="24"/>
          <w:szCs w:val="24"/>
        </w:rPr>
      </w:pPr>
      <w:r>
        <w:rPr>
          <w:rFonts w:ascii="宋体" w:hAnsi="宋体" w:hint="eastAsia"/>
          <w:sz w:val="24"/>
          <w:szCs w:val="24"/>
        </w:rPr>
        <w:t>对投标文件中含义不明确、同类问题表述不一致或者有明显文字和计算错误的内容，评标委员会可以书面形式（应当由评标委员会成员签字）要求投标人作出必要澄清、说明或者纠正。投标人的澄清、说明或者补正应当采用书面形式，由其法定代表人或法定代表人授权代表签字，其澄清的内容不得超出投标文件的范围或者改变投标文件的实质性内容。</w:t>
      </w:r>
    </w:p>
    <w:p>
      <w:pPr>
        <w:snapToGrid w:val="0"/>
        <w:spacing w:line="360" w:lineRule="auto"/>
        <w:ind w:firstLine="480" w:firstLineChars="200"/>
        <w:rPr>
          <w:rFonts w:ascii="宋体" w:hAnsi="宋体" w:hint="eastAsia"/>
          <w:sz w:val="24"/>
          <w:szCs w:val="24"/>
        </w:rPr>
      </w:pPr>
      <w:r>
        <w:rPr>
          <w:rFonts w:ascii="宋体" w:hAnsi="宋体" w:hint="eastAsia"/>
          <w:sz w:val="24"/>
          <w:szCs w:val="24"/>
        </w:rPr>
        <w:t>（三）比较与评价</w:t>
      </w:r>
    </w:p>
    <w:p>
      <w:pPr>
        <w:snapToGrid w:val="0"/>
        <w:spacing w:line="360" w:lineRule="auto"/>
        <w:ind w:firstLine="480" w:firstLineChars="200"/>
        <w:rPr>
          <w:rFonts w:ascii="宋体" w:hAnsi="宋体"/>
          <w:sz w:val="24"/>
          <w:szCs w:val="24"/>
        </w:rPr>
      </w:pPr>
      <w:r>
        <w:rPr>
          <w:rFonts w:ascii="宋体" w:hAnsi="宋体" w:hint="eastAsia"/>
          <w:sz w:val="24"/>
          <w:szCs w:val="24"/>
        </w:rPr>
        <w:t>按招标文件中规定的评标方法和标准，对资格审查和符合性审查合格的投标文件进行商务和技术评估。</w:t>
      </w:r>
    </w:p>
    <w:p>
      <w:pPr>
        <w:snapToGrid w:val="0"/>
        <w:spacing w:line="360" w:lineRule="auto"/>
        <w:ind w:firstLine="480" w:firstLineChars="200"/>
        <w:rPr>
          <w:rFonts w:ascii="宋体" w:hAnsi="宋体" w:hint="eastAsia"/>
          <w:sz w:val="24"/>
          <w:szCs w:val="24"/>
        </w:rPr>
        <w:sectPr>
          <w:headerReference w:type="default" r:id="rId53"/>
          <w:footerReference w:type="even" r:id="rId54"/>
          <w:footerReference w:type="default" r:id="rId55"/>
          <w:headerReference w:type="first" r:id="rId56"/>
          <w:type w:val="nextPage"/>
          <w:pgSz w:w="11907" w:h="16840"/>
          <w:pgMar w:top="1134" w:right="1191" w:bottom="1134" w:left="1191" w:header="851" w:footer="992" w:gutter="0"/>
          <w:pgNumType w:fmt="numberInDash" w:start="12"/>
          <w:cols w:space="708"/>
          <w:titlePg w:val="0"/>
          <w:docGrid w:linePitch="380" w:charSpace="-5735"/>
        </w:sectPr>
      </w:pPr>
    </w:p>
    <w:p>
      <w:pPr>
        <w:snapToGrid w:val="0"/>
        <w:spacing w:line="360" w:lineRule="auto"/>
        <w:ind w:firstLine="480" w:firstLineChars="200"/>
        <w:rPr>
          <w:rFonts w:ascii="宋体" w:hAnsi="宋体" w:hint="eastAsia"/>
          <w:sz w:val="24"/>
          <w:szCs w:val="24"/>
        </w:rPr>
      </w:pPr>
      <w:r>
        <w:rPr>
          <w:rFonts w:ascii="宋体" w:hAnsi="宋体" w:hint="eastAsia"/>
          <w:sz w:val="24"/>
          <w:szCs w:val="24"/>
        </w:rPr>
        <w:t>同一合同项（分包）下为单一品目或非单一品目核心产品品牌的货物采购招标中，提供相同品牌产品且通过资格审查、符合性审查的不同投标人参加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snapToGrid w:val="0"/>
        <w:spacing w:line="360" w:lineRule="auto"/>
        <w:ind w:firstLine="480" w:firstLineChars="200"/>
        <w:rPr>
          <w:rFonts w:ascii="宋体" w:hAnsi="宋体" w:hint="eastAsia"/>
          <w:sz w:val="24"/>
          <w:szCs w:val="24"/>
        </w:rPr>
      </w:pPr>
      <w:r>
        <w:rPr>
          <w:rFonts w:ascii="宋体" w:hAnsi="宋体" w:hint="eastAsia"/>
          <w:sz w:val="24"/>
          <w:szCs w:val="24"/>
        </w:rPr>
        <w:t>评标委员会各成员独立对每个有效投标人（通过资格审查、</w:t>
      </w:r>
      <w:r>
        <w:rPr>
          <w:rFonts w:ascii="宋体" w:hAnsi="宋体" w:cs="宋体" w:hint="eastAsia"/>
          <w:kern w:val="0"/>
          <w:sz w:val="24"/>
          <w:szCs w:val="24"/>
        </w:rPr>
        <w:t>符合性审查的投标人</w:t>
      </w:r>
      <w:r>
        <w:rPr>
          <w:rFonts w:ascii="宋体" w:hAnsi="宋体" w:hint="eastAsia"/>
          <w:sz w:val="24"/>
          <w:szCs w:val="24"/>
        </w:rPr>
        <w:t>）的投标文件进行评价、打分，然后由评标委员会对各成员打分情况进行核查及复核，个别成员对同一投标人同一评分项的打分偏离较大的，应对投标人的投标文件进行再次核对，确属打分有误的，应及时进行修正。</w:t>
      </w:r>
    </w:p>
    <w:p>
      <w:pPr>
        <w:snapToGrid w:val="0"/>
        <w:spacing w:line="360" w:lineRule="auto"/>
        <w:ind w:firstLine="480" w:firstLineChars="200"/>
        <w:rPr>
          <w:rFonts w:ascii="宋体" w:hAnsi="宋体" w:hint="eastAsia"/>
          <w:sz w:val="24"/>
          <w:szCs w:val="24"/>
        </w:rPr>
      </w:pPr>
      <w:r>
        <w:rPr>
          <w:rFonts w:ascii="宋体" w:hAnsi="宋体" w:hint="eastAsia"/>
          <w:sz w:val="24"/>
          <w:szCs w:val="24"/>
        </w:rPr>
        <w:t>复核后，评标委员会汇总每个投标人每项评分因素的得分。</w:t>
      </w:r>
    </w:p>
    <w:p>
      <w:pPr>
        <w:snapToGrid w:val="0"/>
        <w:spacing w:line="360" w:lineRule="auto"/>
        <w:ind w:firstLine="480" w:firstLineChars="200"/>
        <w:rPr>
          <w:rFonts w:ascii="宋体" w:hAnsi="宋体" w:hint="eastAsia"/>
          <w:sz w:val="24"/>
          <w:szCs w:val="24"/>
        </w:rPr>
      </w:pPr>
      <w:r>
        <w:rPr>
          <w:rFonts w:ascii="宋体" w:hAnsi="宋体" w:hint="eastAsia"/>
          <w:sz w:val="24"/>
          <w:szCs w:val="24"/>
        </w:rPr>
        <w:t>（四）推荐中标人名单</w:t>
      </w:r>
    </w:p>
    <w:p>
      <w:pPr>
        <w:snapToGrid w:val="0"/>
        <w:spacing w:line="360" w:lineRule="auto"/>
        <w:ind w:firstLine="480" w:firstLineChars="200"/>
        <w:rPr>
          <w:rFonts w:ascii="宋体" w:hAnsi="宋体" w:hint="eastAsia"/>
          <w:sz w:val="24"/>
          <w:szCs w:val="24"/>
        </w:rPr>
      </w:pPr>
      <w:r>
        <w:rPr>
          <w:rFonts w:ascii="宋体" w:hAnsi="宋体" w:hint="eastAsia"/>
          <w:sz w:val="24"/>
          <w:szCs w:val="24"/>
        </w:rPr>
        <w:t>按评审后得分由高到低的排列顺序推荐综合得分排名前三的投标人为本项目中标候选人，排名第一的为第一中标候选人。得分相同的，按投标报价由低到高顺序排列。得分且投标报价相同的并列。</w:t>
      </w:r>
    </w:p>
    <w:p>
      <w:pPr>
        <w:pStyle w:val="Heading2"/>
        <w:ind w:firstLine="480" w:firstLineChars="200"/>
        <w:jc w:val="left"/>
        <w:rPr>
          <w:rFonts w:hint="eastAsia"/>
          <w:b/>
          <w:sz w:val="24"/>
        </w:rPr>
      </w:pPr>
      <w:bookmarkStart w:id="49" w:name="_Toc492721017"/>
      <w:bookmarkStart w:id="50" w:name="_Toc267320057"/>
      <w:bookmarkStart w:id="51" w:name="_Toc93908323"/>
      <w:r>
        <w:rPr>
          <w:rFonts w:hint="eastAsia"/>
          <w:b/>
          <w:sz w:val="24"/>
        </w:rPr>
        <w:t>三、评标标准</w:t>
      </w:r>
      <w:bookmarkEnd w:id="49"/>
      <w:bookmarkEnd w:id="50"/>
      <w:bookmarkEnd w:id="51"/>
    </w:p>
    <w:p>
      <w:pPr>
        <w:snapToGrid w:val="0"/>
        <w:spacing w:line="360" w:lineRule="auto"/>
        <w:ind w:firstLine="465"/>
        <w:rPr>
          <w:rFonts w:ascii="宋体" w:hAnsi="宋体"/>
          <w:sz w:val="24"/>
          <w:szCs w:val="24"/>
        </w:rPr>
      </w:pPr>
      <w:r>
        <w:rPr>
          <w:rFonts w:ascii="宋体" w:hAnsi="宋体" w:hint="eastAsia"/>
          <w:sz w:val="24"/>
          <w:szCs w:val="24"/>
        </w:rPr>
        <w:t>（一）评审因素</w:t>
      </w:r>
    </w:p>
    <w:tbl>
      <w:tblPr>
        <w:tblStyle w:val="TableNormal"/>
        <w:tblW w:w="0" w:type="auto"/>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28"/>
        <w:gridCol w:w="1160"/>
        <w:gridCol w:w="993"/>
        <w:gridCol w:w="5103"/>
        <w:gridCol w:w="1843"/>
      </w:tblGrid>
      <w:tr>
        <w:tblPrEx>
          <w:tblW w:w="0" w:type="auto"/>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36"/>
        </w:trPr>
        <w:tc>
          <w:tcPr>
            <w:tcW w:w="428" w:type="dxa"/>
            <w:tcBorders>
              <w:top w:val="single" w:sz="4" w:space="0" w:color="auto"/>
              <w:left w:val="single" w:sz="4" w:space="0" w:color="auto"/>
              <w:bottom w:val="single" w:sz="4" w:space="0" w:color="auto"/>
              <w:right w:val="single" w:sz="4" w:space="0" w:color="auto"/>
            </w:tcBorders>
            <w:vAlign w:val="center"/>
          </w:tcPr>
          <w:p>
            <w:pPr>
              <w:ind w:firstLine="28"/>
              <w:jc w:val="center"/>
              <w:rPr>
                <w:rFonts w:ascii="宋体" w:hAnsi="宋体"/>
                <w:b/>
                <w:sz w:val="21"/>
                <w:szCs w:val="21"/>
              </w:rPr>
            </w:pPr>
            <w:r>
              <w:rPr>
                <w:rFonts w:ascii="宋体" w:hAnsi="宋体" w:hint="eastAsia"/>
                <w:b/>
                <w:sz w:val="21"/>
                <w:szCs w:val="21"/>
              </w:rPr>
              <w:t>序号</w:t>
            </w:r>
          </w:p>
        </w:tc>
        <w:tc>
          <w:tcPr>
            <w:tcW w:w="1160" w:type="dxa"/>
            <w:tcBorders>
              <w:top w:val="single" w:sz="4" w:space="0" w:color="auto"/>
              <w:left w:val="nil"/>
              <w:bottom w:val="single" w:sz="4" w:space="0" w:color="auto"/>
              <w:right w:val="single" w:sz="4" w:space="0" w:color="auto"/>
            </w:tcBorders>
            <w:vAlign w:val="center"/>
          </w:tcPr>
          <w:p>
            <w:pPr>
              <w:ind w:firstLine="28"/>
              <w:jc w:val="center"/>
              <w:rPr>
                <w:rFonts w:ascii="宋体" w:hAnsi="宋体" w:hint="eastAsia"/>
                <w:b/>
                <w:sz w:val="21"/>
                <w:szCs w:val="21"/>
              </w:rPr>
            </w:pPr>
            <w:r>
              <w:rPr>
                <w:rFonts w:ascii="宋体" w:hAnsi="宋体" w:hint="eastAsia"/>
                <w:b/>
                <w:sz w:val="21"/>
                <w:szCs w:val="21"/>
              </w:rPr>
              <w:t>评分因素及权值</w:t>
            </w:r>
          </w:p>
        </w:tc>
        <w:tc>
          <w:tcPr>
            <w:tcW w:w="993" w:type="dxa"/>
            <w:tcBorders>
              <w:top w:val="single" w:sz="4" w:space="0" w:color="auto"/>
              <w:left w:val="nil"/>
              <w:bottom w:val="single" w:sz="4" w:space="0" w:color="auto"/>
              <w:right w:val="single" w:sz="4" w:space="0" w:color="auto"/>
            </w:tcBorders>
            <w:vAlign w:val="center"/>
          </w:tcPr>
          <w:p>
            <w:pPr>
              <w:ind w:firstLine="28"/>
              <w:jc w:val="center"/>
              <w:rPr>
                <w:rFonts w:ascii="宋体" w:hAnsi="宋体" w:hint="eastAsia"/>
                <w:b/>
                <w:sz w:val="21"/>
                <w:szCs w:val="21"/>
              </w:rPr>
            </w:pPr>
            <w:r>
              <w:rPr>
                <w:rFonts w:ascii="宋体" w:hAnsi="宋体" w:hint="eastAsia"/>
                <w:b/>
                <w:sz w:val="21"/>
                <w:szCs w:val="21"/>
              </w:rPr>
              <w:t>分值</w:t>
            </w:r>
          </w:p>
        </w:tc>
        <w:tc>
          <w:tcPr>
            <w:tcW w:w="5103" w:type="dxa"/>
            <w:tcBorders>
              <w:top w:val="single" w:sz="4" w:space="0" w:color="auto"/>
              <w:left w:val="nil"/>
              <w:bottom w:val="single" w:sz="4" w:space="0" w:color="auto"/>
              <w:right w:val="single" w:sz="4" w:space="0" w:color="auto"/>
            </w:tcBorders>
            <w:vAlign w:val="center"/>
          </w:tcPr>
          <w:p>
            <w:pPr>
              <w:ind w:firstLine="28"/>
              <w:jc w:val="center"/>
              <w:rPr>
                <w:rFonts w:ascii="宋体" w:hAnsi="宋体" w:hint="eastAsia"/>
                <w:b/>
                <w:sz w:val="21"/>
                <w:szCs w:val="21"/>
              </w:rPr>
            </w:pPr>
            <w:r>
              <w:rPr>
                <w:rFonts w:ascii="宋体" w:hAnsi="宋体" w:hint="eastAsia"/>
                <w:b/>
                <w:sz w:val="21"/>
                <w:szCs w:val="21"/>
              </w:rPr>
              <w:t>评分标准</w:t>
            </w:r>
          </w:p>
        </w:tc>
        <w:tc>
          <w:tcPr>
            <w:tcW w:w="1843" w:type="dxa"/>
            <w:tcBorders>
              <w:top w:val="single" w:sz="4" w:space="0" w:color="auto"/>
              <w:left w:val="nil"/>
              <w:bottom w:val="single" w:sz="4" w:space="0" w:color="auto"/>
              <w:right w:val="single" w:sz="4" w:space="0" w:color="auto"/>
            </w:tcBorders>
            <w:vAlign w:val="center"/>
          </w:tcPr>
          <w:p>
            <w:pPr>
              <w:pStyle w:val="a21"/>
              <w:spacing w:line="240" w:lineRule="auto"/>
              <w:ind w:firstLine="420"/>
              <w:rPr>
                <w:rFonts w:ascii="宋体" w:eastAsia="宋体" w:hAnsi="宋体" w:hint="eastAsia"/>
                <w:sz w:val="21"/>
                <w:szCs w:val="21"/>
              </w:rPr>
            </w:pPr>
            <w:r>
              <w:rPr>
                <w:rFonts w:ascii="宋体" w:eastAsia="宋体" w:hAnsi="宋体" w:hint="eastAsia"/>
                <w:sz w:val="21"/>
                <w:szCs w:val="21"/>
              </w:rPr>
              <w:t>说明</w:t>
            </w:r>
          </w:p>
        </w:tc>
      </w:tr>
      <w:tr>
        <w:tblPrEx>
          <w:tblW w:w="0" w:type="auto"/>
          <w:tblInd w:w="79" w:type="dxa"/>
          <w:tblLayout w:type="fixed"/>
          <w:tblCellMar>
            <w:top w:w="0" w:type="dxa"/>
            <w:left w:w="108" w:type="dxa"/>
            <w:bottom w:w="0" w:type="dxa"/>
            <w:right w:w="108" w:type="dxa"/>
          </w:tblCellMar>
          <w:tblLook w:val="0000"/>
        </w:tblPrEx>
        <w:trPr>
          <w:trHeight w:val="636"/>
        </w:trPr>
        <w:tc>
          <w:tcPr>
            <w:tcW w:w="428"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sz w:val="21"/>
                <w:szCs w:val="21"/>
              </w:rPr>
            </w:pPr>
            <w:r>
              <w:rPr>
                <w:rFonts w:ascii="宋体" w:hAnsi="宋体" w:hint="eastAsia"/>
                <w:sz w:val="21"/>
                <w:szCs w:val="21"/>
              </w:rPr>
              <w:t>1</w:t>
            </w:r>
          </w:p>
        </w:tc>
        <w:tc>
          <w:tcPr>
            <w:tcW w:w="1160" w:type="dxa"/>
            <w:tcBorders>
              <w:top w:val="single" w:sz="4" w:space="0" w:color="auto"/>
              <w:left w:val="nil"/>
              <w:bottom w:val="single" w:sz="4" w:space="0" w:color="auto"/>
              <w:right w:val="single" w:sz="4" w:space="0" w:color="auto"/>
            </w:tcBorders>
            <w:vAlign w:val="center"/>
          </w:tcPr>
          <w:p>
            <w:pPr>
              <w:spacing w:line="240" w:lineRule="atLeast"/>
              <w:ind w:firstLine="28"/>
              <w:jc w:val="center"/>
              <w:rPr>
                <w:rFonts w:ascii="宋体" w:hAnsi="宋体" w:hint="eastAsia"/>
                <w:sz w:val="21"/>
                <w:szCs w:val="21"/>
              </w:rPr>
            </w:pPr>
            <w:r>
              <w:rPr>
                <w:rFonts w:ascii="宋体" w:hAnsi="宋体" w:hint="eastAsia"/>
                <w:sz w:val="21"/>
                <w:szCs w:val="21"/>
              </w:rPr>
              <w:t>投标报价</w:t>
            </w:r>
          </w:p>
          <w:p>
            <w:pPr>
              <w:jc w:val="center"/>
              <w:rPr>
                <w:rFonts w:ascii="宋体" w:hAnsi="宋体" w:hint="eastAsia"/>
                <w:sz w:val="21"/>
                <w:szCs w:val="21"/>
              </w:rPr>
            </w:pPr>
            <w:r>
              <w:rPr>
                <w:rFonts w:ascii="宋体" w:hAnsi="宋体" w:hint="eastAsia"/>
                <w:sz w:val="21"/>
                <w:szCs w:val="21"/>
              </w:rPr>
              <w:t>（</w:t>
            </w:r>
            <w:r>
              <w:rPr>
                <w:rFonts w:ascii="宋体" w:hAnsi="宋体"/>
                <w:sz w:val="21"/>
                <w:szCs w:val="21"/>
              </w:rPr>
              <w:t>20</w:t>
            </w:r>
            <w:r>
              <w:rPr>
                <w:rFonts w:ascii="宋体" w:hAnsi="宋体" w:hint="eastAsia"/>
                <w:sz w:val="21"/>
                <w:szCs w:val="21"/>
              </w:rPr>
              <w:t>%）</w:t>
            </w:r>
          </w:p>
        </w:tc>
        <w:tc>
          <w:tcPr>
            <w:tcW w:w="993" w:type="dxa"/>
            <w:tcBorders>
              <w:top w:val="single" w:sz="4" w:space="0" w:color="auto"/>
              <w:left w:val="nil"/>
              <w:bottom w:val="single" w:sz="4" w:space="0" w:color="auto"/>
              <w:right w:val="single" w:sz="4" w:space="0" w:color="auto"/>
            </w:tcBorders>
            <w:vAlign w:val="center"/>
          </w:tcPr>
          <w:p>
            <w:pPr>
              <w:jc w:val="center"/>
              <w:rPr>
                <w:rFonts w:ascii="宋体" w:hAnsi="宋体" w:hint="eastAsia"/>
                <w:sz w:val="21"/>
                <w:szCs w:val="21"/>
              </w:rPr>
            </w:pPr>
            <w:r>
              <w:rPr>
                <w:rFonts w:ascii="宋体" w:hAnsi="宋体"/>
                <w:sz w:val="21"/>
                <w:szCs w:val="21"/>
              </w:rPr>
              <w:t>20</w:t>
            </w:r>
          </w:p>
        </w:tc>
        <w:tc>
          <w:tcPr>
            <w:tcW w:w="5103" w:type="dxa"/>
            <w:tcBorders>
              <w:top w:val="single" w:sz="4" w:space="0" w:color="auto"/>
              <w:left w:val="nil"/>
              <w:bottom w:val="single" w:sz="4" w:space="0" w:color="auto"/>
              <w:right w:val="single" w:sz="4" w:space="0" w:color="auto"/>
            </w:tcBorders>
            <w:vAlign w:val="center"/>
          </w:tcPr>
          <w:p>
            <w:pPr>
              <w:spacing w:line="240" w:lineRule="atLeast"/>
              <w:ind w:left="-38"/>
              <w:rPr>
                <w:rFonts w:ascii="宋体" w:hAnsi="宋体" w:hint="eastAsia"/>
                <w:sz w:val="21"/>
                <w:szCs w:val="21"/>
              </w:rPr>
            </w:pPr>
            <w:r>
              <w:rPr>
                <w:rFonts w:ascii="宋体" w:hAnsi="宋体" w:hint="eastAsia"/>
                <w:sz w:val="21"/>
                <w:szCs w:val="21"/>
              </w:rPr>
              <w:t>有效的投标报价中的最低价为评标基准价，按照下列公式计算每个投标人的投标价格得分。</w:t>
            </w:r>
          </w:p>
          <w:p>
            <w:pPr>
              <w:rPr>
                <w:rFonts w:ascii="宋体" w:hAnsi="宋体" w:hint="eastAsia"/>
                <w:sz w:val="21"/>
                <w:szCs w:val="21"/>
              </w:rPr>
            </w:pPr>
            <w:r>
              <w:rPr>
                <w:rFonts w:ascii="宋体" w:hAnsi="宋体" w:hint="eastAsia"/>
                <w:sz w:val="21"/>
                <w:szCs w:val="21"/>
              </w:rPr>
              <w:t>投标报价得分＝（评标基准价/投标报价）</w:t>
            </w:r>
            <w:r>
              <w:rPr>
                <w:rFonts w:ascii="宋体" w:hAnsi="宋体" w:hint="eastAsia"/>
                <w:sz w:val="21"/>
                <w:szCs w:val="21"/>
              </w:rPr>
              <w:t>×</w:t>
            </w:r>
            <w:r>
              <w:rPr>
                <w:rFonts w:ascii="宋体" w:hAnsi="宋体" w:hint="eastAsia"/>
                <w:sz w:val="21"/>
                <w:szCs w:val="21"/>
              </w:rPr>
              <w:t>价格权重</w:t>
            </w:r>
            <w:r>
              <w:rPr>
                <w:rFonts w:ascii="宋体" w:hAnsi="宋体" w:hint="eastAsia"/>
                <w:sz w:val="21"/>
                <w:szCs w:val="21"/>
              </w:rPr>
              <w:t>×</w:t>
            </w:r>
            <w:r>
              <w:rPr>
                <w:rFonts w:ascii="宋体" w:hAnsi="宋体" w:hint="eastAsia"/>
                <w:sz w:val="21"/>
                <w:szCs w:val="21"/>
              </w:rPr>
              <w:t>100。</w:t>
            </w:r>
          </w:p>
        </w:tc>
        <w:tc>
          <w:tcPr>
            <w:tcW w:w="1843" w:type="dxa"/>
            <w:tcBorders>
              <w:top w:val="single" w:sz="4" w:space="0" w:color="auto"/>
              <w:left w:val="nil"/>
              <w:bottom w:val="single" w:sz="4" w:space="0" w:color="auto"/>
              <w:right w:val="single" w:sz="4" w:space="0" w:color="auto"/>
            </w:tcBorders>
            <w:vAlign w:val="center"/>
          </w:tcPr>
          <w:p>
            <w:pPr>
              <w:rPr>
                <w:rFonts w:ascii="宋体" w:hAnsi="宋体" w:hint="eastAsia"/>
                <w:sz w:val="21"/>
                <w:szCs w:val="21"/>
              </w:rPr>
            </w:pPr>
            <w:r>
              <w:rPr>
                <w:rFonts w:ascii="宋体" w:hAnsi="宋体" w:hint="eastAsia"/>
                <w:sz w:val="21"/>
                <w:szCs w:val="21"/>
              </w:rPr>
              <w:t>对小微企业的价格用扣除后的价格参与评审，详见</w:t>
            </w:r>
            <w:r>
              <w:rPr>
                <w:rFonts w:ascii="宋体" w:hAnsi="宋体" w:hint="eastAsia"/>
                <w:sz w:val="21"/>
                <w:szCs w:val="21"/>
              </w:rPr>
              <w:t>“</w:t>
            </w:r>
            <w:r>
              <w:rPr>
                <w:rFonts w:ascii="宋体" w:hAnsi="宋体" w:hint="eastAsia"/>
                <w:sz w:val="21"/>
                <w:szCs w:val="21"/>
              </w:rPr>
              <w:t>（二）关于小微企业报价扣除比例说明</w:t>
            </w:r>
            <w:r>
              <w:rPr>
                <w:rFonts w:ascii="宋体" w:hAnsi="宋体" w:hint="eastAsia"/>
                <w:sz w:val="21"/>
                <w:szCs w:val="21"/>
              </w:rPr>
              <w:t>”</w:t>
            </w:r>
            <w:r>
              <w:rPr>
                <w:rFonts w:ascii="宋体" w:hAnsi="宋体" w:hint="eastAsia"/>
                <w:sz w:val="21"/>
                <w:szCs w:val="21"/>
              </w:rPr>
              <w:t>。</w:t>
            </w:r>
          </w:p>
        </w:tc>
      </w:tr>
      <w:tr>
        <w:tblPrEx>
          <w:tblW w:w="0" w:type="auto"/>
          <w:tblInd w:w="79" w:type="dxa"/>
          <w:tblLayout w:type="fixed"/>
          <w:tblCellMar>
            <w:top w:w="0" w:type="dxa"/>
            <w:left w:w="108" w:type="dxa"/>
            <w:bottom w:w="0" w:type="dxa"/>
            <w:right w:w="108" w:type="dxa"/>
          </w:tblCellMar>
          <w:tblLook w:val="0000"/>
        </w:tblPrEx>
        <w:trPr>
          <w:trHeight w:val="636"/>
        </w:trPr>
        <w:tc>
          <w:tcPr>
            <w:tcW w:w="428" w:type="dxa"/>
            <w:tcBorders>
              <w:top w:val="nil"/>
              <w:left w:val="single" w:sz="4" w:space="0" w:color="auto"/>
              <w:bottom w:val="single" w:sz="4" w:space="0" w:color="auto"/>
              <w:right w:val="single" w:sz="4" w:space="0" w:color="auto"/>
            </w:tcBorders>
            <w:vAlign w:val="center"/>
          </w:tcPr>
          <w:p>
            <w:pPr>
              <w:jc w:val="center"/>
              <w:rPr>
                <w:rFonts w:ascii="宋体" w:hAnsi="宋体" w:hint="eastAsia"/>
                <w:sz w:val="21"/>
                <w:szCs w:val="21"/>
              </w:rPr>
            </w:pPr>
            <w:r>
              <w:rPr>
                <w:rFonts w:ascii="宋体" w:hAnsi="宋体" w:hint="eastAsia"/>
                <w:sz w:val="21"/>
                <w:szCs w:val="21"/>
              </w:rPr>
              <w:t>2</w:t>
            </w:r>
          </w:p>
        </w:tc>
        <w:tc>
          <w:tcPr>
            <w:tcW w:w="1160" w:type="dxa"/>
            <w:tcBorders>
              <w:top w:val="nil"/>
              <w:left w:val="nil"/>
              <w:bottom w:val="single" w:sz="4" w:space="0" w:color="auto"/>
              <w:right w:val="single" w:sz="4" w:space="0" w:color="auto"/>
            </w:tcBorders>
            <w:vAlign w:val="center"/>
          </w:tcPr>
          <w:p>
            <w:pPr>
              <w:jc w:val="center"/>
              <w:rPr>
                <w:rFonts w:ascii="宋体" w:hAnsi="宋体" w:hint="eastAsia"/>
                <w:sz w:val="21"/>
                <w:szCs w:val="21"/>
              </w:rPr>
            </w:pPr>
            <w:r>
              <w:rPr>
                <w:rFonts w:ascii="宋体" w:hAnsi="宋体" w:hint="eastAsia"/>
                <w:sz w:val="21"/>
                <w:szCs w:val="21"/>
              </w:rPr>
              <w:t>技术</w:t>
            </w:r>
          </w:p>
          <w:p>
            <w:pPr>
              <w:jc w:val="center"/>
              <w:rPr>
                <w:rFonts w:ascii="宋体" w:hAnsi="宋体" w:hint="eastAsia"/>
                <w:sz w:val="21"/>
                <w:szCs w:val="21"/>
              </w:rPr>
            </w:pPr>
            <w:r>
              <w:rPr>
                <w:rFonts w:ascii="宋体" w:hAnsi="宋体" w:hint="eastAsia"/>
                <w:sz w:val="21"/>
                <w:szCs w:val="21"/>
              </w:rPr>
              <w:t>方案</w:t>
            </w:r>
          </w:p>
          <w:p>
            <w:pPr>
              <w:jc w:val="center"/>
              <w:rPr>
                <w:rFonts w:ascii="宋体" w:hAnsi="宋体" w:hint="eastAsia"/>
                <w:sz w:val="21"/>
                <w:szCs w:val="21"/>
              </w:rPr>
            </w:pPr>
            <w:r>
              <w:rPr>
                <w:rFonts w:ascii="宋体" w:hAnsi="宋体" w:hint="eastAsia"/>
                <w:sz w:val="21"/>
                <w:szCs w:val="21"/>
              </w:rPr>
              <w:t>（</w:t>
            </w:r>
            <w:r>
              <w:rPr>
                <w:rFonts w:ascii="宋体" w:hAnsi="宋体"/>
                <w:sz w:val="21"/>
                <w:szCs w:val="21"/>
              </w:rPr>
              <w:t>35</w:t>
            </w:r>
            <w:r>
              <w:rPr>
                <w:rFonts w:ascii="宋体" w:hAnsi="宋体" w:hint="eastAsia"/>
                <w:sz w:val="21"/>
                <w:szCs w:val="21"/>
              </w:rPr>
              <w:t>%）</w:t>
            </w:r>
          </w:p>
        </w:tc>
        <w:tc>
          <w:tcPr>
            <w:tcW w:w="993" w:type="dxa"/>
            <w:tcBorders>
              <w:top w:val="nil"/>
              <w:left w:val="nil"/>
              <w:bottom w:val="single" w:sz="4" w:space="0" w:color="auto"/>
              <w:right w:val="single" w:sz="4" w:space="0" w:color="auto"/>
            </w:tcBorders>
            <w:vAlign w:val="center"/>
          </w:tcPr>
          <w:p>
            <w:pPr>
              <w:jc w:val="center"/>
              <w:rPr>
                <w:rFonts w:ascii="宋体" w:hAnsi="宋体" w:hint="eastAsia"/>
                <w:sz w:val="21"/>
                <w:szCs w:val="21"/>
              </w:rPr>
            </w:pPr>
            <w:r>
              <w:rPr>
                <w:rFonts w:ascii="宋体" w:hAnsi="宋体"/>
                <w:sz w:val="21"/>
                <w:szCs w:val="21"/>
              </w:rPr>
              <w:t>35</w:t>
            </w:r>
            <w:r>
              <w:rPr>
                <w:rFonts w:ascii="宋体" w:hAnsi="宋体" w:hint="eastAsia"/>
                <w:sz w:val="21"/>
                <w:szCs w:val="21"/>
              </w:rPr>
              <w:t>分</w:t>
            </w:r>
          </w:p>
        </w:tc>
        <w:tc>
          <w:tcPr>
            <w:tcW w:w="5103" w:type="dxa"/>
            <w:tcBorders>
              <w:top w:val="single" w:sz="4" w:space="0" w:color="auto"/>
              <w:left w:val="nil"/>
              <w:bottom w:val="single" w:sz="4" w:space="0" w:color="auto"/>
              <w:right w:val="single" w:sz="4" w:space="0" w:color="auto"/>
            </w:tcBorders>
            <w:vAlign w:val="center"/>
          </w:tcPr>
          <w:p>
            <w:pPr>
              <w:rPr>
                <w:rFonts w:ascii="宋体" w:hAnsi="宋体"/>
                <w:sz w:val="21"/>
                <w:szCs w:val="21"/>
              </w:rPr>
            </w:pPr>
            <w:r>
              <w:rPr>
                <w:rFonts w:ascii="宋体" w:hAnsi="宋体" w:hint="eastAsia"/>
                <w:sz w:val="21"/>
                <w:szCs w:val="21"/>
              </w:rPr>
              <w:t>1</w:t>
            </w:r>
            <w:r>
              <w:rPr>
                <w:rFonts w:ascii="宋体" w:hAnsi="宋体"/>
                <w:sz w:val="21"/>
                <w:szCs w:val="21"/>
              </w:rPr>
              <w:t>.</w:t>
            </w:r>
            <w:r>
              <w:rPr>
                <w:rFonts w:ascii="宋体" w:hAnsi="宋体" w:hint="eastAsia"/>
                <w:sz w:val="21"/>
                <w:szCs w:val="21"/>
              </w:rPr>
              <w:t>监理对项目需求的理解分析和建议（</w:t>
            </w:r>
            <w:r>
              <w:rPr>
                <w:rFonts w:ascii="宋体" w:hAnsi="宋体"/>
                <w:sz w:val="21"/>
                <w:szCs w:val="21"/>
              </w:rPr>
              <w:t>4</w:t>
            </w:r>
            <w:r>
              <w:rPr>
                <w:rFonts w:ascii="宋体" w:hAnsi="宋体" w:hint="eastAsia"/>
                <w:sz w:val="21"/>
                <w:szCs w:val="21"/>
              </w:rPr>
              <w:t>分）</w:t>
            </w:r>
            <w:r>
              <w:rPr>
                <w:rFonts w:ascii="宋体" w:hAnsi="宋体" w:hint="eastAsia"/>
                <w:sz w:val="21"/>
                <w:szCs w:val="21"/>
              </w:rPr>
              <w:tab/>
            </w:r>
          </w:p>
          <w:p>
            <w:pPr>
              <w:rPr>
                <w:rFonts w:ascii="宋体" w:hAnsi="宋体" w:hint="eastAsia"/>
                <w:sz w:val="21"/>
                <w:szCs w:val="21"/>
              </w:rPr>
            </w:pPr>
            <w:r>
              <w:rPr>
                <w:rFonts w:ascii="宋体" w:hAnsi="宋体" w:hint="eastAsia"/>
                <w:sz w:val="21"/>
                <w:szCs w:val="21"/>
              </w:rPr>
              <w:t>理解深刻、分析全面，建议科学得</w:t>
            </w:r>
            <w:r>
              <w:rPr>
                <w:rFonts w:ascii="宋体" w:hAnsi="宋体"/>
                <w:sz w:val="21"/>
                <w:szCs w:val="21"/>
              </w:rPr>
              <w:t>4</w:t>
            </w:r>
            <w:r>
              <w:rPr>
                <w:rFonts w:ascii="宋体" w:hAnsi="宋体" w:hint="eastAsia"/>
                <w:sz w:val="21"/>
                <w:szCs w:val="21"/>
              </w:rPr>
              <w:t>分；理解不够深刻、分析不到位，建议可行性低三者有其一得</w:t>
            </w:r>
            <w:r>
              <w:rPr>
                <w:rFonts w:ascii="宋体" w:hAnsi="宋体"/>
                <w:sz w:val="21"/>
                <w:szCs w:val="21"/>
              </w:rPr>
              <w:t>2</w:t>
            </w:r>
            <w:r>
              <w:rPr>
                <w:rFonts w:ascii="宋体" w:hAnsi="宋体" w:hint="eastAsia"/>
                <w:sz w:val="21"/>
                <w:szCs w:val="21"/>
              </w:rPr>
              <w:t>分；没有理解或分析不足、建议没有可行性得0分。</w:t>
            </w:r>
          </w:p>
          <w:p>
            <w:pPr>
              <w:rPr>
                <w:rFonts w:ascii="宋体" w:hAnsi="宋体"/>
                <w:sz w:val="21"/>
                <w:szCs w:val="21"/>
              </w:rPr>
            </w:pPr>
            <w:r>
              <w:rPr>
                <w:rFonts w:ascii="宋体" w:hAnsi="宋体"/>
                <w:sz w:val="21"/>
                <w:szCs w:val="21"/>
              </w:rPr>
              <w:t>2.</w:t>
            </w:r>
            <w:r>
              <w:rPr>
                <w:rFonts w:ascii="宋体" w:hAnsi="宋体" w:hint="eastAsia"/>
                <w:sz w:val="21"/>
                <w:szCs w:val="21"/>
              </w:rPr>
              <w:t>项目管理控制内容（</w:t>
            </w:r>
            <w:r>
              <w:rPr>
                <w:rFonts w:ascii="宋体" w:hAnsi="宋体"/>
                <w:sz w:val="21"/>
                <w:szCs w:val="21"/>
              </w:rPr>
              <w:t>4</w:t>
            </w:r>
            <w:r>
              <w:rPr>
                <w:rFonts w:ascii="宋体" w:hAnsi="宋体" w:hint="eastAsia"/>
                <w:sz w:val="21"/>
                <w:szCs w:val="21"/>
              </w:rPr>
              <w:t>分）</w:t>
            </w:r>
            <w:r>
              <w:rPr>
                <w:rFonts w:ascii="宋体" w:hAnsi="宋体" w:hint="eastAsia"/>
                <w:sz w:val="21"/>
                <w:szCs w:val="21"/>
              </w:rPr>
              <w:tab/>
            </w:r>
          </w:p>
          <w:p>
            <w:pPr>
              <w:rPr>
                <w:rFonts w:ascii="宋体" w:hAnsi="宋体"/>
                <w:sz w:val="21"/>
                <w:szCs w:val="21"/>
              </w:rPr>
            </w:pPr>
            <w:r>
              <w:rPr>
                <w:rFonts w:ascii="宋体" w:hAnsi="宋体" w:hint="eastAsia"/>
                <w:sz w:val="21"/>
                <w:szCs w:val="21"/>
              </w:rPr>
              <w:t>对控制管理协调目标、措施、方法科学合理，得</w:t>
            </w:r>
            <w:r>
              <w:rPr>
                <w:rFonts w:ascii="宋体" w:hAnsi="宋体"/>
                <w:sz w:val="21"/>
                <w:szCs w:val="21"/>
              </w:rPr>
              <w:t>4</w:t>
            </w:r>
            <w:r>
              <w:rPr>
                <w:rFonts w:ascii="宋体" w:hAnsi="宋体" w:hint="eastAsia"/>
                <w:sz w:val="21"/>
                <w:szCs w:val="21"/>
              </w:rPr>
              <w:t>分；对控制管理协调目标、措施、方法可行，得</w:t>
            </w:r>
            <w:r>
              <w:rPr>
                <w:rFonts w:ascii="宋体" w:hAnsi="宋体"/>
                <w:sz w:val="21"/>
                <w:szCs w:val="21"/>
              </w:rPr>
              <w:t>2</w:t>
            </w:r>
            <w:r>
              <w:rPr>
                <w:rFonts w:ascii="宋体" w:hAnsi="宋体" w:hint="eastAsia"/>
                <w:sz w:val="21"/>
                <w:szCs w:val="21"/>
              </w:rPr>
              <w:t>分；</w:t>
            </w:r>
          </w:p>
          <w:p>
            <w:pPr>
              <w:rPr>
                <w:rFonts w:ascii="宋体" w:hAnsi="宋体"/>
                <w:sz w:val="21"/>
                <w:szCs w:val="21"/>
              </w:rPr>
            </w:pPr>
            <w:r>
              <w:rPr>
                <w:rFonts w:ascii="宋体" w:hAnsi="宋体" w:hint="eastAsia"/>
                <w:sz w:val="21"/>
                <w:szCs w:val="21"/>
              </w:rPr>
              <w:t>对控制管理协调目标、措施、方法不力，得0分。</w:t>
            </w:r>
          </w:p>
          <w:p>
            <w:pPr>
              <w:rPr>
                <w:rFonts w:ascii="宋体" w:hAnsi="宋体"/>
                <w:sz w:val="21"/>
                <w:szCs w:val="21"/>
              </w:rPr>
            </w:pPr>
            <w:r>
              <w:rPr>
                <w:rFonts w:ascii="宋体" w:hAnsi="宋体" w:hint="eastAsia"/>
                <w:sz w:val="21"/>
                <w:szCs w:val="21"/>
              </w:rPr>
              <w:t>3.监理措施方法（</w:t>
            </w:r>
            <w:r>
              <w:rPr>
                <w:rFonts w:ascii="宋体" w:hAnsi="宋体"/>
                <w:sz w:val="21"/>
                <w:szCs w:val="21"/>
              </w:rPr>
              <w:t>4</w:t>
            </w:r>
            <w:r>
              <w:rPr>
                <w:rFonts w:ascii="宋体" w:hAnsi="宋体" w:hint="eastAsia"/>
                <w:sz w:val="21"/>
                <w:szCs w:val="21"/>
              </w:rPr>
              <w:t>分）</w:t>
            </w:r>
            <w:r>
              <w:rPr>
                <w:rFonts w:ascii="宋体" w:hAnsi="宋体" w:hint="eastAsia"/>
                <w:sz w:val="21"/>
                <w:szCs w:val="21"/>
              </w:rPr>
              <w:tab/>
            </w:r>
          </w:p>
          <w:p>
            <w:pPr>
              <w:rPr>
                <w:rFonts w:ascii="宋体" w:hAnsi="宋体" w:hint="eastAsia"/>
                <w:sz w:val="21"/>
                <w:szCs w:val="21"/>
              </w:rPr>
            </w:pPr>
            <w:r>
              <w:rPr>
                <w:rFonts w:ascii="宋体" w:hAnsi="宋体" w:hint="eastAsia"/>
                <w:sz w:val="21"/>
                <w:szCs w:val="21"/>
              </w:rPr>
              <w:t>监理措施方法得当、合理得</w:t>
            </w:r>
            <w:r>
              <w:rPr>
                <w:rFonts w:ascii="宋体" w:hAnsi="宋体"/>
                <w:sz w:val="21"/>
                <w:szCs w:val="21"/>
              </w:rPr>
              <w:t>4</w:t>
            </w:r>
            <w:r>
              <w:rPr>
                <w:rFonts w:ascii="宋体" w:hAnsi="宋体" w:hint="eastAsia"/>
                <w:sz w:val="21"/>
                <w:szCs w:val="21"/>
              </w:rPr>
              <w:t>分；监理措施方法可行得</w:t>
            </w:r>
            <w:r>
              <w:rPr>
                <w:rFonts w:ascii="宋体" w:hAnsi="宋体"/>
                <w:sz w:val="21"/>
                <w:szCs w:val="21"/>
              </w:rPr>
              <w:t>2</w:t>
            </w:r>
            <w:r>
              <w:rPr>
                <w:rFonts w:ascii="宋体" w:hAnsi="宋体" w:hint="eastAsia"/>
                <w:sz w:val="21"/>
                <w:szCs w:val="21"/>
              </w:rPr>
              <w:t>分；监理措施方法不力得0分。</w:t>
            </w:r>
          </w:p>
          <w:p>
            <w:pPr>
              <w:rPr>
                <w:rFonts w:ascii="宋体" w:hAnsi="宋体"/>
                <w:sz w:val="21"/>
                <w:szCs w:val="21"/>
              </w:rPr>
            </w:pPr>
            <w:r>
              <w:rPr>
                <w:rFonts w:ascii="宋体" w:hAnsi="宋体" w:hint="eastAsia"/>
                <w:sz w:val="21"/>
                <w:szCs w:val="21"/>
              </w:rPr>
              <w:t>4.实施计划(工作及人员投入计划)（</w:t>
            </w:r>
            <w:r>
              <w:rPr>
                <w:rFonts w:ascii="宋体" w:hAnsi="宋体"/>
                <w:sz w:val="21"/>
                <w:szCs w:val="21"/>
              </w:rPr>
              <w:t>3</w:t>
            </w:r>
            <w:r>
              <w:rPr>
                <w:rFonts w:ascii="宋体" w:hAnsi="宋体" w:hint="eastAsia"/>
                <w:sz w:val="21"/>
                <w:szCs w:val="21"/>
              </w:rPr>
              <w:t>分）</w:t>
            </w:r>
            <w:r>
              <w:rPr>
                <w:rFonts w:ascii="宋体" w:hAnsi="宋体" w:hint="eastAsia"/>
                <w:sz w:val="21"/>
                <w:szCs w:val="21"/>
              </w:rPr>
              <w:tab/>
            </w:r>
          </w:p>
          <w:p>
            <w:pPr>
              <w:rPr>
                <w:rFonts w:ascii="宋体" w:hAnsi="宋体" w:hint="eastAsia"/>
                <w:sz w:val="21"/>
                <w:szCs w:val="21"/>
              </w:rPr>
            </w:pPr>
            <w:r>
              <w:rPr>
                <w:rFonts w:ascii="宋体" w:hAnsi="宋体" w:hint="eastAsia"/>
                <w:sz w:val="21"/>
                <w:szCs w:val="21"/>
              </w:rPr>
              <w:t>监理实施计划科学、人员投入合理得</w:t>
            </w:r>
            <w:r>
              <w:rPr>
                <w:rFonts w:ascii="宋体" w:hAnsi="宋体"/>
                <w:sz w:val="21"/>
                <w:szCs w:val="21"/>
              </w:rPr>
              <w:t>3</w:t>
            </w:r>
            <w:r>
              <w:rPr>
                <w:rFonts w:ascii="宋体" w:hAnsi="宋体" w:hint="eastAsia"/>
                <w:sz w:val="21"/>
                <w:szCs w:val="21"/>
              </w:rPr>
              <w:t>分；监理实施计划科学、人员投入可行得</w:t>
            </w:r>
            <w:r>
              <w:rPr>
                <w:rFonts w:ascii="宋体" w:hAnsi="宋体"/>
                <w:sz w:val="21"/>
                <w:szCs w:val="21"/>
              </w:rPr>
              <w:t>1.5</w:t>
            </w:r>
            <w:r>
              <w:rPr>
                <w:rFonts w:ascii="宋体" w:hAnsi="宋体" w:hint="eastAsia"/>
                <w:sz w:val="21"/>
                <w:szCs w:val="21"/>
              </w:rPr>
              <w:t>分；监理实施计划不科学、人员投入不合理得0分。</w:t>
            </w:r>
          </w:p>
          <w:p>
            <w:pPr>
              <w:rPr>
                <w:rFonts w:ascii="宋体" w:hAnsi="宋体"/>
                <w:sz w:val="21"/>
                <w:szCs w:val="21"/>
              </w:rPr>
            </w:pPr>
            <w:r>
              <w:rPr>
                <w:rFonts w:ascii="宋体" w:hAnsi="宋体" w:hint="eastAsia"/>
                <w:sz w:val="21"/>
                <w:szCs w:val="21"/>
              </w:rPr>
              <w:t>5.监理机构及分工（</w:t>
            </w:r>
            <w:r>
              <w:rPr>
                <w:rFonts w:ascii="宋体" w:hAnsi="宋体"/>
                <w:sz w:val="21"/>
                <w:szCs w:val="21"/>
              </w:rPr>
              <w:t>3</w:t>
            </w:r>
            <w:r>
              <w:rPr>
                <w:rFonts w:ascii="宋体" w:hAnsi="宋体" w:hint="eastAsia"/>
                <w:sz w:val="21"/>
                <w:szCs w:val="21"/>
              </w:rPr>
              <w:t>分）</w:t>
            </w:r>
            <w:r>
              <w:rPr>
                <w:rFonts w:ascii="宋体" w:hAnsi="宋体" w:hint="eastAsia"/>
                <w:sz w:val="21"/>
                <w:szCs w:val="21"/>
              </w:rPr>
              <w:tab/>
            </w:r>
          </w:p>
          <w:p>
            <w:pPr>
              <w:rPr>
                <w:rFonts w:ascii="宋体" w:hAnsi="宋体" w:hint="eastAsia"/>
                <w:sz w:val="21"/>
                <w:szCs w:val="21"/>
              </w:rPr>
            </w:pPr>
            <w:r>
              <w:rPr>
                <w:rFonts w:ascii="宋体" w:hAnsi="宋体" w:hint="eastAsia"/>
                <w:sz w:val="21"/>
                <w:szCs w:val="21"/>
              </w:rPr>
              <w:t>组织机构设置科学、分工合理、职责明确得</w:t>
            </w:r>
            <w:r>
              <w:rPr>
                <w:rFonts w:ascii="宋体" w:hAnsi="宋体"/>
                <w:sz w:val="21"/>
                <w:szCs w:val="21"/>
              </w:rPr>
              <w:t>3</w:t>
            </w:r>
            <w:r>
              <w:rPr>
                <w:rFonts w:ascii="宋体" w:hAnsi="宋体" w:hint="eastAsia"/>
                <w:sz w:val="21"/>
                <w:szCs w:val="21"/>
              </w:rPr>
              <w:t>分；组织机构设置不科学、分工不合理、职责不明确，三者有其一得</w:t>
            </w:r>
            <w:r>
              <w:rPr>
                <w:rFonts w:ascii="宋体" w:hAnsi="宋体"/>
                <w:sz w:val="21"/>
                <w:szCs w:val="21"/>
              </w:rPr>
              <w:t>1.5</w:t>
            </w:r>
            <w:r>
              <w:rPr>
                <w:rFonts w:ascii="宋体" w:hAnsi="宋体" w:hint="eastAsia"/>
                <w:sz w:val="21"/>
                <w:szCs w:val="21"/>
              </w:rPr>
              <w:t>分；组织机构设置不科学、分工不合理、职责不明确得0分；</w:t>
            </w:r>
          </w:p>
        </w:tc>
        <w:tc>
          <w:tcPr>
            <w:tcW w:w="1843" w:type="dxa"/>
            <w:tcBorders>
              <w:top w:val="single" w:sz="4" w:space="0" w:color="auto"/>
              <w:left w:val="nil"/>
              <w:right w:val="single" w:sz="4" w:space="0" w:color="auto"/>
            </w:tcBorders>
            <w:vAlign w:val="center"/>
          </w:tcPr>
          <w:p>
            <w:pPr>
              <w:rPr>
                <w:rFonts w:ascii="宋体" w:hAnsi="宋体" w:hint="eastAsia"/>
                <w:sz w:val="21"/>
                <w:szCs w:val="21"/>
              </w:rPr>
            </w:pPr>
            <w:r>
              <w:rPr>
                <w:rFonts w:ascii="宋体" w:hAnsi="宋体" w:hint="eastAsia"/>
                <w:sz w:val="21"/>
                <w:szCs w:val="21"/>
              </w:rPr>
              <w:t>方案格式自拟</w:t>
            </w:r>
          </w:p>
        </w:tc>
      </w:tr>
    </w:tbl>
    <w:p>
      <w:pPr>
        <w:sectPr>
          <w:headerReference w:type="default" r:id="rId57"/>
          <w:footerReference w:type="even" r:id="rId58"/>
          <w:footerReference w:type="default" r:id="rId59"/>
          <w:headerReference w:type="first" r:id="rId60"/>
          <w:type w:val="nextPage"/>
          <w:pgSz w:w="11907" w:h="16840"/>
          <w:pgMar w:top="1134" w:right="1191" w:bottom="1134" w:left="1191" w:header="851" w:footer="992" w:gutter="0"/>
          <w:pgNumType w:fmt="numberInDash" w:start="13"/>
          <w:cols w:space="708"/>
          <w:titlePg w:val="0"/>
          <w:docGrid w:linePitch="380" w:charSpace="-5735"/>
        </w:sectPr>
      </w:pPr>
    </w:p>
    <w:tbl>
      <w:tblPr>
        <w:tblStyle w:val="TableNormal"/>
        <w:tblW w:w="0" w:type="auto"/>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28"/>
        <w:gridCol w:w="1160"/>
        <w:gridCol w:w="993"/>
        <w:gridCol w:w="5103"/>
        <w:gridCol w:w="1843"/>
      </w:tblGrid>
      <w:tr>
        <w:tblPrEx>
          <w:tblW w:w="0" w:type="auto"/>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36"/>
        </w:trPr>
        <w:tc>
          <w:tcPr>
            <w:tcW w:w="428" w:type="dxa"/>
            <w:tcBorders>
              <w:top w:val="nil"/>
              <w:left w:val="single" w:sz="4" w:space="0" w:color="auto"/>
              <w:bottom w:val="single" w:sz="4" w:space="0" w:color="auto"/>
              <w:right w:val="single" w:sz="4" w:space="0" w:color="auto"/>
            </w:tcBorders>
            <w:vAlign w:val="center"/>
          </w:tcPr>
          <w:p/>
        </w:tc>
        <w:tc>
          <w:tcPr>
            <w:tcW w:w="1160" w:type="dxa"/>
            <w:tcBorders>
              <w:top w:val="nil"/>
              <w:left w:val="nil"/>
              <w:bottom w:val="single" w:sz="4" w:space="0" w:color="auto"/>
              <w:right w:val="single" w:sz="4" w:space="0" w:color="auto"/>
            </w:tcBorders>
            <w:vAlign w:val="center"/>
          </w:tcPr>
          <w:p/>
        </w:tc>
        <w:tc>
          <w:tcPr>
            <w:tcW w:w="993" w:type="dxa"/>
            <w:tcBorders>
              <w:top w:val="nil"/>
              <w:left w:val="nil"/>
              <w:bottom w:val="single" w:sz="4" w:space="0" w:color="auto"/>
              <w:right w:val="single" w:sz="4" w:space="0" w:color="auto"/>
            </w:tcBorders>
            <w:vAlign w:val="center"/>
          </w:tcPr>
          <w:p/>
        </w:tc>
        <w:tc>
          <w:tcPr>
            <w:tcW w:w="5103" w:type="dxa"/>
            <w:tcBorders>
              <w:top w:val="single" w:sz="4" w:space="0" w:color="auto"/>
              <w:left w:val="nil"/>
              <w:bottom w:val="single" w:sz="4" w:space="0" w:color="auto"/>
              <w:right w:val="single" w:sz="4" w:space="0" w:color="auto"/>
            </w:tcBorders>
            <w:vAlign w:val="center"/>
          </w:tcPr>
          <w:p>
            <w:pPr>
              <w:rPr>
                <w:rFonts w:ascii="宋体" w:hAnsi="宋体"/>
                <w:sz w:val="21"/>
                <w:szCs w:val="21"/>
              </w:rPr>
            </w:pPr>
            <w:r>
              <w:rPr>
                <w:rFonts w:ascii="宋体" w:hAnsi="宋体" w:hint="eastAsia"/>
                <w:sz w:val="21"/>
                <w:szCs w:val="21"/>
              </w:rPr>
              <w:t>6.重点部位监理（</w:t>
            </w:r>
            <w:r>
              <w:rPr>
                <w:rFonts w:ascii="宋体" w:hAnsi="宋体"/>
                <w:sz w:val="21"/>
                <w:szCs w:val="21"/>
              </w:rPr>
              <w:t>4</w:t>
            </w:r>
            <w:r>
              <w:rPr>
                <w:rFonts w:ascii="宋体" w:hAnsi="宋体" w:hint="eastAsia"/>
                <w:sz w:val="21"/>
                <w:szCs w:val="21"/>
              </w:rPr>
              <w:t>分）</w:t>
            </w:r>
            <w:r>
              <w:rPr>
                <w:rFonts w:ascii="宋体" w:hAnsi="宋体" w:hint="eastAsia"/>
                <w:sz w:val="21"/>
                <w:szCs w:val="21"/>
              </w:rPr>
              <w:tab/>
            </w:r>
          </w:p>
          <w:p>
            <w:pPr>
              <w:rPr>
                <w:rFonts w:ascii="宋体" w:hAnsi="宋体" w:hint="eastAsia"/>
                <w:sz w:val="21"/>
                <w:szCs w:val="21"/>
              </w:rPr>
            </w:pPr>
            <w:r>
              <w:rPr>
                <w:rFonts w:ascii="宋体" w:hAnsi="宋体" w:hint="eastAsia"/>
                <w:sz w:val="21"/>
                <w:szCs w:val="21"/>
              </w:rPr>
              <w:t>监理重点的选择和对难点的解决方案,完善、合理得</w:t>
            </w:r>
            <w:r>
              <w:rPr>
                <w:rFonts w:ascii="宋体" w:hAnsi="宋体"/>
                <w:sz w:val="21"/>
                <w:szCs w:val="21"/>
              </w:rPr>
              <w:t>4</w:t>
            </w:r>
            <w:r>
              <w:rPr>
                <w:rFonts w:ascii="宋体" w:hAnsi="宋体" w:hint="eastAsia"/>
                <w:sz w:val="21"/>
                <w:szCs w:val="21"/>
              </w:rPr>
              <w:t>分；监理重点的选择和对难点的解决方案, 不完善、不合理，二者有其一得</w:t>
            </w:r>
            <w:r>
              <w:rPr>
                <w:rFonts w:ascii="宋体" w:hAnsi="宋体"/>
                <w:sz w:val="21"/>
                <w:szCs w:val="21"/>
              </w:rPr>
              <w:t>2</w:t>
            </w:r>
            <w:r>
              <w:rPr>
                <w:rFonts w:ascii="宋体" w:hAnsi="宋体" w:hint="eastAsia"/>
                <w:sz w:val="21"/>
                <w:szCs w:val="21"/>
              </w:rPr>
              <w:t>分；监理重点的选择和对难点的解决方案,不完善、不合理得0分；</w:t>
            </w:r>
          </w:p>
          <w:p>
            <w:pPr>
              <w:rPr>
                <w:rFonts w:ascii="宋体" w:hAnsi="宋体"/>
                <w:sz w:val="21"/>
                <w:szCs w:val="21"/>
              </w:rPr>
            </w:pPr>
            <w:r>
              <w:rPr>
                <w:rFonts w:ascii="宋体" w:hAnsi="宋体" w:hint="eastAsia"/>
                <w:sz w:val="21"/>
                <w:szCs w:val="21"/>
              </w:rPr>
              <w:t>7.合同及文档管理方案（</w:t>
            </w:r>
            <w:r>
              <w:rPr>
                <w:rFonts w:ascii="宋体" w:hAnsi="宋体"/>
                <w:sz w:val="21"/>
                <w:szCs w:val="21"/>
              </w:rPr>
              <w:t>3</w:t>
            </w:r>
            <w:r>
              <w:rPr>
                <w:rFonts w:ascii="宋体" w:hAnsi="宋体" w:hint="eastAsia"/>
                <w:sz w:val="21"/>
                <w:szCs w:val="21"/>
              </w:rPr>
              <w:t>分）</w:t>
            </w:r>
            <w:r>
              <w:rPr>
                <w:rFonts w:ascii="宋体" w:hAnsi="宋体" w:hint="eastAsia"/>
                <w:sz w:val="21"/>
                <w:szCs w:val="21"/>
              </w:rPr>
              <w:tab/>
            </w:r>
          </w:p>
          <w:p>
            <w:pPr>
              <w:rPr>
                <w:rFonts w:ascii="宋体" w:hAnsi="宋体" w:hint="eastAsia"/>
                <w:sz w:val="21"/>
                <w:szCs w:val="21"/>
              </w:rPr>
            </w:pPr>
            <w:r>
              <w:rPr>
                <w:rFonts w:ascii="宋体" w:hAnsi="宋体" w:hint="eastAsia"/>
                <w:sz w:val="21"/>
                <w:szCs w:val="21"/>
              </w:rPr>
              <w:t>提出完善的合同和文档管理制度及流程，有完整的合同执行跟踪计划，有完善的项目管理手段的得</w:t>
            </w:r>
            <w:r>
              <w:rPr>
                <w:rFonts w:ascii="宋体" w:hAnsi="宋体"/>
                <w:sz w:val="21"/>
                <w:szCs w:val="21"/>
              </w:rPr>
              <w:t>3</w:t>
            </w:r>
            <w:r>
              <w:rPr>
                <w:rFonts w:ascii="宋体" w:hAnsi="宋体" w:hint="eastAsia"/>
                <w:sz w:val="21"/>
                <w:szCs w:val="21"/>
              </w:rPr>
              <w:t>分；有一项不满足得</w:t>
            </w:r>
            <w:r>
              <w:rPr>
                <w:rFonts w:ascii="宋体" w:hAnsi="宋体"/>
                <w:sz w:val="21"/>
                <w:szCs w:val="21"/>
              </w:rPr>
              <w:t>1.5</w:t>
            </w:r>
            <w:r>
              <w:rPr>
                <w:rFonts w:ascii="宋体" w:hAnsi="宋体" w:hint="eastAsia"/>
                <w:sz w:val="21"/>
                <w:szCs w:val="21"/>
              </w:rPr>
              <w:t>分；都不满足得0分。</w:t>
            </w:r>
          </w:p>
          <w:p>
            <w:pPr>
              <w:rPr>
                <w:rFonts w:ascii="宋体" w:hAnsi="宋体"/>
                <w:sz w:val="21"/>
                <w:szCs w:val="21"/>
              </w:rPr>
            </w:pPr>
            <w:r>
              <w:rPr>
                <w:rFonts w:ascii="宋体" w:hAnsi="宋体" w:hint="eastAsia"/>
                <w:sz w:val="21"/>
                <w:szCs w:val="21"/>
              </w:rPr>
              <w:t>8.组织协调方案（</w:t>
            </w:r>
            <w:r>
              <w:rPr>
                <w:rFonts w:ascii="宋体" w:hAnsi="宋体"/>
                <w:sz w:val="21"/>
                <w:szCs w:val="21"/>
              </w:rPr>
              <w:t>4</w:t>
            </w:r>
            <w:r>
              <w:rPr>
                <w:rFonts w:ascii="宋体" w:hAnsi="宋体" w:hint="eastAsia"/>
                <w:sz w:val="21"/>
                <w:szCs w:val="21"/>
              </w:rPr>
              <w:t>分）</w:t>
            </w:r>
            <w:r>
              <w:rPr>
                <w:rFonts w:ascii="宋体" w:hAnsi="宋体" w:hint="eastAsia"/>
                <w:sz w:val="21"/>
                <w:szCs w:val="21"/>
              </w:rPr>
              <w:tab/>
            </w:r>
          </w:p>
          <w:p>
            <w:pPr>
              <w:rPr>
                <w:rFonts w:ascii="宋体" w:hAnsi="宋体"/>
                <w:sz w:val="21"/>
                <w:szCs w:val="21"/>
              </w:rPr>
            </w:pPr>
            <w:r>
              <w:rPr>
                <w:rFonts w:ascii="宋体" w:hAnsi="宋体" w:hint="eastAsia"/>
                <w:sz w:val="21"/>
                <w:szCs w:val="21"/>
              </w:rPr>
              <w:t>协调难点分析准确，有明确的协调工作程序和会议制度的得</w:t>
            </w:r>
            <w:r>
              <w:rPr>
                <w:rFonts w:ascii="宋体" w:hAnsi="宋体"/>
                <w:sz w:val="21"/>
                <w:szCs w:val="21"/>
              </w:rPr>
              <w:t>4</w:t>
            </w:r>
            <w:r>
              <w:rPr>
                <w:rFonts w:ascii="宋体" w:hAnsi="宋体" w:hint="eastAsia"/>
                <w:sz w:val="21"/>
                <w:szCs w:val="21"/>
              </w:rPr>
              <w:t>分；有一项不满足得</w:t>
            </w:r>
            <w:r>
              <w:rPr>
                <w:rFonts w:ascii="宋体" w:hAnsi="宋体"/>
                <w:sz w:val="21"/>
                <w:szCs w:val="21"/>
              </w:rPr>
              <w:t>2</w:t>
            </w:r>
            <w:r>
              <w:rPr>
                <w:rFonts w:ascii="宋体" w:hAnsi="宋体" w:hint="eastAsia"/>
                <w:sz w:val="21"/>
                <w:szCs w:val="21"/>
              </w:rPr>
              <w:t>分；都不满足得0分。</w:t>
            </w:r>
          </w:p>
          <w:p>
            <w:pPr>
              <w:pStyle w:val="BodyTextFirstIndent"/>
              <w:spacing w:line="240" w:lineRule="auto"/>
              <w:ind w:firstLine="0"/>
              <w:rPr>
                <w:rFonts w:ascii="Times New Roman" w:hAnsi="Times New Roman"/>
                <w:sz w:val="21"/>
                <w:szCs w:val="21"/>
              </w:rPr>
            </w:pPr>
            <w:r>
              <w:rPr>
                <w:rFonts w:ascii="Times New Roman" w:hAnsi="Times New Roman" w:hint="eastAsia"/>
                <w:sz w:val="21"/>
                <w:szCs w:val="21"/>
              </w:rPr>
              <w:t>9</w:t>
            </w:r>
            <w:r>
              <w:rPr>
                <w:rFonts w:ascii="Times New Roman" w:hAnsi="Times New Roman"/>
                <w:sz w:val="21"/>
                <w:szCs w:val="21"/>
              </w:rPr>
              <w:t>.</w:t>
            </w:r>
            <w:r>
              <w:rPr>
                <w:rFonts w:ascii="Times New Roman" w:hAnsi="Times New Roman" w:hint="eastAsia"/>
                <w:sz w:val="21"/>
                <w:szCs w:val="21"/>
              </w:rPr>
              <w:t>运行维护阶段的监理服务方案（</w:t>
            </w:r>
            <w:r>
              <w:rPr>
                <w:rFonts w:ascii="Times New Roman" w:hAnsi="Times New Roman"/>
                <w:sz w:val="21"/>
                <w:szCs w:val="21"/>
              </w:rPr>
              <w:t>3</w:t>
            </w:r>
            <w:r>
              <w:rPr>
                <w:rFonts w:ascii="Times New Roman" w:hAnsi="Times New Roman" w:hint="eastAsia"/>
                <w:sz w:val="21"/>
                <w:szCs w:val="21"/>
              </w:rPr>
              <w:t>分）</w:t>
            </w:r>
          </w:p>
          <w:p>
            <w:pPr>
              <w:rPr>
                <w:rFonts w:hint="eastAsia"/>
                <w:sz w:val="21"/>
                <w:szCs w:val="21"/>
              </w:rPr>
            </w:pPr>
            <w:r>
              <w:rPr>
                <w:rFonts w:hint="eastAsia"/>
                <w:sz w:val="21"/>
                <w:szCs w:val="21"/>
              </w:rPr>
              <w:t>运行维护阶段监理服务方案内容清晰明确且涵盖服务全面的得</w:t>
            </w:r>
            <w:r>
              <w:rPr>
                <w:sz w:val="21"/>
                <w:szCs w:val="21"/>
              </w:rPr>
              <w:t>3</w:t>
            </w:r>
            <w:r>
              <w:rPr>
                <w:rFonts w:hint="eastAsia"/>
                <w:sz w:val="21"/>
                <w:szCs w:val="21"/>
              </w:rPr>
              <w:t>分；服务方案粗略的得</w:t>
            </w:r>
            <w:r>
              <w:rPr>
                <w:sz w:val="21"/>
                <w:szCs w:val="21"/>
              </w:rPr>
              <w:t>1.5</w:t>
            </w:r>
            <w:r>
              <w:rPr>
                <w:rFonts w:hint="eastAsia"/>
                <w:sz w:val="21"/>
                <w:szCs w:val="21"/>
              </w:rPr>
              <w:t>分；不提供得0分。</w:t>
            </w:r>
          </w:p>
          <w:p>
            <w:pPr>
              <w:rPr>
                <w:rFonts w:ascii="宋体" w:hAnsi="宋体"/>
                <w:sz w:val="21"/>
                <w:szCs w:val="21"/>
              </w:rPr>
            </w:pPr>
            <w:r>
              <w:rPr>
                <w:rFonts w:ascii="宋体" w:hAnsi="宋体"/>
                <w:sz w:val="21"/>
                <w:szCs w:val="21"/>
              </w:rPr>
              <w:t>10</w:t>
            </w:r>
            <w:r>
              <w:rPr>
                <w:rFonts w:ascii="宋体" w:hAnsi="宋体" w:hint="eastAsia"/>
                <w:sz w:val="21"/>
                <w:szCs w:val="21"/>
              </w:rPr>
              <w:t>.监理服务承诺（</w:t>
            </w:r>
            <w:r>
              <w:rPr>
                <w:rFonts w:ascii="宋体" w:hAnsi="宋体"/>
                <w:sz w:val="21"/>
                <w:szCs w:val="21"/>
              </w:rPr>
              <w:t>3</w:t>
            </w:r>
            <w:r>
              <w:rPr>
                <w:rFonts w:ascii="宋体" w:hAnsi="宋体" w:hint="eastAsia"/>
                <w:sz w:val="21"/>
                <w:szCs w:val="21"/>
              </w:rPr>
              <w:t>分）</w:t>
            </w:r>
            <w:r>
              <w:rPr>
                <w:rFonts w:ascii="宋体" w:hAnsi="宋体" w:hint="eastAsia"/>
                <w:sz w:val="21"/>
                <w:szCs w:val="21"/>
              </w:rPr>
              <w:tab/>
            </w:r>
          </w:p>
          <w:p>
            <w:pPr>
              <w:rPr>
                <w:rFonts w:ascii="宋体" w:hAnsi="宋体" w:hint="eastAsia"/>
                <w:sz w:val="21"/>
                <w:szCs w:val="21"/>
              </w:rPr>
            </w:pPr>
            <w:r>
              <w:rPr>
                <w:rFonts w:ascii="宋体" w:hAnsi="宋体" w:hint="eastAsia"/>
                <w:sz w:val="21"/>
                <w:szCs w:val="21"/>
              </w:rPr>
              <w:t>投标人提供的售后服务方案和措施完整性、合理性进行评价，优得</w:t>
            </w:r>
            <w:r>
              <w:rPr>
                <w:rFonts w:ascii="宋体" w:hAnsi="宋体"/>
                <w:sz w:val="21"/>
                <w:szCs w:val="21"/>
              </w:rPr>
              <w:t>3</w:t>
            </w:r>
            <w:r>
              <w:rPr>
                <w:rFonts w:ascii="宋体" w:hAnsi="宋体" w:hint="eastAsia"/>
                <w:sz w:val="21"/>
                <w:szCs w:val="21"/>
              </w:rPr>
              <w:t>分，其它得</w:t>
            </w:r>
            <w:r>
              <w:rPr>
                <w:rFonts w:ascii="宋体" w:hAnsi="宋体"/>
                <w:sz w:val="21"/>
                <w:szCs w:val="21"/>
              </w:rPr>
              <w:t>1.5</w:t>
            </w:r>
            <w:r>
              <w:rPr>
                <w:rFonts w:ascii="宋体" w:hAnsi="宋体" w:hint="eastAsia"/>
                <w:sz w:val="21"/>
                <w:szCs w:val="21"/>
              </w:rPr>
              <w:t>分，不提供得0分。</w:t>
            </w:r>
          </w:p>
        </w:tc>
        <w:tc>
          <w:tcPr>
            <w:tcW w:w="1843" w:type="dxa"/>
            <w:tcBorders>
              <w:top w:val="single" w:sz="4" w:space="0" w:color="auto"/>
              <w:left w:val="nil"/>
              <w:right w:val="single" w:sz="4" w:space="0" w:color="auto"/>
            </w:tcBorders>
            <w:vAlign w:val="center"/>
          </w:tcPr>
          <w:p/>
        </w:tc>
      </w:tr>
      <w:tr>
        <w:tblPrEx>
          <w:tblW w:w="0" w:type="auto"/>
          <w:tblInd w:w="79" w:type="dxa"/>
          <w:tblLayout w:type="fixed"/>
          <w:tblCellMar>
            <w:top w:w="0" w:type="dxa"/>
            <w:left w:w="108" w:type="dxa"/>
            <w:bottom w:w="0" w:type="dxa"/>
            <w:right w:w="108" w:type="dxa"/>
          </w:tblCellMar>
          <w:tblLook w:val="0000"/>
        </w:tblPrEx>
        <w:trPr>
          <w:trHeight w:val="1334"/>
        </w:trPr>
        <w:tc>
          <w:tcPr>
            <w:tcW w:w="428" w:type="dxa"/>
            <w:vMerge w:val="restart"/>
            <w:tcBorders>
              <w:top w:val="nil"/>
              <w:left w:val="single" w:sz="4" w:space="0" w:color="auto"/>
              <w:right w:val="single" w:sz="4" w:space="0" w:color="auto"/>
            </w:tcBorders>
            <w:vAlign w:val="center"/>
          </w:tcPr>
          <w:p>
            <w:pPr>
              <w:jc w:val="center"/>
              <w:rPr>
                <w:rFonts w:ascii="宋体" w:hAnsi="宋体" w:hint="eastAsia"/>
                <w:sz w:val="21"/>
                <w:szCs w:val="21"/>
              </w:rPr>
            </w:pPr>
            <w:r>
              <w:rPr>
                <w:rFonts w:ascii="宋体" w:hAnsi="宋体" w:hint="eastAsia"/>
                <w:sz w:val="21"/>
                <w:szCs w:val="21"/>
              </w:rPr>
              <w:t>3</w:t>
            </w:r>
          </w:p>
        </w:tc>
        <w:tc>
          <w:tcPr>
            <w:tcW w:w="1160" w:type="dxa"/>
            <w:vMerge w:val="restart"/>
            <w:tcBorders>
              <w:top w:val="nil"/>
              <w:left w:val="nil"/>
              <w:right w:val="single" w:sz="4" w:space="0" w:color="auto"/>
            </w:tcBorders>
            <w:vAlign w:val="center"/>
          </w:tcPr>
          <w:p>
            <w:pPr>
              <w:jc w:val="center"/>
              <w:rPr>
                <w:rFonts w:ascii="宋体" w:hAnsi="宋体" w:hint="eastAsia"/>
                <w:sz w:val="21"/>
                <w:szCs w:val="21"/>
              </w:rPr>
            </w:pPr>
            <w:r>
              <w:rPr>
                <w:rFonts w:ascii="宋体" w:hAnsi="宋体" w:hint="eastAsia"/>
                <w:sz w:val="21"/>
                <w:szCs w:val="21"/>
              </w:rPr>
              <w:t>商务</w:t>
            </w:r>
          </w:p>
          <w:p>
            <w:pPr>
              <w:jc w:val="center"/>
              <w:rPr>
                <w:rFonts w:ascii="宋体" w:hAnsi="宋体" w:hint="eastAsia"/>
                <w:sz w:val="21"/>
                <w:szCs w:val="21"/>
              </w:rPr>
            </w:pPr>
            <w:r>
              <w:rPr>
                <w:rFonts w:ascii="宋体" w:hAnsi="宋体" w:hint="eastAsia"/>
                <w:sz w:val="21"/>
                <w:szCs w:val="21"/>
              </w:rPr>
              <w:t>部分</w:t>
            </w:r>
          </w:p>
          <w:p>
            <w:pPr>
              <w:jc w:val="center"/>
              <w:rPr>
                <w:rFonts w:ascii="宋体" w:hAnsi="宋体" w:hint="eastAsia"/>
                <w:sz w:val="21"/>
                <w:szCs w:val="21"/>
              </w:rPr>
            </w:pPr>
            <w:r>
              <w:rPr>
                <w:rFonts w:ascii="宋体" w:hAnsi="宋体" w:hint="eastAsia"/>
                <w:sz w:val="21"/>
                <w:szCs w:val="21"/>
              </w:rPr>
              <w:t>（</w:t>
            </w:r>
            <w:r>
              <w:rPr>
                <w:rFonts w:ascii="宋体" w:hAnsi="宋体"/>
                <w:sz w:val="21"/>
                <w:szCs w:val="21"/>
              </w:rPr>
              <w:t>45</w:t>
            </w:r>
            <w:r>
              <w:rPr>
                <w:rFonts w:ascii="宋体" w:hAnsi="宋体" w:hint="eastAsia"/>
                <w:sz w:val="21"/>
                <w:szCs w:val="21"/>
              </w:rPr>
              <w:t>%）</w:t>
            </w:r>
          </w:p>
        </w:tc>
        <w:tc>
          <w:tcPr>
            <w:tcW w:w="993" w:type="dxa"/>
            <w:tcBorders>
              <w:top w:val="nil"/>
              <w:left w:val="nil"/>
              <w:right w:val="single" w:sz="4" w:space="0" w:color="auto"/>
            </w:tcBorders>
            <w:vAlign w:val="center"/>
          </w:tcPr>
          <w:p>
            <w:pPr>
              <w:jc w:val="center"/>
              <w:rPr>
                <w:rFonts w:ascii="宋体" w:hAnsi="宋体"/>
                <w:sz w:val="21"/>
                <w:szCs w:val="21"/>
              </w:rPr>
            </w:pPr>
            <w:r>
              <w:rPr>
                <w:rFonts w:ascii="宋体" w:hAnsi="宋体" w:hint="eastAsia"/>
                <w:sz w:val="21"/>
                <w:szCs w:val="21"/>
              </w:rPr>
              <w:t>投标人实力</w:t>
            </w:r>
          </w:p>
          <w:p>
            <w:pPr>
              <w:jc w:val="center"/>
              <w:rPr>
                <w:rFonts w:ascii="宋体" w:hAnsi="宋体" w:hint="eastAsia"/>
                <w:sz w:val="21"/>
                <w:szCs w:val="21"/>
              </w:rPr>
            </w:pPr>
            <w:r>
              <w:rPr>
                <w:rFonts w:ascii="宋体" w:hAnsi="宋体" w:hint="eastAsia"/>
                <w:sz w:val="21"/>
                <w:szCs w:val="21"/>
              </w:rPr>
              <w:t>（10分）</w:t>
            </w:r>
          </w:p>
        </w:tc>
        <w:tc>
          <w:tcPr>
            <w:tcW w:w="5103" w:type="dxa"/>
            <w:tcBorders>
              <w:top w:val="single" w:sz="4" w:space="0" w:color="auto"/>
              <w:left w:val="nil"/>
              <w:bottom w:val="single" w:sz="4" w:space="0" w:color="auto"/>
              <w:right w:val="single" w:sz="4" w:space="0" w:color="auto"/>
            </w:tcBorders>
            <w:vAlign w:val="center"/>
          </w:tcPr>
          <w:p>
            <w:pPr>
              <w:spacing w:line="240" w:lineRule="atLeast"/>
              <w:ind w:left="-38"/>
              <w:rPr>
                <w:rFonts w:ascii="宋体" w:hAnsi="宋体"/>
                <w:sz w:val="21"/>
                <w:szCs w:val="21"/>
              </w:rPr>
            </w:pPr>
            <w:r>
              <w:rPr>
                <w:rFonts w:ascii="宋体" w:hAnsi="宋体" w:hint="eastAsia"/>
                <w:sz w:val="21"/>
                <w:szCs w:val="21"/>
              </w:rPr>
              <w:t>1.具有ISO9001质量管理体系、ISO14001环境管理体系、ISO</w:t>
            </w:r>
            <w:r>
              <w:rPr>
                <w:rFonts w:ascii="宋体" w:hAnsi="宋体"/>
                <w:sz w:val="21"/>
                <w:szCs w:val="21"/>
              </w:rPr>
              <w:t>4500</w:t>
            </w:r>
            <w:r>
              <w:rPr>
                <w:rFonts w:ascii="宋体" w:hAnsi="宋体" w:hint="eastAsia"/>
                <w:sz w:val="21"/>
                <w:szCs w:val="21"/>
              </w:rPr>
              <w:t>1职业健康安全管理体系、具有ISO27001信息安全管理体系、ISO20000信息技术服务管理体系证书，每项得1分，最高得5分。</w:t>
            </w:r>
          </w:p>
          <w:p>
            <w:pPr>
              <w:rPr>
                <w:rFonts w:hint="eastAsia"/>
              </w:rPr>
            </w:pPr>
            <w:r>
              <w:rPr>
                <w:rFonts w:hint="eastAsia"/>
                <w:sz w:val="21"/>
                <w:szCs w:val="21"/>
              </w:rPr>
              <w:t>2</w:t>
            </w:r>
            <w:r>
              <w:rPr>
                <w:sz w:val="21"/>
                <w:szCs w:val="21"/>
              </w:rPr>
              <w:t>.</w:t>
            </w:r>
            <w:r>
              <w:rPr>
                <w:rFonts w:hint="eastAsia"/>
                <w:sz w:val="21"/>
                <w:szCs w:val="21"/>
              </w:rPr>
              <w:t>投标人能运用企业自身监理业务管理系统、项目合同管理系统、咨询监理业务管理系统、项目档案管理系统、项目大数据系统进行项目监理的，每项得1分，最高得</w:t>
            </w:r>
            <w:r>
              <w:rPr>
                <w:sz w:val="21"/>
                <w:szCs w:val="21"/>
              </w:rPr>
              <w:t>5</w:t>
            </w:r>
            <w:r>
              <w:rPr>
                <w:rFonts w:hint="eastAsia"/>
                <w:sz w:val="21"/>
                <w:szCs w:val="21"/>
              </w:rPr>
              <w:t>分。</w:t>
            </w:r>
          </w:p>
        </w:tc>
        <w:tc>
          <w:tcPr>
            <w:tcW w:w="1843" w:type="dxa"/>
            <w:tcBorders>
              <w:top w:val="single" w:sz="4" w:space="0" w:color="auto"/>
              <w:left w:val="nil"/>
              <w:right w:val="single" w:sz="4" w:space="0" w:color="auto"/>
            </w:tcBorders>
            <w:vAlign w:val="center"/>
          </w:tcPr>
          <w:p>
            <w:pPr>
              <w:pStyle w:val="a21"/>
              <w:spacing w:line="240" w:lineRule="auto"/>
              <w:jc w:val="both"/>
              <w:rPr>
                <w:rFonts w:ascii="宋体" w:eastAsia="宋体" w:hAnsi="宋体" w:hint="eastAsia"/>
                <w:b w:val="0"/>
                <w:sz w:val="21"/>
                <w:szCs w:val="21"/>
              </w:rPr>
            </w:pPr>
            <w:r>
              <w:rPr>
                <w:rFonts w:ascii="宋体" w:eastAsia="宋体" w:hAnsi="宋体" w:hint="eastAsia"/>
                <w:b w:val="0"/>
                <w:sz w:val="21"/>
                <w:szCs w:val="21"/>
              </w:rPr>
              <w:t>提供证书复印件，加盖投标人公章。</w:t>
            </w:r>
          </w:p>
        </w:tc>
      </w:tr>
      <w:tr>
        <w:tblPrEx>
          <w:tblW w:w="0" w:type="auto"/>
          <w:tblInd w:w="79" w:type="dxa"/>
          <w:tblLayout w:type="fixed"/>
          <w:tblCellMar>
            <w:top w:w="0" w:type="dxa"/>
            <w:left w:w="108" w:type="dxa"/>
            <w:bottom w:w="0" w:type="dxa"/>
            <w:right w:w="108" w:type="dxa"/>
          </w:tblCellMar>
          <w:tblLook w:val="0000"/>
        </w:tblPrEx>
        <w:trPr>
          <w:trHeight w:val="968"/>
        </w:trPr>
        <w:tc>
          <w:tcPr>
            <w:tcW w:w="428" w:type="dxa"/>
            <w:vMerge/>
            <w:tcBorders>
              <w:left w:val="single" w:sz="4" w:space="0" w:color="auto"/>
              <w:right w:val="single" w:sz="4" w:space="0" w:color="auto"/>
            </w:tcBorders>
            <w:vAlign w:val="center"/>
          </w:tcPr>
          <w:p>
            <w:pPr>
              <w:widowControl/>
              <w:spacing w:beforeAutospacing="1" w:afterAutospacing="1"/>
              <w:jc w:val="left"/>
              <w:rPr>
                <w:rFonts w:ascii="宋体" w:hAnsi="宋体"/>
                <w:sz w:val="21"/>
                <w:szCs w:val="21"/>
              </w:rPr>
            </w:pPr>
          </w:p>
        </w:tc>
        <w:tc>
          <w:tcPr>
            <w:tcW w:w="1160" w:type="dxa"/>
            <w:vMerge/>
            <w:tcBorders>
              <w:left w:val="nil"/>
              <w:right w:val="single" w:sz="4" w:space="0" w:color="auto"/>
            </w:tcBorders>
            <w:vAlign w:val="center"/>
          </w:tcPr>
          <w:p>
            <w:pPr>
              <w:widowControl/>
              <w:spacing w:beforeAutospacing="1" w:afterAutospacing="1"/>
              <w:jc w:val="left"/>
              <w:rPr>
                <w:rFonts w:ascii="宋体" w:hAnsi="宋体"/>
                <w:sz w:val="21"/>
                <w:szCs w:val="21"/>
              </w:rPr>
            </w:pPr>
          </w:p>
        </w:tc>
        <w:tc>
          <w:tcPr>
            <w:tcW w:w="993" w:type="dxa"/>
            <w:tcBorders>
              <w:top w:val="single" w:sz="4" w:space="0" w:color="auto"/>
              <w:left w:val="nil"/>
              <w:bottom w:val="single" w:sz="4" w:space="0" w:color="auto"/>
              <w:right w:val="single" w:sz="4" w:space="0" w:color="auto"/>
            </w:tcBorders>
            <w:vAlign w:val="center"/>
          </w:tcPr>
          <w:p>
            <w:pPr>
              <w:jc w:val="center"/>
              <w:rPr>
                <w:rFonts w:ascii="宋体" w:hAnsi="宋体" w:hint="eastAsia"/>
                <w:sz w:val="21"/>
                <w:szCs w:val="21"/>
              </w:rPr>
            </w:pPr>
            <w:r>
              <w:rPr>
                <w:rFonts w:ascii="宋体" w:hAnsi="宋体" w:hint="eastAsia"/>
                <w:sz w:val="21"/>
                <w:szCs w:val="21"/>
              </w:rPr>
              <w:t>服务能力（</w:t>
            </w:r>
            <w:r>
              <w:rPr>
                <w:rFonts w:ascii="宋体" w:hAnsi="宋体"/>
                <w:sz w:val="21"/>
                <w:szCs w:val="21"/>
              </w:rPr>
              <w:t>35</w:t>
            </w:r>
            <w:r>
              <w:rPr>
                <w:rFonts w:ascii="宋体" w:hAnsi="宋体" w:hint="eastAsia"/>
                <w:sz w:val="21"/>
                <w:szCs w:val="21"/>
              </w:rPr>
              <w:t>分）</w:t>
            </w:r>
          </w:p>
        </w:tc>
        <w:tc>
          <w:tcPr>
            <w:tcW w:w="5103" w:type="dxa"/>
            <w:tcBorders>
              <w:top w:val="single" w:sz="4" w:space="0" w:color="auto"/>
              <w:left w:val="nil"/>
              <w:bottom w:val="single" w:sz="4" w:space="0" w:color="auto"/>
              <w:right w:val="single" w:sz="4" w:space="0" w:color="auto"/>
            </w:tcBorders>
            <w:vAlign w:val="center"/>
          </w:tcPr>
          <w:p>
            <w:pPr>
              <w:spacing w:line="240" w:lineRule="atLeast"/>
              <w:ind w:left="-38"/>
              <w:rPr>
                <w:rFonts w:ascii="宋体" w:hAnsi="宋体"/>
                <w:sz w:val="21"/>
                <w:szCs w:val="21"/>
              </w:rPr>
            </w:pPr>
            <w:r>
              <w:rPr>
                <w:rFonts w:ascii="宋体" w:hAnsi="宋体" w:hint="eastAsia"/>
                <w:sz w:val="21"/>
                <w:szCs w:val="21"/>
              </w:rPr>
              <w:t>1总监理工程师（2</w:t>
            </w:r>
            <w:r>
              <w:rPr>
                <w:rFonts w:ascii="宋体" w:hAnsi="宋体"/>
                <w:sz w:val="21"/>
                <w:szCs w:val="21"/>
              </w:rPr>
              <w:t>0</w:t>
            </w:r>
            <w:r>
              <w:rPr>
                <w:rFonts w:ascii="宋体" w:hAnsi="宋体" w:hint="eastAsia"/>
                <w:sz w:val="21"/>
                <w:szCs w:val="21"/>
              </w:rPr>
              <w:t>分）</w:t>
            </w:r>
          </w:p>
          <w:p>
            <w:pPr>
              <w:spacing w:line="240" w:lineRule="atLeast"/>
              <w:ind w:left="-38"/>
              <w:rPr>
                <w:rFonts w:ascii="宋体" w:hAnsi="宋体"/>
                <w:sz w:val="21"/>
                <w:szCs w:val="21"/>
              </w:rPr>
            </w:pPr>
            <w:r>
              <w:rPr>
                <w:rFonts w:ascii="宋体" w:hAnsi="宋体" w:hint="eastAsia"/>
                <w:sz w:val="21"/>
                <w:szCs w:val="21"/>
              </w:rPr>
              <w:t>拟派本项目的总监理工程师：</w:t>
            </w:r>
          </w:p>
          <w:p>
            <w:pPr>
              <w:spacing w:line="240" w:lineRule="atLeast"/>
              <w:ind w:left="-38"/>
              <w:rPr>
                <w:rFonts w:ascii="宋体" w:hAnsi="宋体"/>
                <w:sz w:val="21"/>
                <w:szCs w:val="21"/>
              </w:rPr>
            </w:pPr>
            <w:r>
              <w:rPr>
                <w:rFonts w:ascii="宋体" w:hAnsi="宋体" w:hint="eastAsia"/>
                <w:sz w:val="21"/>
                <w:szCs w:val="21"/>
              </w:rPr>
              <w:t>具有八年以上信息系统工程监理行业经验的（以信息系统监理师证书颁发时间为准）得</w:t>
            </w:r>
            <w:r>
              <w:rPr>
                <w:rFonts w:ascii="宋体" w:hAnsi="宋体"/>
                <w:sz w:val="21"/>
                <w:szCs w:val="21"/>
              </w:rPr>
              <w:t>2</w:t>
            </w:r>
            <w:r>
              <w:rPr>
                <w:rFonts w:ascii="宋体" w:hAnsi="宋体" w:hint="eastAsia"/>
                <w:sz w:val="21"/>
                <w:szCs w:val="21"/>
              </w:rPr>
              <w:t>分；</w:t>
            </w:r>
          </w:p>
          <w:p>
            <w:pPr>
              <w:spacing w:line="240" w:lineRule="atLeast"/>
              <w:ind w:left="-38"/>
              <w:rPr>
                <w:rFonts w:ascii="宋体" w:hAnsi="宋体"/>
                <w:sz w:val="21"/>
                <w:szCs w:val="21"/>
              </w:rPr>
            </w:pPr>
            <w:r>
              <w:rPr>
                <w:rFonts w:ascii="宋体" w:hAnsi="宋体" w:hint="eastAsia"/>
                <w:sz w:val="21"/>
                <w:szCs w:val="21"/>
              </w:rPr>
              <w:t>具有信息系统项目管理师证书得</w:t>
            </w:r>
            <w:r>
              <w:rPr>
                <w:rFonts w:ascii="宋体" w:hAnsi="宋体"/>
                <w:sz w:val="21"/>
                <w:szCs w:val="21"/>
              </w:rPr>
              <w:t>2</w:t>
            </w:r>
            <w:r>
              <w:rPr>
                <w:rFonts w:ascii="宋体" w:hAnsi="宋体" w:hint="eastAsia"/>
                <w:sz w:val="21"/>
                <w:szCs w:val="21"/>
              </w:rPr>
              <w:t>分；</w:t>
            </w:r>
          </w:p>
          <w:p>
            <w:pPr>
              <w:spacing w:line="240" w:lineRule="atLeast"/>
              <w:ind w:left="-38"/>
              <w:rPr>
                <w:rFonts w:ascii="宋体" w:hAnsi="宋体"/>
                <w:sz w:val="21"/>
                <w:szCs w:val="21"/>
              </w:rPr>
            </w:pPr>
            <w:r>
              <w:rPr>
                <w:rFonts w:ascii="宋体" w:hAnsi="宋体" w:hint="eastAsia"/>
                <w:sz w:val="21"/>
                <w:szCs w:val="21"/>
              </w:rPr>
              <w:t>具有</w:t>
            </w:r>
            <w:r>
              <w:rPr>
                <w:rFonts w:ascii="宋体" w:hAnsi="宋体"/>
                <w:sz w:val="21"/>
                <w:szCs w:val="21"/>
              </w:rPr>
              <w:t>ITIL V3</w:t>
            </w:r>
            <w:r>
              <w:rPr>
                <w:rFonts w:ascii="宋体" w:hAnsi="宋体" w:hint="eastAsia"/>
                <w:sz w:val="21"/>
                <w:szCs w:val="21"/>
              </w:rPr>
              <w:t>资质认证证书得</w:t>
            </w:r>
            <w:r>
              <w:rPr>
                <w:rFonts w:ascii="宋体" w:hAnsi="宋体"/>
                <w:sz w:val="21"/>
                <w:szCs w:val="21"/>
              </w:rPr>
              <w:t>5</w:t>
            </w:r>
            <w:r>
              <w:rPr>
                <w:rFonts w:ascii="宋体" w:hAnsi="宋体" w:hint="eastAsia"/>
                <w:sz w:val="21"/>
                <w:szCs w:val="21"/>
              </w:rPr>
              <w:t>分；</w:t>
            </w:r>
          </w:p>
          <w:p>
            <w:pPr>
              <w:spacing w:line="240" w:lineRule="atLeast"/>
              <w:ind w:left="-38"/>
              <w:rPr>
                <w:rFonts w:ascii="宋体" w:hAnsi="宋体"/>
                <w:sz w:val="21"/>
                <w:szCs w:val="21"/>
              </w:rPr>
            </w:pPr>
            <w:r>
              <w:rPr>
                <w:rFonts w:ascii="宋体" w:hAnsi="宋体" w:hint="eastAsia"/>
                <w:sz w:val="21"/>
                <w:szCs w:val="21"/>
              </w:rPr>
              <w:t>具有</w:t>
            </w:r>
            <w:r>
              <w:rPr>
                <w:rFonts w:ascii="宋体" w:hAnsi="宋体"/>
                <w:sz w:val="21"/>
                <w:szCs w:val="21"/>
              </w:rPr>
              <w:t>PRINCE2</w:t>
            </w:r>
            <w:r>
              <w:rPr>
                <w:rFonts w:ascii="宋体" w:hAnsi="宋体" w:hint="eastAsia"/>
                <w:sz w:val="21"/>
                <w:szCs w:val="21"/>
              </w:rPr>
              <w:t>资质认证证书得</w:t>
            </w:r>
            <w:r>
              <w:rPr>
                <w:rFonts w:ascii="宋体" w:hAnsi="宋体"/>
                <w:sz w:val="21"/>
                <w:szCs w:val="21"/>
              </w:rPr>
              <w:t>5</w:t>
            </w:r>
            <w:r>
              <w:rPr>
                <w:rFonts w:ascii="宋体" w:hAnsi="宋体" w:hint="eastAsia"/>
                <w:sz w:val="21"/>
                <w:szCs w:val="21"/>
              </w:rPr>
              <w:t>分；</w:t>
            </w:r>
          </w:p>
          <w:p>
            <w:pPr>
              <w:spacing w:line="240" w:lineRule="atLeast"/>
              <w:ind w:left="-38"/>
              <w:rPr>
                <w:rFonts w:ascii="宋体" w:hAnsi="宋体"/>
                <w:sz w:val="21"/>
                <w:szCs w:val="21"/>
              </w:rPr>
            </w:pPr>
            <w:r>
              <w:rPr>
                <w:rFonts w:ascii="宋体" w:hAnsi="宋体" w:hint="eastAsia"/>
                <w:sz w:val="21"/>
                <w:szCs w:val="21"/>
              </w:rPr>
              <w:t>具有信息安全等级保护培训证书得</w:t>
            </w:r>
            <w:r>
              <w:rPr>
                <w:rFonts w:ascii="宋体" w:hAnsi="宋体"/>
                <w:sz w:val="21"/>
                <w:szCs w:val="21"/>
              </w:rPr>
              <w:t>3</w:t>
            </w:r>
            <w:r>
              <w:rPr>
                <w:rFonts w:ascii="宋体" w:hAnsi="宋体" w:hint="eastAsia"/>
                <w:sz w:val="21"/>
                <w:szCs w:val="21"/>
              </w:rPr>
              <w:t>分；</w:t>
            </w:r>
          </w:p>
          <w:p>
            <w:pPr>
              <w:spacing w:line="240" w:lineRule="atLeast"/>
              <w:ind w:left="-38"/>
              <w:rPr>
                <w:rFonts w:ascii="宋体" w:hAnsi="宋体"/>
                <w:sz w:val="21"/>
                <w:szCs w:val="21"/>
              </w:rPr>
            </w:pPr>
            <w:r>
              <w:rPr>
                <w:rFonts w:ascii="宋体" w:hAnsi="宋体" w:hint="eastAsia"/>
                <w:sz w:val="21"/>
                <w:szCs w:val="21"/>
              </w:rPr>
              <w:t>具有</w:t>
            </w:r>
            <w:r>
              <w:rPr>
                <w:rFonts w:ascii="宋体" w:hAnsi="宋体"/>
                <w:sz w:val="21"/>
                <w:szCs w:val="21"/>
              </w:rPr>
              <w:t>IT</w:t>
            </w:r>
            <w:r>
              <w:rPr>
                <w:rFonts w:ascii="宋体" w:hAnsi="宋体" w:hint="eastAsia"/>
                <w:sz w:val="21"/>
                <w:szCs w:val="21"/>
              </w:rPr>
              <w:t>服务项目经理证书得</w:t>
            </w:r>
            <w:r>
              <w:rPr>
                <w:rFonts w:ascii="宋体" w:hAnsi="宋体"/>
                <w:sz w:val="21"/>
                <w:szCs w:val="21"/>
              </w:rPr>
              <w:t>3</w:t>
            </w:r>
            <w:r>
              <w:rPr>
                <w:rFonts w:ascii="宋体" w:hAnsi="宋体" w:hint="eastAsia"/>
                <w:sz w:val="21"/>
                <w:szCs w:val="21"/>
              </w:rPr>
              <w:t>分。</w:t>
            </w:r>
          </w:p>
          <w:p>
            <w:pPr>
              <w:spacing w:line="240" w:lineRule="atLeast"/>
              <w:ind w:left="-38"/>
              <w:rPr>
                <w:rFonts w:ascii="宋体" w:hAnsi="宋体"/>
                <w:sz w:val="21"/>
                <w:szCs w:val="21"/>
              </w:rPr>
            </w:pPr>
            <w:r>
              <w:rPr>
                <w:rFonts w:ascii="宋体" w:hAnsi="宋体" w:hint="eastAsia"/>
                <w:sz w:val="21"/>
                <w:szCs w:val="21"/>
              </w:rPr>
              <w:t>2</w:t>
            </w:r>
            <w:r>
              <w:rPr>
                <w:rFonts w:ascii="宋体" w:hAnsi="宋体"/>
                <w:sz w:val="21"/>
                <w:szCs w:val="21"/>
              </w:rPr>
              <w:t>.</w:t>
            </w:r>
            <w:r>
              <w:rPr>
                <w:rFonts w:ascii="宋体" w:hAnsi="宋体" w:hint="eastAsia"/>
                <w:sz w:val="21"/>
                <w:szCs w:val="21"/>
              </w:rPr>
              <w:t>专业监理工程师（1</w:t>
            </w:r>
            <w:r>
              <w:rPr>
                <w:rFonts w:ascii="宋体" w:hAnsi="宋体"/>
                <w:sz w:val="21"/>
                <w:szCs w:val="21"/>
              </w:rPr>
              <w:t>5</w:t>
            </w:r>
            <w:r>
              <w:rPr>
                <w:rFonts w:ascii="宋体" w:hAnsi="宋体" w:hint="eastAsia"/>
                <w:sz w:val="21"/>
                <w:szCs w:val="21"/>
              </w:rPr>
              <w:t>分）</w:t>
            </w:r>
          </w:p>
          <w:p>
            <w:pPr>
              <w:spacing w:line="240" w:lineRule="atLeast"/>
              <w:ind w:left="-38"/>
              <w:rPr>
                <w:rFonts w:ascii="宋体" w:hAnsi="宋体" w:hint="eastAsia"/>
                <w:sz w:val="21"/>
                <w:szCs w:val="21"/>
              </w:rPr>
            </w:pPr>
            <w:r>
              <w:rPr>
                <w:rFonts w:ascii="宋体" w:hAnsi="宋体" w:hint="eastAsia"/>
                <w:sz w:val="21"/>
                <w:szCs w:val="21"/>
              </w:rPr>
              <w:t>拟派本项目的专业监理工程师：</w:t>
            </w:r>
          </w:p>
          <w:p>
            <w:pPr>
              <w:spacing w:line="240" w:lineRule="atLeast"/>
              <w:ind w:left="-38"/>
              <w:rPr>
                <w:rFonts w:ascii="宋体" w:hAnsi="宋体"/>
                <w:sz w:val="21"/>
                <w:szCs w:val="21"/>
              </w:rPr>
            </w:pPr>
            <w:r>
              <w:rPr>
                <w:rFonts w:ascii="宋体" w:hAnsi="宋体" w:hint="eastAsia"/>
                <w:sz w:val="21"/>
                <w:szCs w:val="21"/>
              </w:rPr>
              <w:t>具有系统分析师证书得2分；</w:t>
            </w:r>
          </w:p>
          <w:p>
            <w:pPr>
              <w:spacing w:line="240" w:lineRule="atLeast"/>
              <w:ind w:left="-38"/>
              <w:rPr>
                <w:rFonts w:ascii="宋体" w:hAnsi="宋体"/>
                <w:sz w:val="21"/>
                <w:szCs w:val="21"/>
              </w:rPr>
            </w:pPr>
            <w:r>
              <w:rPr>
                <w:rFonts w:ascii="宋体" w:hAnsi="宋体" w:hint="eastAsia"/>
                <w:sz w:val="21"/>
                <w:szCs w:val="21"/>
              </w:rPr>
              <w:t xml:space="preserve">具有注册信息安全与业人员（CISP）证书得2分； </w:t>
            </w:r>
          </w:p>
          <w:p>
            <w:pPr>
              <w:spacing w:line="240" w:lineRule="atLeast"/>
              <w:ind w:left="-38"/>
              <w:rPr>
                <w:rFonts w:ascii="宋体" w:hAnsi="宋体"/>
                <w:sz w:val="21"/>
                <w:szCs w:val="21"/>
              </w:rPr>
            </w:pPr>
            <w:r>
              <w:rPr>
                <w:rFonts w:ascii="宋体" w:hAnsi="宋体" w:hint="eastAsia"/>
                <w:sz w:val="21"/>
                <w:szCs w:val="21"/>
              </w:rPr>
              <w:t>具有管理咨询师证书得</w:t>
            </w:r>
            <w:r>
              <w:rPr>
                <w:rFonts w:ascii="宋体" w:hAnsi="宋体"/>
                <w:sz w:val="21"/>
                <w:szCs w:val="21"/>
              </w:rPr>
              <w:t>3</w:t>
            </w:r>
            <w:r>
              <w:rPr>
                <w:rFonts w:ascii="宋体" w:hAnsi="宋体" w:hint="eastAsia"/>
                <w:sz w:val="21"/>
                <w:szCs w:val="21"/>
              </w:rPr>
              <w:t xml:space="preserve">分； </w:t>
            </w:r>
          </w:p>
          <w:p>
            <w:pPr>
              <w:spacing w:line="240" w:lineRule="atLeast"/>
              <w:ind w:left="-38"/>
              <w:rPr>
                <w:rFonts w:ascii="宋体" w:hAnsi="宋体"/>
                <w:sz w:val="21"/>
                <w:szCs w:val="21"/>
              </w:rPr>
            </w:pPr>
            <w:r>
              <w:rPr>
                <w:rFonts w:ascii="宋体" w:hAnsi="宋体" w:hint="eastAsia"/>
                <w:sz w:val="21"/>
                <w:szCs w:val="21"/>
              </w:rPr>
              <w:t>具有信息系统项目管理师证书得</w:t>
            </w:r>
            <w:r>
              <w:rPr>
                <w:rFonts w:ascii="宋体" w:hAnsi="宋体"/>
                <w:sz w:val="21"/>
                <w:szCs w:val="21"/>
              </w:rPr>
              <w:t>2</w:t>
            </w:r>
            <w:r>
              <w:rPr>
                <w:rFonts w:ascii="宋体" w:hAnsi="宋体" w:hint="eastAsia"/>
                <w:sz w:val="21"/>
                <w:szCs w:val="21"/>
              </w:rPr>
              <w:t xml:space="preserve">分； </w:t>
            </w:r>
          </w:p>
          <w:p>
            <w:pPr>
              <w:spacing w:line="240" w:lineRule="atLeast"/>
              <w:ind w:left="-38"/>
              <w:rPr>
                <w:rFonts w:ascii="宋体" w:hAnsi="宋体"/>
                <w:sz w:val="21"/>
                <w:szCs w:val="21"/>
              </w:rPr>
            </w:pPr>
            <w:r>
              <w:rPr>
                <w:rFonts w:ascii="宋体" w:hAnsi="宋体" w:hint="eastAsia"/>
                <w:sz w:val="21"/>
                <w:szCs w:val="21"/>
              </w:rPr>
              <w:t xml:space="preserve">具有系统集成项目管理工程师证书得2分； </w:t>
            </w:r>
          </w:p>
          <w:p>
            <w:pPr>
              <w:spacing w:line="240" w:lineRule="atLeast"/>
              <w:ind w:left="-38"/>
              <w:rPr>
                <w:rFonts w:ascii="宋体" w:hAnsi="宋体"/>
                <w:sz w:val="21"/>
                <w:szCs w:val="21"/>
              </w:rPr>
            </w:pPr>
            <w:r>
              <w:rPr>
                <w:rFonts w:ascii="宋体" w:hAnsi="宋体" w:hint="eastAsia"/>
                <w:sz w:val="21"/>
                <w:szCs w:val="21"/>
              </w:rPr>
              <w:t>具有</w:t>
            </w:r>
            <w:r>
              <w:rPr>
                <w:rFonts w:ascii="宋体" w:hAnsi="宋体"/>
                <w:sz w:val="21"/>
                <w:szCs w:val="21"/>
              </w:rPr>
              <w:t>软件工程造价师</w:t>
            </w:r>
            <w:r>
              <w:rPr>
                <w:rFonts w:ascii="宋体" w:hAnsi="宋体" w:hint="eastAsia"/>
                <w:sz w:val="21"/>
                <w:szCs w:val="21"/>
              </w:rPr>
              <w:t>的得2分 ；</w:t>
            </w:r>
          </w:p>
          <w:p>
            <w:pPr>
              <w:spacing w:line="240" w:lineRule="atLeast"/>
              <w:ind w:left="-38"/>
              <w:rPr>
                <w:rFonts w:ascii="宋体" w:hAnsi="宋体" w:hint="eastAsia"/>
                <w:sz w:val="21"/>
                <w:szCs w:val="21"/>
              </w:rPr>
            </w:pPr>
            <w:r>
              <w:rPr>
                <w:rFonts w:ascii="宋体" w:hAnsi="宋体" w:hint="eastAsia"/>
                <w:sz w:val="21"/>
                <w:szCs w:val="21"/>
              </w:rPr>
              <w:t>咨询工程师（投资）的得2分。</w:t>
            </w:r>
          </w:p>
        </w:tc>
        <w:tc>
          <w:tcPr>
            <w:tcW w:w="1843" w:type="dxa"/>
            <w:tcBorders>
              <w:top w:val="single" w:sz="4" w:space="0" w:color="auto"/>
              <w:left w:val="nil"/>
              <w:bottom w:val="single" w:sz="4" w:space="0" w:color="auto"/>
              <w:right w:val="single" w:sz="4" w:space="0" w:color="auto"/>
            </w:tcBorders>
            <w:vAlign w:val="center"/>
          </w:tcPr>
          <w:p>
            <w:pPr>
              <w:pStyle w:val="a21"/>
              <w:autoSpaceDE w:val="0"/>
              <w:adjustRightInd w:val="0"/>
              <w:snapToGrid w:val="0"/>
              <w:spacing w:line="240" w:lineRule="auto"/>
              <w:jc w:val="left"/>
              <w:rPr>
                <w:rFonts w:ascii="宋体" w:eastAsia="宋体" w:hAnsi="宋体" w:hint="eastAsia"/>
                <w:b w:val="0"/>
                <w:sz w:val="21"/>
                <w:szCs w:val="21"/>
              </w:rPr>
            </w:pPr>
            <w:r>
              <w:rPr>
                <w:rFonts w:ascii="宋体" w:eastAsia="宋体" w:hAnsi="宋体" w:hint="eastAsia"/>
                <w:b w:val="0"/>
                <w:sz w:val="21"/>
                <w:szCs w:val="21"/>
              </w:rPr>
              <w:t>提供人员相关证书复印件、投标人为其缴纳的2</w:t>
            </w:r>
            <w:r>
              <w:rPr>
                <w:rFonts w:ascii="宋体" w:eastAsia="宋体" w:hAnsi="宋体"/>
                <w:b w:val="0"/>
                <w:sz w:val="21"/>
                <w:szCs w:val="21"/>
              </w:rPr>
              <w:t>021</w:t>
            </w:r>
            <w:r>
              <w:rPr>
                <w:rFonts w:ascii="宋体" w:eastAsia="宋体" w:hAnsi="宋体" w:hint="eastAsia"/>
                <w:b w:val="0"/>
                <w:sz w:val="21"/>
                <w:szCs w:val="21"/>
              </w:rPr>
              <w:t>年任意月份社保证明复印件，加盖投标人公章。</w:t>
            </w:r>
          </w:p>
        </w:tc>
      </w:tr>
    </w:tbl>
    <w:p>
      <w:pPr>
        <w:snapToGrid w:val="0"/>
        <w:spacing w:line="360" w:lineRule="auto"/>
        <w:ind w:firstLine="465"/>
        <w:rPr>
          <w:rFonts w:ascii="宋体" w:hAnsi="宋体" w:hint="eastAsia"/>
          <w:sz w:val="24"/>
          <w:szCs w:val="24"/>
        </w:rPr>
        <w:sectPr>
          <w:headerReference w:type="default" r:id="rId61"/>
          <w:footerReference w:type="even" r:id="rId62"/>
          <w:footerReference w:type="default" r:id="rId63"/>
          <w:headerReference w:type="first" r:id="rId64"/>
          <w:type w:val="nextPage"/>
          <w:pgSz w:w="11907" w:h="16840"/>
          <w:pgMar w:top="1134" w:right="1191" w:bottom="1134" w:left="1191" w:header="851" w:footer="992" w:gutter="0"/>
          <w:pgNumType w:fmt="numberInDash" w:start="14"/>
          <w:cols w:space="708"/>
          <w:titlePg w:val="0"/>
          <w:docGrid w:linePitch="380" w:charSpace="-5735"/>
        </w:sectPr>
      </w:pPr>
      <w:r>
        <w:rPr>
          <w:rFonts w:ascii="宋体" w:hAnsi="宋体" w:hint="eastAsia"/>
          <w:b/>
          <w:sz w:val="24"/>
          <w:szCs w:val="24"/>
        </w:rPr>
        <w:t>说明：</w:t>
      </w:r>
      <w:r>
        <w:rPr>
          <w:rFonts w:ascii="宋体" w:hAnsi="宋体" w:hint="eastAsia"/>
          <w:sz w:val="24"/>
          <w:szCs w:val="24"/>
        </w:rPr>
        <w:t>评标委员会认为，排名在前面的中标候选人的投标报价或者某些分项报价明显不合理或者低于成本，有可能影响服务质量和不能诚信履约的，将要求其在规定的期限内提供书面文件予以解释说明，并提交相关证明材料；否则，评标委员会可以取消该中标候选人资格，按顺序由排在后一位的中标候选人递补，以此类推。</w:t>
      </w:r>
    </w:p>
    <w:p>
      <w:pPr>
        <w:snapToGrid w:val="0"/>
        <w:spacing w:line="360" w:lineRule="auto"/>
        <w:ind w:firstLine="465"/>
        <w:rPr>
          <w:rFonts w:ascii="宋体" w:hAnsi="宋体" w:hint="eastAsia"/>
          <w:sz w:val="24"/>
          <w:szCs w:val="24"/>
        </w:rPr>
      </w:pPr>
      <w:r>
        <w:rPr>
          <w:rFonts w:ascii="宋体" w:hAnsi="宋体" w:hint="eastAsia"/>
          <w:sz w:val="24"/>
          <w:szCs w:val="24"/>
        </w:rPr>
        <w:t>（二）关于小微企业报价扣除比例说明</w:t>
      </w:r>
    </w:p>
    <w:p>
      <w:pPr>
        <w:snapToGrid w:val="0"/>
        <w:spacing w:line="360" w:lineRule="auto"/>
        <w:ind w:firstLine="465"/>
        <w:rPr>
          <w:rFonts w:ascii="宋体" w:hAnsi="宋体" w:hint="eastAsia"/>
          <w:sz w:val="24"/>
          <w:szCs w:val="24"/>
        </w:rPr>
      </w:pPr>
      <w:r>
        <w:rPr>
          <w:rFonts w:ascii="宋体" w:hAnsi="宋体" w:hint="eastAsia"/>
          <w:sz w:val="24"/>
          <w:szCs w:val="24"/>
        </w:rPr>
        <w:t>1.按《关于印发&lt;政府采购促进中小企业发展管理办法&gt;的通知》（财库〔2020〕46号）之规定，在政府采购活动中，投标人提供的货物、工程或者服务符合下列情形的，享受本办法规定的中小企业扶持政策：</w:t>
      </w:r>
    </w:p>
    <w:p>
      <w:pPr>
        <w:snapToGrid w:val="0"/>
        <w:spacing w:line="360" w:lineRule="auto"/>
        <w:ind w:firstLine="465"/>
        <w:rPr>
          <w:rFonts w:ascii="宋体" w:hAnsi="宋体" w:hint="eastAsia"/>
          <w:sz w:val="24"/>
          <w:szCs w:val="24"/>
        </w:rPr>
      </w:pPr>
      <w:r>
        <w:rPr>
          <w:rFonts w:ascii="宋体" w:hAnsi="宋体" w:hint="eastAsia"/>
          <w:sz w:val="24"/>
          <w:szCs w:val="24"/>
        </w:rPr>
        <w:t>（1）在货物采购项目中，货物由中小企业制造，即货物由中小企业生产且使用该中小企业商号或者注册商标。投标人提供的货物既有中小企业制造货物，也有大型企业制造货物的，不享受本办法规定的中小企业扶持政策；</w:t>
      </w:r>
    </w:p>
    <w:p>
      <w:pPr>
        <w:snapToGrid w:val="0"/>
        <w:spacing w:line="360" w:lineRule="auto"/>
        <w:ind w:firstLine="465"/>
        <w:rPr>
          <w:rFonts w:ascii="宋体" w:hAnsi="宋体" w:hint="eastAsia"/>
          <w:sz w:val="24"/>
          <w:szCs w:val="24"/>
        </w:rPr>
      </w:pPr>
      <w:r>
        <w:rPr>
          <w:rFonts w:ascii="宋体" w:hAnsi="宋体" w:hint="eastAsia"/>
          <w:sz w:val="24"/>
          <w:szCs w:val="24"/>
        </w:rPr>
        <w:t>（2）在工程采购项目中，工程由中小企业承建，即工程施工单位为中小企业；</w:t>
      </w:r>
    </w:p>
    <w:p>
      <w:pPr>
        <w:snapToGrid w:val="0"/>
        <w:spacing w:line="360" w:lineRule="auto"/>
        <w:ind w:firstLine="465"/>
        <w:rPr>
          <w:rFonts w:ascii="宋体" w:hAnsi="宋体" w:hint="eastAsia"/>
          <w:sz w:val="24"/>
          <w:szCs w:val="24"/>
        </w:rPr>
      </w:pPr>
      <w:r>
        <w:rPr>
          <w:rFonts w:ascii="宋体" w:hAnsi="宋体" w:hint="eastAsia"/>
          <w:sz w:val="24"/>
          <w:szCs w:val="24"/>
        </w:rPr>
        <w:t>（3）在服务采购项目中，服务由中小企业承接，即提供服务的人员为中小企业依照《中华人民共和国劳动民法典》订立劳动合同的从业人员。</w:t>
      </w:r>
    </w:p>
    <w:p>
      <w:pPr>
        <w:snapToGrid w:val="0"/>
        <w:spacing w:line="360" w:lineRule="auto"/>
        <w:ind w:firstLine="465"/>
        <w:rPr>
          <w:rFonts w:ascii="宋体" w:hAnsi="宋体" w:hint="eastAsia"/>
          <w:sz w:val="24"/>
          <w:szCs w:val="24"/>
        </w:rPr>
      </w:pPr>
      <w:r>
        <w:rPr>
          <w:rFonts w:ascii="宋体" w:hAnsi="宋体" w:hint="eastAsia"/>
          <w:sz w:val="24"/>
          <w:szCs w:val="24"/>
        </w:rPr>
        <w:t>2.对小微型企业给予</w:t>
      </w:r>
      <w:r>
        <w:rPr>
          <w:rFonts w:ascii="宋体" w:hAnsi="宋体"/>
          <w:sz w:val="24"/>
          <w:szCs w:val="24"/>
          <w:u w:val="single"/>
        </w:rPr>
        <w:t xml:space="preserve"> 10 </w:t>
      </w:r>
      <w:r>
        <w:rPr>
          <w:rFonts w:ascii="宋体" w:hAnsi="宋体" w:hint="eastAsia"/>
          <w:sz w:val="24"/>
          <w:szCs w:val="24"/>
        </w:rPr>
        <w:t>%的扣除，以扣除后的报价参与评审。</w:t>
      </w:r>
    </w:p>
    <w:p>
      <w:pPr>
        <w:snapToGrid w:val="0"/>
        <w:spacing w:line="360" w:lineRule="auto"/>
        <w:ind w:firstLine="465"/>
        <w:rPr>
          <w:rFonts w:ascii="宋体" w:hAnsi="宋体" w:hint="eastAsia"/>
          <w:sz w:val="24"/>
          <w:szCs w:val="24"/>
        </w:rPr>
      </w:pPr>
      <w:r>
        <w:rPr>
          <w:rFonts w:ascii="宋体" w:hAnsi="宋体" w:hint="eastAsia"/>
          <w:sz w:val="24"/>
          <w:szCs w:val="24"/>
        </w:rPr>
        <w:t>3.监狱企业、残疾人福利性单位视同小型、微型企业。</w:t>
      </w:r>
    </w:p>
    <w:p>
      <w:pPr>
        <w:pStyle w:val="Heading2"/>
        <w:ind w:firstLine="480" w:firstLineChars="200"/>
        <w:jc w:val="left"/>
        <w:rPr>
          <w:rFonts w:hint="eastAsia"/>
          <w:b/>
          <w:sz w:val="24"/>
        </w:rPr>
      </w:pPr>
      <w:bookmarkStart w:id="52" w:name="_Toc492721018"/>
      <w:bookmarkStart w:id="53" w:name="_Toc93908324"/>
      <w:r>
        <w:rPr>
          <w:rFonts w:hint="eastAsia"/>
          <w:b/>
          <w:sz w:val="24"/>
        </w:rPr>
        <w:t>四、无效投标条款</w:t>
      </w:r>
      <w:bookmarkEnd w:id="52"/>
      <w:bookmarkEnd w:id="53"/>
    </w:p>
    <w:p>
      <w:pPr>
        <w:snapToGrid w:val="0"/>
        <w:spacing w:line="360" w:lineRule="auto"/>
        <w:ind w:firstLine="480" w:firstLineChars="200"/>
        <w:rPr>
          <w:rFonts w:ascii="宋体" w:hAnsi="宋体" w:hint="eastAsia"/>
          <w:sz w:val="24"/>
          <w:szCs w:val="24"/>
        </w:rPr>
      </w:pPr>
      <w:r>
        <w:rPr>
          <w:rFonts w:ascii="宋体" w:hAnsi="宋体" w:hint="eastAsia"/>
          <w:sz w:val="24"/>
          <w:szCs w:val="24"/>
        </w:rPr>
        <w:t>投标人或其投标文件出现下列情况之一者，应为无效投标：</w:t>
      </w:r>
    </w:p>
    <w:p>
      <w:pPr>
        <w:snapToGrid w:val="0"/>
        <w:spacing w:line="360" w:lineRule="auto"/>
        <w:ind w:firstLine="480" w:firstLineChars="200"/>
        <w:rPr>
          <w:rFonts w:ascii="宋体" w:hAnsi="宋体" w:hint="eastAsia"/>
          <w:sz w:val="24"/>
          <w:szCs w:val="24"/>
        </w:rPr>
      </w:pPr>
      <w:r>
        <w:rPr>
          <w:rFonts w:ascii="宋体" w:hAnsi="宋体" w:hint="eastAsia"/>
          <w:sz w:val="24"/>
          <w:szCs w:val="24"/>
        </w:rPr>
        <w:t>1.未按照招标文件的规定提交投标保证金的；</w:t>
      </w:r>
    </w:p>
    <w:p>
      <w:pPr>
        <w:snapToGrid w:val="0"/>
        <w:spacing w:line="360" w:lineRule="auto"/>
        <w:ind w:firstLine="480" w:firstLineChars="200"/>
        <w:rPr>
          <w:rFonts w:ascii="宋体" w:hAnsi="宋体" w:hint="eastAsia"/>
          <w:sz w:val="24"/>
          <w:szCs w:val="24"/>
        </w:rPr>
      </w:pPr>
      <w:r>
        <w:rPr>
          <w:rFonts w:ascii="宋体" w:hAnsi="宋体" w:hint="eastAsia"/>
          <w:sz w:val="24"/>
          <w:szCs w:val="24"/>
        </w:rPr>
        <w:t>2.投标文件未按招标文件要求签署、盖章的；</w:t>
      </w:r>
    </w:p>
    <w:p>
      <w:pPr>
        <w:snapToGrid w:val="0"/>
        <w:spacing w:line="360" w:lineRule="auto"/>
        <w:ind w:firstLine="480" w:firstLineChars="200"/>
        <w:rPr>
          <w:rFonts w:ascii="宋体" w:hAnsi="宋体" w:hint="eastAsia"/>
          <w:sz w:val="24"/>
          <w:szCs w:val="24"/>
        </w:rPr>
      </w:pPr>
      <w:r>
        <w:rPr>
          <w:rFonts w:ascii="宋体" w:hAnsi="宋体" w:hint="eastAsia"/>
          <w:sz w:val="24"/>
          <w:szCs w:val="24"/>
        </w:rPr>
        <w:t>3.不具备招标文件中规定的资格要求的；</w:t>
      </w:r>
    </w:p>
    <w:p>
      <w:pPr>
        <w:snapToGrid w:val="0"/>
        <w:spacing w:line="360" w:lineRule="auto"/>
        <w:ind w:firstLine="480" w:firstLineChars="200"/>
        <w:rPr>
          <w:rFonts w:ascii="宋体" w:hAnsi="宋体" w:hint="eastAsia"/>
          <w:sz w:val="24"/>
          <w:szCs w:val="24"/>
        </w:rPr>
      </w:pPr>
      <w:r>
        <w:rPr>
          <w:rFonts w:ascii="宋体" w:hAnsi="宋体" w:hint="eastAsia"/>
          <w:sz w:val="24"/>
          <w:szCs w:val="24"/>
        </w:rPr>
        <w:t>4.报价超过招标文件中规定的预算金额或者最高限价的；</w:t>
      </w:r>
    </w:p>
    <w:p>
      <w:pPr>
        <w:snapToGrid w:val="0"/>
        <w:spacing w:line="360" w:lineRule="auto"/>
        <w:ind w:firstLine="480" w:firstLineChars="200"/>
        <w:rPr>
          <w:rFonts w:ascii="宋体" w:hAnsi="宋体" w:hint="eastAsia"/>
          <w:sz w:val="24"/>
          <w:szCs w:val="24"/>
        </w:rPr>
      </w:pPr>
      <w:r>
        <w:rPr>
          <w:rFonts w:ascii="宋体" w:hAnsi="宋体" w:hint="eastAsia"/>
          <w:sz w:val="24"/>
          <w:szCs w:val="24"/>
        </w:rPr>
        <w:t>5.投标文件含有采购人不能接受的附加条件的；</w:t>
      </w:r>
    </w:p>
    <w:p>
      <w:pPr>
        <w:snapToGrid w:val="0"/>
        <w:spacing w:line="360" w:lineRule="auto"/>
        <w:ind w:firstLine="480" w:firstLineChars="200"/>
        <w:rPr>
          <w:rFonts w:ascii="宋体" w:hAnsi="宋体" w:hint="eastAsia"/>
          <w:sz w:val="24"/>
          <w:szCs w:val="24"/>
        </w:rPr>
      </w:pPr>
      <w:r>
        <w:rPr>
          <w:rFonts w:ascii="宋体" w:hAnsi="宋体" w:hint="eastAsia"/>
          <w:sz w:val="24"/>
          <w:szCs w:val="24"/>
        </w:rPr>
        <w:t>6.投标人串通投标的；</w:t>
      </w:r>
    </w:p>
    <w:p>
      <w:pPr>
        <w:snapToGrid w:val="0"/>
        <w:spacing w:line="360" w:lineRule="auto"/>
        <w:ind w:firstLine="480" w:firstLineChars="200"/>
        <w:rPr>
          <w:rFonts w:ascii="宋体" w:hAnsi="宋体" w:hint="eastAsia"/>
          <w:sz w:val="24"/>
          <w:szCs w:val="24"/>
        </w:rPr>
      </w:pPr>
      <w:r>
        <w:rPr>
          <w:rFonts w:ascii="宋体" w:hAnsi="宋体" w:hint="eastAsia"/>
          <w:sz w:val="24"/>
          <w:szCs w:val="24"/>
        </w:rPr>
        <w:t>7.</w:t>
      </w:r>
      <w:r>
        <w:rPr>
          <w:rStyle w:val="CommentReference"/>
          <w:rFonts w:ascii="宋体" w:hAnsi="宋体" w:cs="仿宋" w:hint="eastAsia"/>
          <w:sz w:val="24"/>
          <w:szCs w:val="24"/>
        </w:rPr>
        <w:t>投标人组成联合体投标的</w:t>
      </w:r>
      <w:r>
        <w:rPr>
          <w:rFonts w:ascii="宋体" w:hAnsi="宋体" w:cs="仿宋" w:hint="eastAsia"/>
          <w:sz w:val="24"/>
          <w:szCs w:val="24"/>
        </w:rPr>
        <w:t>（</w:t>
      </w:r>
      <w:r>
        <w:rPr>
          <w:rFonts w:ascii="宋体" w:hAnsi="宋体" w:cs="仿宋" w:hint="eastAsia"/>
          <w:b/>
          <w:sz w:val="24"/>
          <w:szCs w:val="24"/>
        </w:rPr>
        <w:t>拒绝联合体投标时适用</w:t>
      </w:r>
      <w:r>
        <w:rPr>
          <w:rFonts w:ascii="宋体" w:hAnsi="宋体" w:cs="仿宋" w:hint="eastAsia"/>
          <w:sz w:val="24"/>
          <w:szCs w:val="24"/>
        </w:rPr>
        <w:t>）；</w:t>
      </w:r>
    </w:p>
    <w:p>
      <w:pPr>
        <w:snapToGrid w:val="0"/>
        <w:spacing w:line="360" w:lineRule="auto"/>
        <w:ind w:firstLine="480" w:firstLineChars="200"/>
        <w:rPr>
          <w:rFonts w:ascii="宋体" w:hAnsi="宋体" w:hint="eastAsia"/>
          <w:sz w:val="24"/>
          <w:szCs w:val="24"/>
        </w:rPr>
      </w:pPr>
      <w:r>
        <w:rPr>
          <w:rFonts w:ascii="宋体" w:hAnsi="宋体" w:hint="eastAsia"/>
          <w:sz w:val="24"/>
          <w:szCs w:val="24"/>
        </w:rPr>
        <w:t>8.法律、法规和招标文件规定的其他无效情形。</w:t>
      </w:r>
    </w:p>
    <w:p>
      <w:pPr>
        <w:pStyle w:val="Heading2"/>
        <w:ind w:firstLine="480" w:firstLineChars="200"/>
        <w:jc w:val="left"/>
        <w:rPr>
          <w:rFonts w:hint="eastAsia"/>
          <w:b/>
          <w:sz w:val="24"/>
        </w:rPr>
      </w:pPr>
      <w:bookmarkStart w:id="54" w:name="_Toc492721019"/>
      <w:bookmarkStart w:id="55" w:name="_Toc93908325"/>
      <w:r>
        <w:rPr>
          <w:rFonts w:hint="eastAsia"/>
          <w:b/>
          <w:sz w:val="24"/>
        </w:rPr>
        <w:t>五、废标条款</w:t>
      </w:r>
      <w:bookmarkEnd w:id="54"/>
      <w:bookmarkEnd w:id="55"/>
    </w:p>
    <w:p>
      <w:pPr>
        <w:snapToGrid w:val="0"/>
        <w:spacing w:line="360" w:lineRule="auto"/>
        <w:ind w:firstLine="480" w:firstLineChars="200"/>
        <w:rPr>
          <w:rFonts w:ascii="宋体" w:hAnsi="宋体" w:hint="eastAsia"/>
          <w:sz w:val="24"/>
          <w:szCs w:val="24"/>
        </w:rPr>
      </w:pPr>
      <w:r>
        <w:rPr>
          <w:rFonts w:ascii="宋体" w:hAnsi="宋体" w:hint="eastAsia"/>
          <w:sz w:val="24"/>
          <w:szCs w:val="24"/>
        </w:rPr>
        <w:t>评标委员会评审时出现以下情况之一的，应予废标：</w:t>
      </w:r>
    </w:p>
    <w:p>
      <w:pPr>
        <w:snapToGrid w:val="0"/>
        <w:spacing w:line="360" w:lineRule="auto"/>
        <w:ind w:firstLine="480" w:firstLineChars="200"/>
        <w:rPr>
          <w:rFonts w:ascii="宋体" w:hAnsi="宋体" w:hint="eastAsia"/>
          <w:sz w:val="24"/>
          <w:szCs w:val="24"/>
        </w:rPr>
      </w:pPr>
      <w:r>
        <w:rPr>
          <w:rFonts w:ascii="宋体" w:hAnsi="宋体" w:hint="eastAsia"/>
          <w:sz w:val="24"/>
          <w:szCs w:val="24"/>
        </w:rPr>
        <w:t>1.符合专业条件的投标人或者对招标文件作实质响应的投标人不足三家的；</w:t>
      </w:r>
    </w:p>
    <w:p>
      <w:pPr>
        <w:snapToGrid w:val="0"/>
        <w:spacing w:line="360" w:lineRule="auto"/>
        <w:ind w:firstLine="480" w:firstLineChars="200"/>
        <w:rPr>
          <w:rFonts w:ascii="宋体" w:hAnsi="宋体" w:hint="eastAsia"/>
          <w:sz w:val="24"/>
          <w:szCs w:val="24"/>
        </w:rPr>
      </w:pPr>
      <w:r>
        <w:rPr>
          <w:rFonts w:ascii="宋体" w:hAnsi="宋体" w:hint="eastAsia"/>
          <w:sz w:val="24"/>
          <w:szCs w:val="24"/>
        </w:rPr>
        <w:t>2.投标人的报价均超过了采购预算，采购人不能支付的；</w:t>
      </w:r>
    </w:p>
    <w:p>
      <w:pPr>
        <w:snapToGrid w:val="0"/>
        <w:spacing w:line="360" w:lineRule="auto"/>
        <w:ind w:firstLine="480" w:firstLineChars="200"/>
        <w:rPr>
          <w:rFonts w:ascii="宋体" w:hAnsi="宋体" w:hint="eastAsia"/>
          <w:sz w:val="24"/>
          <w:szCs w:val="24"/>
        </w:rPr>
      </w:pPr>
      <w:r>
        <w:rPr>
          <w:rFonts w:ascii="宋体" w:hAnsi="宋体" w:hint="eastAsia"/>
          <w:sz w:val="24"/>
          <w:szCs w:val="24"/>
        </w:rPr>
        <w:t>3.出现影响采购公正的违法、违规行为的；</w:t>
      </w:r>
    </w:p>
    <w:p>
      <w:pPr>
        <w:snapToGrid w:val="0"/>
        <w:spacing w:line="360" w:lineRule="auto"/>
        <w:ind w:firstLine="480" w:firstLineChars="200"/>
        <w:rPr>
          <w:rFonts w:ascii="宋体" w:hAnsi="宋体" w:hint="eastAsia"/>
          <w:sz w:val="24"/>
          <w:szCs w:val="24"/>
        </w:rPr>
      </w:pPr>
      <w:r>
        <w:rPr>
          <w:rFonts w:ascii="宋体" w:hAnsi="宋体" w:hint="eastAsia"/>
          <w:sz w:val="24"/>
          <w:szCs w:val="24"/>
        </w:rPr>
        <w:t>4.因重大变故，采购任务取消的。</w:t>
      </w:r>
    </w:p>
    <w:p>
      <w:pPr>
        <w:snapToGrid w:val="0"/>
        <w:spacing w:line="360" w:lineRule="auto"/>
        <w:ind w:firstLine="480" w:firstLineChars="200"/>
        <w:rPr>
          <w:rFonts w:ascii="宋体" w:hAnsi="宋体" w:hint="eastAsia"/>
          <w:sz w:val="24"/>
          <w:szCs w:val="24"/>
        </w:rPr>
        <w:sectPr>
          <w:headerReference w:type="default" r:id="rId65"/>
          <w:footerReference w:type="even" r:id="rId66"/>
          <w:footerReference w:type="default" r:id="rId67"/>
          <w:headerReference w:type="first" r:id="rId68"/>
          <w:type w:val="nextPage"/>
          <w:pgSz w:w="11907" w:h="16840"/>
          <w:pgMar w:top="1134" w:right="1191" w:bottom="1134" w:left="1191" w:header="851" w:footer="992" w:gutter="0"/>
          <w:pgNumType w:fmt="numberInDash" w:start="15"/>
          <w:cols w:space="708"/>
          <w:titlePg w:val="0"/>
          <w:docGrid w:linePitch="380" w:charSpace="-5735"/>
        </w:sectPr>
      </w:pPr>
      <w:r>
        <w:rPr>
          <w:rFonts w:ascii="宋体" w:hAnsi="宋体" w:hint="eastAsia"/>
          <w:sz w:val="24"/>
          <w:szCs w:val="24"/>
        </w:rPr>
        <w:t>废标后，除采购任务取消情形外，应当重新组织采购。</w:t>
      </w:r>
    </w:p>
    <w:p>
      <w:pPr>
        <w:pStyle w:val="Heading2"/>
        <w:pageBreakBefore/>
        <w:adjustRightInd/>
        <w:snapToGrid/>
        <w:spacing w:before="260" w:after="260"/>
        <w:jc w:val="center"/>
        <w:rPr>
          <w:rFonts w:hint="eastAsia"/>
          <w:b/>
        </w:rPr>
      </w:pPr>
      <w:bookmarkStart w:id="56" w:name="_Toc93908326"/>
      <w:r>
        <w:rPr>
          <w:rFonts w:hint="eastAsia"/>
          <w:b/>
          <w:sz w:val="44"/>
          <w:szCs w:val="44"/>
        </w:rPr>
        <w:t>第五篇  投标人须知</w:t>
      </w:r>
      <w:bookmarkEnd w:id="56"/>
    </w:p>
    <w:p>
      <w:pPr>
        <w:pStyle w:val="Heading2"/>
        <w:ind w:firstLine="480" w:firstLineChars="200"/>
        <w:jc w:val="left"/>
        <w:rPr>
          <w:rFonts w:hint="eastAsia"/>
          <w:b/>
          <w:sz w:val="24"/>
        </w:rPr>
      </w:pPr>
      <w:bookmarkStart w:id="57" w:name="_Toc93908327"/>
      <w:r>
        <w:rPr>
          <w:rFonts w:hint="eastAsia"/>
          <w:b/>
          <w:sz w:val="24"/>
        </w:rPr>
        <w:t>一、投标人</w:t>
      </w:r>
      <w:bookmarkEnd w:id="57"/>
    </w:p>
    <w:p>
      <w:pPr>
        <w:snapToGrid w:val="0"/>
        <w:spacing w:line="360" w:lineRule="auto"/>
        <w:ind w:firstLine="480" w:firstLineChars="200"/>
        <w:rPr>
          <w:rFonts w:ascii="宋体" w:hAnsi="宋体" w:hint="eastAsia"/>
          <w:sz w:val="24"/>
        </w:rPr>
      </w:pPr>
      <w:r>
        <w:rPr>
          <w:rFonts w:ascii="宋体" w:hAnsi="宋体" w:hint="eastAsia"/>
          <w:sz w:val="24"/>
        </w:rPr>
        <w:t>（一）投标人</w:t>
      </w:r>
    </w:p>
    <w:p>
      <w:pPr>
        <w:snapToGrid w:val="0"/>
        <w:spacing w:line="360" w:lineRule="auto"/>
        <w:ind w:firstLine="480" w:firstLineChars="200"/>
        <w:rPr>
          <w:rFonts w:ascii="宋体" w:hAnsi="宋体" w:hint="eastAsia"/>
          <w:sz w:val="24"/>
        </w:rPr>
      </w:pPr>
      <w:r>
        <w:rPr>
          <w:rFonts w:ascii="宋体" w:hAnsi="宋体" w:hint="eastAsia"/>
          <w:sz w:val="24"/>
        </w:rPr>
        <w:t>投标人是指响应招标、参加投标竞争的法人、其他组织或者自然人。</w:t>
      </w:r>
    </w:p>
    <w:p>
      <w:pPr>
        <w:snapToGrid w:val="0"/>
        <w:spacing w:line="360" w:lineRule="auto"/>
        <w:ind w:firstLine="480" w:firstLineChars="200"/>
        <w:rPr>
          <w:rFonts w:ascii="宋体" w:hAnsi="宋体" w:hint="eastAsia"/>
          <w:sz w:val="24"/>
        </w:rPr>
      </w:pPr>
      <w:r>
        <w:rPr>
          <w:rFonts w:ascii="宋体" w:hAnsi="宋体" w:hint="eastAsia"/>
          <w:sz w:val="24"/>
        </w:rPr>
        <w:t>（二）合格投标人条件</w:t>
      </w:r>
    </w:p>
    <w:p>
      <w:pPr>
        <w:snapToGrid w:val="0"/>
        <w:spacing w:line="360" w:lineRule="auto"/>
        <w:ind w:firstLine="480" w:firstLineChars="200"/>
        <w:rPr>
          <w:rFonts w:ascii="宋体" w:hAnsi="宋体" w:hint="eastAsia"/>
          <w:sz w:val="24"/>
        </w:rPr>
      </w:pPr>
      <w:r>
        <w:rPr>
          <w:rFonts w:ascii="宋体" w:hAnsi="宋体" w:hint="eastAsia"/>
          <w:sz w:val="24"/>
        </w:rPr>
        <w:t>合格投标人应完全符合招标文件第一篇中规定的投标人资格条件，并对招标文件作出实质性响应。</w:t>
      </w:r>
    </w:p>
    <w:p>
      <w:pPr>
        <w:snapToGrid w:val="0"/>
        <w:spacing w:line="360" w:lineRule="auto"/>
        <w:ind w:firstLine="480" w:firstLineChars="200"/>
        <w:rPr>
          <w:rFonts w:ascii="宋体" w:hAnsi="宋体" w:hint="eastAsia"/>
          <w:sz w:val="24"/>
          <w:szCs w:val="28"/>
        </w:rPr>
      </w:pPr>
      <w:r>
        <w:rPr>
          <w:rFonts w:ascii="宋体" w:hAnsi="宋体" w:hint="eastAsia"/>
          <w:sz w:val="24"/>
          <w:szCs w:val="28"/>
        </w:rPr>
        <w:t>（三）投标人的风险</w:t>
      </w:r>
    </w:p>
    <w:p>
      <w:pPr>
        <w:snapToGrid w:val="0"/>
        <w:spacing w:line="360" w:lineRule="auto"/>
        <w:ind w:firstLine="480" w:firstLineChars="200"/>
        <w:rPr>
          <w:rFonts w:ascii="宋体" w:hAnsi="宋体" w:hint="eastAsia"/>
          <w:sz w:val="24"/>
        </w:rPr>
      </w:pPr>
      <w:r>
        <w:rPr>
          <w:rFonts w:ascii="宋体" w:hAnsi="宋体" w:hint="eastAsia"/>
          <w:sz w:val="24"/>
        </w:rPr>
        <w:t>投标人没有按照招标文件要求提供全部资料，或者投标人没有对招标文件在各方面作出实质性响应，可能导致投标被拒绝或评定为无效投标。</w:t>
      </w:r>
    </w:p>
    <w:p>
      <w:pPr>
        <w:snapToGrid w:val="0"/>
        <w:spacing w:line="360" w:lineRule="auto"/>
        <w:ind w:firstLine="480" w:firstLineChars="200"/>
        <w:rPr>
          <w:rFonts w:ascii="宋体" w:hAnsi="宋体" w:hint="eastAsia"/>
          <w:sz w:val="24"/>
        </w:rPr>
      </w:pPr>
      <w:r>
        <w:rPr>
          <w:rFonts w:ascii="宋体" w:hAnsi="宋体" w:hint="eastAsia"/>
          <w:sz w:val="24"/>
        </w:rPr>
        <w:t>（四）法律责任</w:t>
      </w:r>
    </w:p>
    <w:p>
      <w:pPr>
        <w:snapToGrid w:val="0"/>
        <w:spacing w:line="360" w:lineRule="auto"/>
        <w:ind w:firstLine="480" w:firstLineChars="200"/>
        <w:rPr>
          <w:rFonts w:ascii="宋体" w:hAnsi="宋体" w:hint="eastAsia"/>
          <w:sz w:val="24"/>
        </w:rPr>
      </w:pPr>
      <w:r>
        <w:rPr>
          <w:rFonts w:ascii="宋体" w:hAnsi="宋体" w:hint="eastAsia"/>
          <w:sz w:val="24"/>
        </w:rPr>
        <w:t>投标人违反《中华人民共和国政府采购法》、《</w:t>
      </w:r>
      <w:r>
        <w:rPr>
          <w:rFonts w:ascii="宋体" w:hAnsi="宋体" w:hint="eastAsia"/>
          <w:sz w:val="24"/>
          <w:lang w:eastAsia="zh-CN"/>
        </w:rPr>
        <w:t>中华人民共和国政府采购法实施条例</w:t>
      </w:r>
      <w:r>
        <w:rPr>
          <w:rFonts w:ascii="宋体" w:hAnsi="宋体" w:hint="eastAsia"/>
          <w:sz w:val="24"/>
        </w:rPr>
        <w:t>》等相关规定，将按规定追究投标人法律责任。</w:t>
      </w:r>
    </w:p>
    <w:p>
      <w:pPr>
        <w:pStyle w:val="Heading2"/>
        <w:ind w:firstLine="480" w:firstLineChars="200"/>
        <w:jc w:val="left"/>
        <w:rPr>
          <w:rFonts w:hint="eastAsia"/>
          <w:b/>
          <w:sz w:val="24"/>
        </w:rPr>
      </w:pPr>
      <w:bookmarkStart w:id="58" w:name="_Toc93908328"/>
      <w:r>
        <w:rPr>
          <w:rFonts w:hint="eastAsia"/>
          <w:b/>
          <w:sz w:val="24"/>
        </w:rPr>
        <w:t>二、招标文件</w:t>
      </w:r>
      <w:bookmarkEnd w:id="58"/>
    </w:p>
    <w:p>
      <w:pPr>
        <w:snapToGrid w:val="0"/>
        <w:spacing w:line="360" w:lineRule="auto"/>
        <w:ind w:firstLine="480" w:firstLineChars="200"/>
        <w:rPr>
          <w:rFonts w:ascii="宋体" w:hAnsi="宋体" w:hint="eastAsia"/>
          <w:sz w:val="24"/>
        </w:rPr>
      </w:pPr>
      <w:r>
        <w:rPr>
          <w:rFonts w:ascii="宋体" w:hAnsi="宋体" w:hint="eastAsia"/>
          <w:sz w:val="24"/>
        </w:rPr>
        <w:t>招标文件是投标人编制投标文件的依据，是评标委员会评判依据和标准。招标文件也是采购人与中标人签订合同的基础。</w:t>
      </w:r>
    </w:p>
    <w:p>
      <w:pPr>
        <w:snapToGrid w:val="0"/>
        <w:spacing w:line="360" w:lineRule="auto"/>
        <w:ind w:firstLine="480" w:firstLineChars="200"/>
        <w:rPr>
          <w:rFonts w:ascii="宋体" w:hAnsi="宋体" w:hint="eastAsia"/>
          <w:sz w:val="24"/>
        </w:rPr>
      </w:pPr>
      <w:r>
        <w:rPr>
          <w:rFonts w:ascii="宋体" w:hAnsi="宋体" w:hint="eastAsia"/>
          <w:sz w:val="24"/>
        </w:rPr>
        <w:t>（一）招标文件的构成</w:t>
      </w:r>
    </w:p>
    <w:p>
      <w:pPr>
        <w:snapToGrid w:val="0"/>
        <w:spacing w:line="360" w:lineRule="auto"/>
        <w:ind w:firstLine="480" w:firstLineChars="200"/>
        <w:rPr>
          <w:rFonts w:ascii="宋体" w:hAnsi="宋体" w:hint="eastAsia"/>
          <w:sz w:val="24"/>
        </w:rPr>
      </w:pPr>
      <w:r>
        <w:rPr>
          <w:rFonts w:ascii="宋体" w:hAnsi="宋体" w:hint="eastAsia"/>
          <w:sz w:val="24"/>
        </w:rPr>
        <w:t>1.招标文件由投标邀请书；项目内容、数量及质量要求；项目商务要求；资格审查及评标办法；投标人须知；合同主要条款和格式合同（样本）；投标文件格式共七部分组成。</w:t>
      </w:r>
    </w:p>
    <w:p>
      <w:pPr>
        <w:snapToGrid w:val="0"/>
        <w:spacing w:line="360" w:lineRule="auto"/>
        <w:ind w:firstLine="480"/>
        <w:rPr>
          <w:rFonts w:ascii="宋体" w:hAnsi="宋体" w:hint="eastAsia"/>
          <w:sz w:val="24"/>
        </w:rPr>
      </w:pPr>
      <w:r>
        <w:rPr>
          <w:rFonts w:ascii="宋体" w:hAnsi="宋体" w:hint="eastAsia"/>
          <w:sz w:val="24"/>
          <w:szCs w:val="28"/>
        </w:rPr>
        <w:t>2.</w:t>
      </w:r>
      <w:r>
        <w:rPr>
          <w:rFonts w:ascii="宋体" w:hAnsi="宋体" w:hint="eastAsia"/>
          <w:sz w:val="24"/>
        </w:rPr>
        <w:t>采购代理机构对招标文件所作的一切有效的书面通知、修改及补充，都是招标文件不可分割的部分。</w:t>
      </w:r>
    </w:p>
    <w:p>
      <w:pPr>
        <w:snapToGrid w:val="0"/>
        <w:spacing w:line="360" w:lineRule="auto"/>
        <w:ind w:firstLine="480" w:firstLineChars="200"/>
        <w:rPr>
          <w:rFonts w:ascii="宋体" w:hAnsi="宋体" w:hint="eastAsia"/>
          <w:sz w:val="24"/>
        </w:rPr>
      </w:pPr>
      <w:r>
        <w:rPr>
          <w:rFonts w:ascii="宋体" w:hAnsi="宋体" w:hint="eastAsia"/>
          <w:sz w:val="24"/>
        </w:rPr>
        <w:t>3.采购代理机构对已发出的招标文件需要进行澄清或修改的，应以书面形式或公告形式通知所有招标文件收受人。该澄清或者修改的内容为招标文件的组成部分。</w:t>
      </w:r>
    </w:p>
    <w:p>
      <w:pPr>
        <w:snapToGrid w:val="0"/>
        <w:spacing w:line="360" w:lineRule="auto"/>
        <w:ind w:firstLine="480"/>
        <w:rPr>
          <w:rFonts w:ascii="宋体" w:hAnsi="宋体" w:hint="eastAsia"/>
          <w:sz w:val="24"/>
        </w:rPr>
      </w:pPr>
      <w:r>
        <w:rPr>
          <w:rFonts w:ascii="宋体" w:hAnsi="宋体" w:hint="eastAsia"/>
          <w:sz w:val="24"/>
        </w:rPr>
        <w:t>（二）招标文件获取</w:t>
      </w:r>
    </w:p>
    <w:p>
      <w:pPr>
        <w:snapToGrid w:val="0"/>
        <w:spacing w:line="360" w:lineRule="auto"/>
        <w:ind w:firstLine="480"/>
        <w:rPr>
          <w:rFonts w:ascii="宋体" w:hAnsi="宋体" w:hint="eastAsia"/>
          <w:sz w:val="24"/>
        </w:rPr>
      </w:pPr>
      <w:r>
        <w:rPr>
          <w:rFonts w:ascii="宋体" w:hAnsi="宋体" w:hint="eastAsia"/>
          <w:sz w:val="24"/>
          <w:szCs w:val="24"/>
        </w:rPr>
        <w:t>本项目的招标文件、补遗文件（如果有）一律在重庆市经济和信息化委员会网上（http://jjxxw.cq.gov.cn/）上发布，请各投标人注意下载；无论投标人下载与否，均视同投标人已知晓本项目招标文件、补遗文件的内容。</w:t>
      </w:r>
    </w:p>
    <w:p>
      <w:pPr>
        <w:pStyle w:val="Heading2"/>
        <w:ind w:firstLine="480" w:firstLineChars="200"/>
        <w:jc w:val="left"/>
        <w:rPr>
          <w:rFonts w:hint="eastAsia"/>
          <w:b/>
          <w:sz w:val="24"/>
        </w:rPr>
      </w:pPr>
      <w:bookmarkStart w:id="59" w:name="_Toc93908329"/>
      <w:r>
        <w:rPr>
          <w:rFonts w:hint="eastAsia"/>
          <w:b/>
          <w:sz w:val="24"/>
        </w:rPr>
        <w:t>三、投标文件</w:t>
      </w:r>
      <w:bookmarkEnd w:id="59"/>
    </w:p>
    <w:p>
      <w:pPr>
        <w:spacing w:line="360" w:lineRule="auto"/>
        <w:ind w:firstLine="480" w:firstLineChars="200"/>
        <w:rPr>
          <w:rFonts w:ascii="宋体" w:hAnsi="宋体" w:hint="eastAsia"/>
          <w:sz w:val="24"/>
        </w:rPr>
        <w:sectPr>
          <w:headerReference w:type="default" r:id="rId69"/>
          <w:footerReference w:type="even" r:id="rId70"/>
          <w:footerReference w:type="default" r:id="rId71"/>
          <w:headerReference w:type="first" r:id="rId72"/>
          <w:type w:val="nextPage"/>
          <w:pgSz w:w="11907" w:h="16840"/>
          <w:pgMar w:top="1134" w:right="1191" w:bottom="1134" w:left="1191" w:header="851" w:footer="992" w:gutter="0"/>
          <w:pgNumType w:fmt="numberInDash" w:start="16"/>
          <w:cols w:space="708"/>
          <w:titlePg w:val="0"/>
          <w:docGrid w:linePitch="380" w:charSpace="-5735"/>
        </w:sectPr>
      </w:pPr>
    </w:p>
    <w:p>
      <w:pPr>
        <w:spacing w:line="360" w:lineRule="auto"/>
        <w:ind w:firstLine="480" w:firstLineChars="200"/>
        <w:rPr>
          <w:rFonts w:ascii="宋体" w:hAnsi="宋体" w:hint="eastAsia"/>
          <w:sz w:val="24"/>
        </w:rPr>
      </w:pPr>
      <w:r>
        <w:rPr>
          <w:rFonts w:ascii="宋体" w:hAnsi="宋体" w:hint="eastAsia"/>
          <w:sz w:val="24"/>
        </w:rPr>
        <w:t>投标人应当按照招标文件的要求编制投标文件，并对招标文件提出的要求和条件作出实质性响应，投标文件原则上采用软面订本，同时应编制完整的页码、目录。</w:t>
      </w:r>
    </w:p>
    <w:p>
      <w:pPr>
        <w:spacing w:line="360" w:lineRule="auto"/>
        <w:ind w:firstLine="480" w:firstLineChars="200"/>
        <w:rPr>
          <w:rFonts w:ascii="宋体" w:hAnsi="宋体" w:hint="eastAsia"/>
          <w:sz w:val="24"/>
        </w:rPr>
      </w:pPr>
      <w:r>
        <w:rPr>
          <w:rFonts w:ascii="宋体" w:hAnsi="宋体" w:hint="eastAsia"/>
          <w:sz w:val="24"/>
        </w:rPr>
        <w:t>（一）投标文件的组成</w:t>
      </w:r>
    </w:p>
    <w:p>
      <w:pPr>
        <w:spacing w:line="360" w:lineRule="auto"/>
        <w:ind w:firstLine="480" w:firstLineChars="200"/>
        <w:rPr>
          <w:rFonts w:ascii="宋体" w:hAnsi="宋体" w:hint="eastAsia"/>
          <w:sz w:val="24"/>
        </w:rPr>
      </w:pPr>
      <w:r>
        <w:rPr>
          <w:rFonts w:ascii="宋体" w:hAnsi="宋体" w:hint="eastAsia"/>
          <w:sz w:val="24"/>
        </w:rPr>
        <w:t>投标文件由本招标文件第七篇</w:t>
      </w:r>
      <w:r>
        <w:rPr>
          <w:rFonts w:ascii="宋体" w:hAnsi="宋体" w:hint="eastAsia"/>
          <w:sz w:val="24"/>
        </w:rPr>
        <w:t>“</w:t>
      </w:r>
      <w:r>
        <w:rPr>
          <w:rFonts w:ascii="宋体" w:hAnsi="宋体" w:hint="eastAsia"/>
          <w:sz w:val="24"/>
        </w:rPr>
        <w:t>投标文件格式</w:t>
      </w:r>
      <w:r>
        <w:rPr>
          <w:rFonts w:ascii="宋体" w:hAnsi="宋体" w:hint="eastAsia"/>
          <w:sz w:val="24"/>
        </w:rPr>
        <w:t>”</w:t>
      </w:r>
      <w:r>
        <w:rPr>
          <w:rFonts w:ascii="宋体" w:hAnsi="宋体" w:hint="eastAsia"/>
          <w:sz w:val="24"/>
        </w:rPr>
        <w:t>规定的部分和投标人所作的一切有效补充、修改和承诺等文件组成，投标人应按照本文件第七篇</w:t>
      </w:r>
      <w:r>
        <w:rPr>
          <w:rFonts w:ascii="宋体" w:hAnsi="宋体" w:hint="eastAsia"/>
          <w:sz w:val="24"/>
        </w:rPr>
        <w:t>“</w:t>
      </w:r>
      <w:r>
        <w:rPr>
          <w:rFonts w:ascii="宋体" w:hAnsi="宋体" w:hint="eastAsia"/>
          <w:sz w:val="24"/>
        </w:rPr>
        <w:t>投标文件格式</w:t>
      </w:r>
      <w:r>
        <w:rPr>
          <w:rFonts w:ascii="宋体" w:hAnsi="宋体" w:hint="eastAsia"/>
          <w:sz w:val="24"/>
        </w:rPr>
        <w:t>”</w:t>
      </w:r>
      <w:r>
        <w:rPr>
          <w:rFonts w:ascii="宋体" w:hAnsi="宋体" w:hint="eastAsia"/>
          <w:sz w:val="24"/>
        </w:rPr>
        <w:t>规定的目录顺序组织编写和装订，否则有可能影响评委对投标文件的评审。</w:t>
      </w:r>
    </w:p>
    <w:p>
      <w:pPr>
        <w:spacing w:line="360" w:lineRule="auto"/>
        <w:ind w:firstLine="480" w:firstLineChars="200"/>
        <w:rPr>
          <w:rFonts w:ascii="宋体" w:hAnsi="宋体" w:hint="eastAsia"/>
          <w:sz w:val="24"/>
        </w:rPr>
      </w:pPr>
      <w:r>
        <w:rPr>
          <w:rFonts w:ascii="宋体" w:hAnsi="宋体" w:hint="eastAsia"/>
          <w:sz w:val="24"/>
        </w:rPr>
        <w:t>（二）联合投标。</w:t>
      </w:r>
    </w:p>
    <w:p>
      <w:pPr>
        <w:spacing w:line="360" w:lineRule="auto"/>
        <w:ind w:firstLine="480" w:firstLineChars="200"/>
        <w:rPr>
          <w:rFonts w:ascii="宋体" w:hAnsi="宋体" w:hint="eastAsia"/>
          <w:b/>
          <w:bCs/>
          <w:sz w:val="24"/>
        </w:rPr>
      </w:pPr>
      <w:r>
        <w:rPr>
          <w:rFonts w:ascii="宋体" w:hAnsi="宋体" w:hint="eastAsia"/>
          <w:b/>
          <w:bCs/>
          <w:sz w:val="24"/>
        </w:rPr>
        <w:t>不接受。</w:t>
      </w:r>
    </w:p>
    <w:p>
      <w:pPr>
        <w:spacing w:line="360" w:lineRule="auto"/>
        <w:ind w:firstLine="480" w:firstLineChars="200"/>
        <w:rPr>
          <w:rFonts w:ascii="宋体" w:hAnsi="宋体" w:hint="eastAsia"/>
          <w:sz w:val="24"/>
        </w:rPr>
      </w:pPr>
      <w:r>
        <w:rPr>
          <w:rFonts w:ascii="宋体" w:hAnsi="宋体" w:hint="eastAsia"/>
          <w:sz w:val="24"/>
        </w:rPr>
        <w:t>（三）投标有效期</w:t>
      </w:r>
    </w:p>
    <w:p>
      <w:pPr>
        <w:spacing w:line="360" w:lineRule="auto"/>
        <w:ind w:firstLine="480" w:firstLineChars="200"/>
        <w:rPr>
          <w:rFonts w:ascii="宋体" w:hAnsi="宋体" w:hint="eastAsia"/>
          <w:sz w:val="24"/>
        </w:rPr>
      </w:pPr>
      <w:r>
        <w:rPr>
          <w:rFonts w:ascii="宋体" w:hAnsi="宋体" w:hint="eastAsia"/>
          <w:sz w:val="24"/>
        </w:rPr>
        <w:t>投标有效期为投标截止日期后九十天内。</w:t>
      </w:r>
    </w:p>
    <w:p>
      <w:pPr>
        <w:spacing w:line="360" w:lineRule="auto"/>
        <w:ind w:firstLine="480" w:firstLineChars="200"/>
        <w:rPr>
          <w:rFonts w:ascii="宋体" w:hAnsi="宋体" w:hint="eastAsia"/>
          <w:sz w:val="24"/>
        </w:rPr>
      </w:pPr>
      <w:r>
        <w:rPr>
          <w:rFonts w:ascii="宋体" w:hAnsi="宋体" w:hint="eastAsia"/>
          <w:sz w:val="24"/>
        </w:rPr>
        <w:t>（四）投标保证金</w:t>
      </w:r>
    </w:p>
    <w:p>
      <w:pPr>
        <w:tabs>
          <w:tab w:val="left" w:pos="0"/>
        </w:tabs>
        <w:snapToGrid w:val="0"/>
        <w:spacing w:line="360" w:lineRule="auto"/>
        <w:ind w:firstLine="480" w:firstLineChars="200"/>
        <w:rPr>
          <w:rFonts w:ascii="宋体" w:hAnsi="宋体" w:hint="eastAsia"/>
          <w:sz w:val="24"/>
        </w:rPr>
      </w:pPr>
      <w:r>
        <w:rPr>
          <w:rFonts w:ascii="宋体" w:hAnsi="宋体" w:hint="eastAsia"/>
          <w:sz w:val="24"/>
        </w:rPr>
        <w:t>1.投标人应在投标截止时间前，按招标文件第一篇规定缴纳投标保证金。</w:t>
      </w:r>
    </w:p>
    <w:p>
      <w:pPr>
        <w:tabs>
          <w:tab w:val="left" w:pos="0"/>
        </w:tabs>
        <w:spacing w:line="360" w:lineRule="auto"/>
        <w:ind w:firstLine="480" w:firstLineChars="200"/>
        <w:rPr>
          <w:rFonts w:ascii="宋体" w:hAnsi="宋体" w:hint="eastAsia"/>
          <w:sz w:val="24"/>
        </w:rPr>
      </w:pPr>
      <w:r>
        <w:rPr>
          <w:rFonts w:ascii="宋体" w:hAnsi="宋体" w:hint="eastAsia"/>
          <w:sz w:val="24"/>
        </w:rPr>
        <w:t>2.投标保证金为投标的有效约束条件。</w:t>
      </w:r>
    </w:p>
    <w:p>
      <w:pPr>
        <w:tabs>
          <w:tab w:val="left" w:pos="0"/>
        </w:tabs>
        <w:spacing w:line="360" w:lineRule="auto"/>
        <w:ind w:firstLine="480" w:firstLineChars="200"/>
        <w:rPr>
          <w:rFonts w:ascii="宋体" w:hAnsi="宋体" w:hint="eastAsia"/>
          <w:sz w:val="24"/>
        </w:rPr>
      </w:pPr>
      <w:r>
        <w:rPr>
          <w:rFonts w:ascii="宋体" w:hAnsi="宋体" w:hint="eastAsia"/>
          <w:sz w:val="24"/>
        </w:rPr>
        <w:t>3.投标保证金的有效期限在投标有效期过后三十天内继续有效。</w:t>
      </w:r>
    </w:p>
    <w:p>
      <w:pPr>
        <w:tabs>
          <w:tab w:val="left" w:pos="0"/>
        </w:tabs>
        <w:spacing w:line="360" w:lineRule="auto"/>
        <w:ind w:firstLine="480" w:firstLineChars="200"/>
        <w:rPr>
          <w:rFonts w:ascii="宋体" w:hAnsi="宋体" w:hint="eastAsia"/>
          <w:sz w:val="24"/>
        </w:rPr>
      </w:pPr>
      <w:r>
        <w:rPr>
          <w:rFonts w:ascii="宋体" w:hAnsi="宋体" w:hint="eastAsia"/>
          <w:sz w:val="24"/>
        </w:rPr>
        <w:t>4.投标保证金币种应与投标报价币种相同。</w:t>
      </w:r>
    </w:p>
    <w:p>
      <w:pPr>
        <w:tabs>
          <w:tab w:val="left" w:pos="0"/>
        </w:tabs>
        <w:spacing w:line="360" w:lineRule="auto"/>
        <w:ind w:firstLine="480" w:firstLineChars="200"/>
        <w:rPr>
          <w:rFonts w:ascii="宋体" w:hAnsi="宋体" w:hint="eastAsia"/>
          <w:sz w:val="24"/>
        </w:rPr>
      </w:pPr>
      <w:r>
        <w:rPr>
          <w:rFonts w:ascii="宋体" w:hAnsi="宋体" w:hint="eastAsia"/>
          <w:sz w:val="24"/>
        </w:rPr>
        <w:t>5.采购代理机构在《中标通知书》发出后向</w:t>
      </w:r>
      <w:r>
        <w:rPr>
          <w:rFonts w:ascii="宋体" w:hAnsi="宋体" w:hint="eastAsia"/>
          <w:sz w:val="24"/>
          <w:szCs w:val="24"/>
        </w:rPr>
        <w:t>重庆市公共资源交易中心提起申请，由重庆市公共资源交易中心在五个工作日内</w:t>
      </w:r>
      <w:r>
        <w:rPr>
          <w:rFonts w:ascii="宋体" w:hAnsi="宋体" w:hint="eastAsia"/>
          <w:sz w:val="24"/>
        </w:rPr>
        <w:t>无息退还未中标人的投标保证金；采购代理机构在采购合同签订并收到合同复印件后向</w:t>
      </w:r>
      <w:r>
        <w:rPr>
          <w:rFonts w:ascii="宋体" w:hAnsi="宋体" w:hint="eastAsia"/>
          <w:sz w:val="24"/>
          <w:szCs w:val="24"/>
        </w:rPr>
        <w:t>重庆市公共资源交易中心提起申请，由重庆市公共资源交易中心在五个工作日内</w:t>
      </w:r>
      <w:r>
        <w:rPr>
          <w:rFonts w:ascii="宋体" w:hAnsi="宋体" w:hint="eastAsia"/>
          <w:sz w:val="24"/>
        </w:rPr>
        <w:t>无息退还中标人的投标保证金。</w:t>
      </w:r>
    </w:p>
    <w:p>
      <w:pPr>
        <w:tabs>
          <w:tab w:val="left" w:pos="0"/>
        </w:tabs>
        <w:spacing w:line="360" w:lineRule="auto"/>
        <w:ind w:firstLine="480" w:firstLineChars="200"/>
        <w:rPr>
          <w:rFonts w:ascii="宋体" w:hAnsi="宋体" w:hint="eastAsia"/>
          <w:sz w:val="24"/>
        </w:rPr>
      </w:pPr>
      <w:r>
        <w:rPr>
          <w:rFonts w:ascii="宋体" w:hAnsi="宋体" w:hint="eastAsia"/>
          <w:sz w:val="24"/>
        </w:rPr>
        <w:t>6.投标人有下列情形之一的，采购人或者采购代理机构可以不退还投标保证金</w:t>
      </w:r>
      <w:r>
        <w:rPr>
          <w:rFonts w:ascii="宋体" w:hAnsi="宋体" w:cs="仿宋" w:hint="eastAsia"/>
          <w:sz w:val="24"/>
        </w:rPr>
        <w:t>：</w:t>
      </w:r>
    </w:p>
    <w:p>
      <w:pPr>
        <w:snapToGrid w:val="0"/>
        <w:spacing w:line="360" w:lineRule="auto"/>
        <w:ind w:firstLine="480" w:firstLineChars="200"/>
        <w:rPr>
          <w:rFonts w:ascii="宋体" w:hAnsi="宋体" w:hint="eastAsia"/>
          <w:sz w:val="24"/>
        </w:rPr>
      </w:pPr>
      <w:r>
        <w:rPr>
          <w:rFonts w:ascii="宋体" w:hAnsi="宋体" w:hint="eastAsia"/>
          <w:sz w:val="24"/>
        </w:rPr>
        <w:t>（1）投标人在投标有效期内撤回投标文件的；</w:t>
      </w:r>
    </w:p>
    <w:p>
      <w:pPr>
        <w:snapToGrid w:val="0"/>
        <w:spacing w:line="360" w:lineRule="auto"/>
        <w:ind w:firstLine="480" w:firstLineChars="200"/>
        <w:rPr>
          <w:rFonts w:ascii="宋体" w:hAnsi="宋体" w:hint="eastAsia"/>
          <w:sz w:val="24"/>
        </w:rPr>
      </w:pPr>
      <w:r>
        <w:rPr>
          <w:rFonts w:ascii="宋体" w:hAnsi="宋体" w:hint="eastAsia"/>
          <w:sz w:val="24"/>
        </w:rPr>
        <w:t>（2）投标人未按规定提交履约保证金的；</w:t>
      </w:r>
    </w:p>
    <w:p>
      <w:pPr>
        <w:snapToGrid w:val="0"/>
        <w:spacing w:line="360" w:lineRule="auto"/>
        <w:ind w:firstLine="480" w:firstLineChars="200"/>
        <w:rPr>
          <w:rFonts w:ascii="宋体" w:hAnsi="宋体" w:hint="eastAsia"/>
          <w:sz w:val="24"/>
        </w:rPr>
      </w:pPr>
      <w:r>
        <w:rPr>
          <w:rFonts w:ascii="宋体" w:hAnsi="宋体" w:hint="eastAsia"/>
          <w:sz w:val="24"/>
        </w:rPr>
        <w:t>（3）投标人在投标过程中弄虚作假，提供虚假材料的；</w:t>
      </w:r>
    </w:p>
    <w:p>
      <w:pPr>
        <w:snapToGrid w:val="0"/>
        <w:spacing w:line="360" w:lineRule="auto"/>
        <w:ind w:firstLine="480" w:firstLineChars="200"/>
        <w:rPr>
          <w:rFonts w:ascii="宋体" w:hAnsi="宋体" w:hint="eastAsia"/>
          <w:sz w:val="24"/>
        </w:rPr>
      </w:pPr>
      <w:r>
        <w:rPr>
          <w:rFonts w:ascii="宋体" w:hAnsi="宋体" w:hint="eastAsia"/>
          <w:sz w:val="24"/>
        </w:rPr>
        <w:t>（4）中标人无正当理由不与采购人签订合同的；</w:t>
      </w:r>
    </w:p>
    <w:p>
      <w:pPr>
        <w:snapToGrid w:val="0"/>
        <w:spacing w:line="360" w:lineRule="auto"/>
        <w:ind w:firstLine="480" w:firstLineChars="200"/>
        <w:rPr>
          <w:rFonts w:ascii="宋体" w:hAnsi="宋体" w:hint="eastAsia"/>
          <w:sz w:val="24"/>
        </w:rPr>
      </w:pPr>
      <w:r>
        <w:rPr>
          <w:rFonts w:ascii="宋体" w:hAnsi="宋体" w:hint="eastAsia"/>
          <w:sz w:val="24"/>
        </w:rPr>
        <w:t>（5）中标人将中标项目转让给他人或者在投标文件中未说明且未经采购人同意，将中标项目分包给他人的；</w:t>
      </w:r>
    </w:p>
    <w:p>
      <w:pPr>
        <w:snapToGrid w:val="0"/>
        <w:spacing w:line="360" w:lineRule="auto"/>
        <w:ind w:firstLine="480" w:firstLineChars="200"/>
        <w:rPr>
          <w:rFonts w:ascii="宋体" w:hAnsi="宋体" w:hint="eastAsia"/>
          <w:sz w:val="24"/>
        </w:rPr>
      </w:pPr>
      <w:r>
        <w:rPr>
          <w:rFonts w:ascii="宋体" w:hAnsi="宋体" w:hint="eastAsia"/>
          <w:sz w:val="24"/>
        </w:rPr>
        <w:t>（6）中标人拒绝履行合同义务的；</w:t>
      </w:r>
    </w:p>
    <w:p>
      <w:pPr>
        <w:snapToGrid w:val="0"/>
        <w:spacing w:line="360" w:lineRule="auto"/>
        <w:ind w:firstLine="480" w:firstLineChars="200"/>
        <w:rPr>
          <w:rFonts w:ascii="宋体" w:hAnsi="宋体" w:hint="eastAsia"/>
          <w:sz w:val="24"/>
        </w:rPr>
      </w:pPr>
      <w:r>
        <w:rPr>
          <w:rFonts w:ascii="宋体" w:hAnsi="宋体" w:hint="eastAsia"/>
          <w:sz w:val="24"/>
        </w:rPr>
        <w:t>（7）其他严重扰乱招投标程序的。</w:t>
      </w:r>
    </w:p>
    <w:p>
      <w:pPr>
        <w:snapToGrid w:val="0"/>
        <w:spacing w:line="360" w:lineRule="auto"/>
        <w:ind w:firstLine="470" w:firstLineChars="196"/>
        <w:jc w:val="left"/>
        <w:rPr>
          <w:rFonts w:ascii="宋体" w:hAnsi="宋体" w:hint="eastAsia"/>
          <w:bCs/>
          <w:sz w:val="24"/>
        </w:rPr>
      </w:pPr>
      <w:r>
        <w:rPr>
          <w:rFonts w:ascii="宋体" w:hAnsi="宋体" w:hint="eastAsia"/>
          <w:bCs/>
          <w:sz w:val="24"/>
        </w:rPr>
        <w:t>（五）投标文件的份数和签署</w:t>
      </w:r>
    </w:p>
    <w:p>
      <w:pPr>
        <w:tabs>
          <w:tab w:val="left" w:pos="0"/>
        </w:tabs>
        <w:spacing w:line="360" w:lineRule="auto"/>
        <w:ind w:firstLine="480" w:firstLineChars="200"/>
        <w:rPr>
          <w:rFonts w:ascii="宋体" w:hAnsi="宋体" w:hint="eastAsia"/>
          <w:sz w:val="24"/>
        </w:rPr>
        <w:sectPr>
          <w:headerReference w:type="default" r:id="rId73"/>
          <w:footerReference w:type="even" r:id="rId74"/>
          <w:footerReference w:type="default" r:id="rId75"/>
          <w:headerReference w:type="first" r:id="rId76"/>
          <w:type w:val="nextPage"/>
          <w:pgSz w:w="11907" w:h="16840"/>
          <w:pgMar w:top="1134" w:right="1191" w:bottom="1134" w:left="1191" w:header="851" w:footer="992" w:gutter="0"/>
          <w:pgNumType w:fmt="numberInDash" w:start="17"/>
          <w:cols w:space="708"/>
          <w:titlePg w:val="0"/>
          <w:docGrid w:linePitch="380" w:charSpace="-5735"/>
        </w:sectPr>
      </w:pPr>
      <w:r>
        <w:rPr>
          <w:rFonts w:ascii="宋体" w:hAnsi="宋体" w:hint="eastAsia"/>
          <w:sz w:val="24"/>
        </w:rPr>
        <w:t>1.投标文件一式</w:t>
      </w:r>
      <w:r>
        <w:rPr>
          <w:rFonts w:ascii="宋体" w:hAnsi="宋体" w:hint="eastAsia"/>
          <w:sz w:val="24"/>
          <w:u w:val="single"/>
        </w:rPr>
        <w:t>四</w:t>
      </w:r>
      <w:r>
        <w:rPr>
          <w:rFonts w:ascii="宋体" w:hAnsi="宋体" w:hint="eastAsia"/>
          <w:sz w:val="24"/>
        </w:rPr>
        <w:t>份，其中正本一份，副本两份，电子文档一份（电子文档内容应与投标文件正本一致，推荐采用光盘或U盘为文件载体）。每套纸质投标文件须在封面清楚地标明</w:t>
      </w:r>
      <w:r>
        <w:rPr>
          <w:rFonts w:ascii="宋体" w:hAnsi="宋体" w:hint="eastAsia"/>
          <w:sz w:val="24"/>
        </w:rPr>
        <w:t>“</w:t>
      </w:r>
      <w:r>
        <w:rPr>
          <w:rFonts w:ascii="宋体" w:hAnsi="宋体" w:hint="eastAsia"/>
          <w:sz w:val="24"/>
        </w:rPr>
        <w:t>正本</w:t>
      </w:r>
      <w:r>
        <w:rPr>
          <w:rFonts w:ascii="宋体" w:hAnsi="宋体" w:hint="eastAsia"/>
          <w:sz w:val="24"/>
        </w:rPr>
        <w:t>”</w:t>
      </w:r>
      <w:r>
        <w:rPr>
          <w:rFonts w:ascii="宋体" w:hAnsi="宋体" w:hint="eastAsia"/>
          <w:sz w:val="24"/>
        </w:rPr>
        <w:t>、</w:t>
      </w:r>
      <w:r>
        <w:rPr>
          <w:rFonts w:ascii="宋体" w:hAnsi="宋体" w:hint="eastAsia"/>
          <w:sz w:val="24"/>
        </w:rPr>
        <w:t>“</w:t>
      </w:r>
      <w:r>
        <w:rPr>
          <w:rFonts w:ascii="宋体" w:hAnsi="宋体" w:hint="eastAsia"/>
          <w:sz w:val="24"/>
        </w:rPr>
        <w:t>副本</w:t>
      </w:r>
      <w:r>
        <w:rPr>
          <w:rFonts w:ascii="宋体" w:hAnsi="宋体" w:hint="eastAsia"/>
          <w:sz w:val="24"/>
        </w:rPr>
        <w:t>”</w:t>
      </w:r>
      <w:r>
        <w:rPr>
          <w:rFonts w:ascii="宋体" w:hAnsi="宋体" w:hint="eastAsia"/>
          <w:sz w:val="24"/>
        </w:rPr>
        <w:t>或</w:t>
      </w:r>
      <w:r>
        <w:rPr>
          <w:rFonts w:ascii="宋体" w:hAnsi="宋体" w:hint="eastAsia"/>
          <w:sz w:val="24"/>
        </w:rPr>
        <w:t>“</w:t>
      </w:r>
      <w:r>
        <w:rPr>
          <w:rFonts w:ascii="宋体" w:hAnsi="宋体" w:hint="eastAsia"/>
          <w:sz w:val="24"/>
        </w:rPr>
        <w:t>电子文档</w:t>
      </w:r>
      <w:r>
        <w:rPr>
          <w:rFonts w:ascii="宋体" w:hAnsi="宋体" w:hint="eastAsia"/>
          <w:sz w:val="24"/>
        </w:rPr>
        <w:t>”</w:t>
      </w:r>
    </w:p>
    <w:p>
      <w:pPr>
        <w:tabs>
          <w:tab w:val="left" w:pos="0"/>
        </w:tabs>
        <w:spacing w:line="360" w:lineRule="auto"/>
        <w:ind w:firstLine="480" w:firstLineChars="200"/>
        <w:rPr>
          <w:rFonts w:ascii="宋体" w:hAnsi="宋体" w:hint="eastAsia"/>
          <w:sz w:val="24"/>
        </w:rPr>
      </w:pPr>
      <w:r>
        <w:rPr>
          <w:rFonts w:ascii="宋体" w:hAnsi="宋体" w:hint="eastAsia"/>
          <w:sz w:val="24"/>
        </w:rPr>
        <w:t>，副本应为正本的完整复印件，副本与正本不一致时以正本为准。投标文件电子文档与纸质投标文件正本不一致时，以纸质投标文件正本为准。</w:t>
      </w:r>
    </w:p>
    <w:p>
      <w:pPr>
        <w:tabs>
          <w:tab w:val="left" w:pos="0"/>
        </w:tabs>
        <w:spacing w:line="360" w:lineRule="auto"/>
        <w:ind w:firstLine="480" w:firstLineChars="200"/>
        <w:rPr>
          <w:rFonts w:ascii="宋体" w:hAnsi="宋体" w:hint="eastAsia"/>
          <w:sz w:val="24"/>
        </w:rPr>
      </w:pPr>
      <w:r>
        <w:rPr>
          <w:rFonts w:ascii="宋体" w:hAnsi="宋体" w:hint="eastAsia"/>
          <w:sz w:val="24"/>
        </w:rPr>
        <w:t>2.在投标文件正本中，招标文件第七篇</w:t>
      </w:r>
      <w:r>
        <w:rPr>
          <w:rFonts w:ascii="宋体" w:hAnsi="宋体" w:hint="eastAsia"/>
          <w:sz w:val="24"/>
        </w:rPr>
        <w:t>“</w:t>
      </w:r>
      <w:r>
        <w:rPr>
          <w:rFonts w:ascii="宋体" w:hAnsi="宋体" w:hint="eastAsia"/>
          <w:sz w:val="24"/>
        </w:rPr>
        <w:t>投标文件格式</w:t>
      </w:r>
      <w:r>
        <w:rPr>
          <w:rFonts w:ascii="宋体" w:hAnsi="宋体" w:hint="eastAsia"/>
          <w:sz w:val="24"/>
        </w:rPr>
        <w:t>”</w:t>
      </w:r>
      <w:r>
        <w:rPr>
          <w:rFonts w:ascii="宋体" w:hAnsi="宋体" w:hint="eastAsia"/>
          <w:sz w:val="24"/>
        </w:rPr>
        <w:t>中规定签字、盖章的地方必须按其规定签字、盖章。</w:t>
      </w:r>
    </w:p>
    <w:p>
      <w:pPr>
        <w:tabs>
          <w:tab w:val="left" w:pos="0"/>
        </w:tabs>
        <w:spacing w:line="360" w:lineRule="auto"/>
        <w:ind w:firstLine="480" w:firstLineChars="200"/>
        <w:rPr>
          <w:rFonts w:ascii="宋体" w:hAnsi="宋体" w:hint="eastAsia"/>
          <w:sz w:val="24"/>
        </w:rPr>
      </w:pPr>
      <w:r>
        <w:rPr>
          <w:rFonts w:ascii="宋体" w:hAnsi="宋体" w:hint="eastAsia"/>
          <w:sz w:val="24"/>
        </w:rPr>
        <w:t>3.若投标人对投标文件的错处作必要修改，则应在修改处加盖投标人公章或由</w:t>
      </w:r>
      <w:r>
        <w:rPr>
          <w:rFonts w:ascii="宋体" w:hAnsi="宋体" w:hint="eastAsia"/>
          <w:sz w:val="24"/>
          <w:szCs w:val="28"/>
        </w:rPr>
        <w:t>法定代表人</w:t>
      </w:r>
      <w:r>
        <w:rPr>
          <w:rFonts w:ascii="宋体" w:hAnsi="宋体" w:hint="eastAsia"/>
          <w:sz w:val="24"/>
        </w:rPr>
        <w:t>或</w:t>
      </w:r>
      <w:r>
        <w:rPr>
          <w:rFonts w:ascii="宋体" w:hAnsi="宋体" w:hint="eastAsia"/>
          <w:sz w:val="24"/>
          <w:szCs w:val="28"/>
        </w:rPr>
        <w:t>法定代表人</w:t>
      </w:r>
      <w:r>
        <w:rPr>
          <w:rFonts w:ascii="宋体" w:hAnsi="宋体" w:hint="eastAsia"/>
          <w:sz w:val="24"/>
        </w:rPr>
        <w:t>授权代表签字确认。</w:t>
      </w:r>
    </w:p>
    <w:p>
      <w:pPr>
        <w:snapToGrid w:val="0"/>
        <w:spacing w:line="360" w:lineRule="auto"/>
        <w:ind w:firstLine="470" w:firstLineChars="196"/>
        <w:jc w:val="left"/>
        <w:rPr>
          <w:rFonts w:ascii="宋体" w:hAnsi="宋体" w:hint="eastAsia"/>
          <w:bCs/>
          <w:sz w:val="24"/>
        </w:rPr>
      </w:pPr>
      <w:r>
        <w:rPr>
          <w:rFonts w:ascii="宋体" w:hAnsi="宋体" w:hint="eastAsia"/>
          <w:sz w:val="24"/>
        </w:rPr>
        <w:t>4.电报、电话、传真形式的投标文件概不接受。</w:t>
      </w:r>
    </w:p>
    <w:p>
      <w:pPr>
        <w:snapToGrid w:val="0"/>
        <w:spacing w:line="360" w:lineRule="auto"/>
        <w:ind w:firstLine="470" w:firstLineChars="196"/>
        <w:jc w:val="left"/>
        <w:rPr>
          <w:rFonts w:ascii="宋体" w:hAnsi="宋体" w:hint="eastAsia"/>
          <w:bCs/>
          <w:sz w:val="24"/>
        </w:rPr>
      </w:pPr>
      <w:r>
        <w:rPr>
          <w:rFonts w:ascii="宋体" w:hAnsi="宋体" w:hint="eastAsia"/>
          <w:bCs/>
          <w:sz w:val="24"/>
        </w:rPr>
        <w:t>（六）投标报价</w:t>
      </w:r>
    </w:p>
    <w:p>
      <w:pPr>
        <w:snapToGrid w:val="0"/>
        <w:spacing w:line="360" w:lineRule="auto"/>
        <w:ind w:firstLine="470" w:firstLineChars="196"/>
        <w:jc w:val="left"/>
        <w:rPr>
          <w:rFonts w:ascii="宋体" w:hAnsi="宋体" w:hint="eastAsia"/>
          <w:sz w:val="24"/>
        </w:rPr>
      </w:pPr>
      <w:r>
        <w:rPr>
          <w:rFonts w:ascii="宋体" w:hAnsi="宋体" w:hint="eastAsia"/>
          <w:bCs/>
          <w:sz w:val="24"/>
        </w:rPr>
        <w:t>1.投标人应严格按照本文件第七篇</w:t>
      </w:r>
      <w:r>
        <w:rPr>
          <w:rFonts w:ascii="宋体" w:hAnsi="宋体" w:hint="eastAsia"/>
          <w:bCs/>
          <w:sz w:val="24"/>
        </w:rPr>
        <w:t>“</w:t>
      </w:r>
      <w:r>
        <w:rPr>
          <w:rFonts w:ascii="宋体" w:hAnsi="宋体" w:hint="eastAsia"/>
          <w:bCs/>
          <w:sz w:val="24"/>
        </w:rPr>
        <w:t>投标文件格式</w:t>
      </w:r>
      <w:r>
        <w:rPr>
          <w:rFonts w:ascii="宋体" w:hAnsi="宋体" w:hint="eastAsia"/>
          <w:bCs/>
          <w:sz w:val="24"/>
        </w:rPr>
        <w:t>”</w:t>
      </w:r>
      <w:r>
        <w:rPr>
          <w:rFonts w:ascii="宋体" w:hAnsi="宋体" w:hint="eastAsia"/>
          <w:bCs/>
          <w:sz w:val="24"/>
        </w:rPr>
        <w:t>中《开标一览表》和《分项报价明细表》</w:t>
      </w:r>
      <w:r>
        <w:rPr>
          <w:rFonts w:ascii="宋体" w:hAnsi="宋体" w:hint="eastAsia"/>
          <w:sz w:val="24"/>
        </w:rPr>
        <w:t>的格式填写报价。</w:t>
      </w:r>
    </w:p>
    <w:p>
      <w:pPr>
        <w:snapToGrid w:val="0"/>
        <w:spacing w:line="360" w:lineRule="auto"/>
        <w:ind w:left="3" w:firstLine="480" w:leftChars="1" w:firstLineChars="200"/>
        <w:rPr>
          <w:rFonts w:ascii="宋体" w:hAnsi="宋体" w:hint="eastAsia"/>
          <w:sz w:val="24"/>
        </w:rPr>
      </w:pPr>
      <w:r>
        <w:rPr>
          <w:rFonts w:ascii="宋体" w:hAnsi="宋体" w:hint="eastAsia"/>
          <w:sz w:val="24"/>
        </w:rPr>
        <w:t>2.投标人的报价为一次性报价，即在投标有效期内投标价格固定不变。</w:t>
      </w:r>
    </w:p>
    <w:p>
      <w:pPr>
        <w:snapToGrid w:val="0"/>
        <w:spacing w:line="360" w:lineRule="auto"/>
        <w:ind w:left="3" w:firstLine="480" w:leftChars="1" w:firstLineChars="200"/>
        <w:rPr>
          <w:rFonts w:ascii="宋体" w:hAnsi="宋体" w:hint="eastAsia"/>
          <w:sz w:val="24"/>
        </w:rPr>
      </w:pPr>
      <w:r>
        <w:rPr>
          <w:rFonts w:ascii="宋体" w:hAnsi="宋体" w:hint="eastAsia"/>
          <w:sz w:val="24"/>
        </w:rPr>
        <w:t>3.本项目只接受一个投标报价，有选择的或有条件的报价将不予接受。</w:t>
      </w:r>
    </w:p>
    <w:p>
      <w:pPr>
        <w:pStyle w:val="PlainText"/>
        <w:ind w:firstLine="480" w:firstLineChars="200"/>
        <w:rPr>
          <w:rFonts w:hAnsi="宋体" w:hint="eastAsia"/>
          <w:sz w:val="24"/>
        </w:rPr>
      </w:pPr>
      <w:r>
        <w:rPr>
          <w:rFonts w:hAnsi="宋体" w:hint="eastAsia"/>
          <w:sz w:val="24"/>
        </w:rPr>
        <w:t>（七）修正错误</w:t>
      </w:r>
    </w:p>
    <w:p>
      <w:pPr>
        <w:pStyle w:val="PlainText"/>
        <w:ind w:firstLine="480" w:firstLineChars="200"/>
        <w:rPr>
          <w:rFonts w:hAnsi="宋体" w:hint="eastAsia"/>
          <w:sz w:val="24"/>
        </w:rPr>
      </w:pPr>
      <w:r>
        <w:rPr>
          <w:rFonts w:hAnsi="宋体" w:hint="eastAsia"/>
          <w:sz w:val="24"/>
        </w:rPr>
        <w:t>若投标文件出现计算或表达上的错误，修正错误的原则如下：</w:t>
      </w:r>
    </w:p>
    <w:p>
      <w:pPr>
        <w:pStyle w:val="PlainText"/>
        <w:ind w:firstLine="480" w:firstLineChars="200"/>
        <w:rPr>
          <w:rFonts w:hAnsi="宋体" w:hint="eastAsia"/>
          <w:sz w:val="24"/>
        </w:rPr>
      </w:pPr>
      <w:r>
        <w:rPr>
          <w:rFonts w:hAnsi="宋体" w:hint="eastAsia"/>
          <w:sz w:val="24"/>
        </w:rPr>
        <w:t>1.投标文件中开标一览表（报价表）内容与投标文件中相应内容不一致的，以开标一览表（报价表）为准；</w:t>
      </w:r>
    </w:p>
    <w:p>
      <w:pPr>
        <w:pStyle w:val="PlainText"/>
        <w:ind w:firstLine="480" w:firstLineChars="200"/>
        <w:rPr>
          <w:rFonts w:hAnsi="宋体" w:hint="eastAsia"/>
          <w:sz w:val="24"/>
        </w:rPr>
      </w:pPr>
      <w:r>
        <w:rPr>
          <w:rFonts w:hAnsi="宋体" w:hint="eastAsia"/>
          <w:sz w:val="24"/>
        </w:rPr>
        <w:t>2.大写金额和小写金额不一致的，以大写金额为准；</w:t>
      </w:r>
    </w:p>
    <w:p>
      <w:pPr>
        <w:pStyle w:val="PlainText"/>
        <w:ind w:firstLine="480" w:firstLineChars="200"/>
        <w:rPr>
          <w:rFonts w:hAnsi="宋体" w:hint="eastAsia"/>
          <w:sz w:val="24"/>
        </w:rPr>
      </w:pPr>
      <w:r>
        <w:rPr>
          <w:rFonts w:hAnsi="宋体" w:hint="eastAsia"/>
          <w:sz w:val="24"/>
        </w:rPr>
        <w:t>3.单价金额小数点或者百分比有明显错位的，以开标一览表的总价为准，并修改单价；</w:t>
      </w:r>
    </w:p>
    <w:p>
      <w:pPr>
        <w:pStyle w:val="PlainText"/>
        <w:ind w:firstLine="480" w:firstLineChars="200"/>
        <w:rPr>
          <w:rFonts w:hAnsi="宋体" w:hint="eastAsia"/>
          <w:sz w:val="24"/>
        </w:rPr>
      </w:pPr>
      <w:r>
        <w:rPr>
          <w:rFonts w:hAnsi="宋体" w:hint="eastAsia"/>
          <w:sz w:val="24"/>
        </w:rPr>
        <w:t>4.总价金额与按单价汇总金额不一致的，以单价金额计算结果为准。</w:t>
      </w:r>
    </w:p>
    <w:p>
      <w:pPr>
        <w:pStyle w:val="PlainText"/>
        <w:ind w:firstLine="480" w:firstLineChars="200"/>
        <w:rPr>
          <w:rFonts w:hAnsi="宋体" w:hint="eastAsia"/>
          <w:sz w:val="24"/>
        </w:rPr>
      </w:pPr>
      <w:r>
        <w:rPr>
          <w:rFonts w:hAnsi="宋体" w:hint="eastAsia"/>
          <w:sz w:val="24"/>
        </w:rPr>
        <w:t>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pStyle w:val="PlainText"/>
        <w:ind w:firstLine="480" w:firstLineChars="200"/>
        <w:rPr>
          <w:rFonts w:hAnsi="宋体" w:hint="eastAsia"/>
          <w:sz w:val="24"/>
        </w:rPr>
      </w:pPr>
      <w:r>
        <w:rPr>
          <w:rFonts w:hAnsi="宋体" w:hint="eastAsia"/>
          <w:sz w:val="24"/>
        </w:rPr>
        <w:t>（八）投标文件的递交</w:t>
      </w:r>
    </w:p>
    <w:p>
      <w:pPr>
        <w:pStyle w:val="PlainText"/>
        <w:ind w:firstLine="480" w:firstLineChars="200"/>
        <w:rPr>
          <w:rFonts w:hAnsi="宋体" w:hint="eastAsia"/>
          <w:sz w:val="24"/>
        </w:rPr>
      </w:pPr>
      <w:r>
        <w:rPr>
          <w:rFonts w:hAnsi="宋体" w:hint="eastAsia"/>
          <w:sz w:val="24"/>
        </w:rPr>
        <w:t>1.投标文件的密封与标记</w:t>
      </w:r>
    </w:p>
    <w:p>
      <w:pPr>
        <w:pStyle w:val="PlainText"/>
        <w:ind w:firstLine="480" w:firstLineChars="200"/>
        <w:rPr>
          <w:rFonts w:hAnsi="宋体" w:hint="eastAsia"/>
          <w:sz w:val="24"/>
        </w:rPr>
      </w:pPr>
      <w:r>
        <w:rPr>
          <w:rFonts w:hAnsi="宋体" w:hint="eastAsia"/>
          <w:sz w:val="24"/>
        </w:rPr>
        <w:t>1.1 投标文件的正本、副本以及电子文档均应密封送达投标地点，应在封套上注明项目名称、投标人名称。若正本、副本以及电子文档分别进行密封的，还应在封套上注明</w:t>
      </w:r>
      <w:r>
        <w:rPr>
          <w:rFonts w:hAnsi="宋体" w:hint="eastAsia"/>
          <w:sz w:val="24"/>
        </w:rPr>
        <w:t>“</w:t>
      </w:r>
      <w:r>
        <w:rPr>
          <w:rFonts w:hAnsi="宋体" w:hint="eastAsia"/>
          <w:sz w:val="24"/>
        </w:rPr>
        <w:t>正本</w:t>
      </w:r>
      <w:r>
        <w:rPr>
          <w:rFonts w:hAnsi="宋体" w:hint="eastAsia"/>
          <w:sz w:val="24"/>
        </w:rPr>
        <w:t>”</w:t>
      </w:r>
      <w:r>
        <w:rPr>
          <w:rFonts w:hAnsi="宋体" w:hint="eastAsia"/>
          <w:sz w:val="24"/>
        </w:rPr>
        <w:t>、</w:t>
      </w:r>
      <w:r>
        <w:rPr>
          <w:rFonts w:hAnsi="宋体" w:hint="eastAsia"/>
          <w:sz w:val="24"/>
        </w:rPr>
        <w:t>“</w:t>
      </w:r>
      <w:r>
        <w:rPr>
          <w:rFonts w:hAnsi="宋体" w:hint="eastAsia"/>
          <w:sz w:val="24"/>
        </w:rPr>
        <w:t>副本</w:t>
      </w:r>
      <w:r>
        <w:rPr>
          <w:rFonts w:hAnsi="宋体" w:hint="eastAsia"/>
          <w:sz w:val="24"/>
        </w:rPr>
        <w:t>”</w:t>
      </w:r>
      <w:r>
        <w:rPr>
          <w:rFonts w:hAnsi="宋体" w:hint="eastAsia"/>
          <w:sz w:val="24"/>
        </w:rPr>
        <w:t>、</w:t>
      </w:r>
      <w:r>
        <w:rPr>
          <w:rFonts w:hAnsi="宋体" w:hint="eastAsia"/>
          <w:sz w:val="24"/>
        </w:rPr>
        <w:t>“</w:t>
      </w:r>
      <w:r>
        <w:rPr>
          <w:rFonts w:hAnsi="宋体" w:hint="eastAsia"/>
          <w:sz w:val="24"/>
        </w:rPr>
        <w:t>电子文档</w:t>
      </w:r>
      <w:r>
        <w:rPr>
          <w:rFonts w:hAnsi="宋体" w:hint="eastAsia"/>
          <w:sz w:val="24"/>
        </w:rPr>
        <w:t>”</w:t>
      </w:r>
      <w:r>
        <w:rPr>
          <w:rFonts w:hAnsi="宋体" w:hint="eastAsia"/>
          <w:sz w:val="24"/>
        </w:rPr>
        <w:t>字样。</w:t>
      </w:r>
    </w:p>
    <w:p>
      <w:pPr>
        <w:pStyle w:val="PlainText"/>
        <w:ind w:firstLine="480" w:firstLineChars="200"/>
        <w:rPr>
          <w:rFonts w:hAnsi="宋体" w:hint="eastAsia"/>
          <w:sz w:val="24"/>
        </w:rPr>
      </w:pPr>
      <w:r>
        <w:rPr>
          <w:rFonts w:hAnsi="宋体" w:hint="eastAsia"/>
          <w:sz w:val="24"/>
        </w:rPr>
        <w:t>1.2封套的封口处应加盖投标人公章或由法定代表人授权代表签字。</w:t>
      </w:r>
    </w:p>
    <w:p>
      <w:pPr>
        <w:pStyle w:val="PlainText"/>
        <w:ind w:firstLine="480" w:firstLineChars="200"/>
        <w:rPr>
          <w:rFonts w:hAnsi="宋体" w:hint="eastAsia"/>
          <w:sz w:val="24"/>
        </w:rPr>
      </w:pPr>
      <w:r>
        <w:rPr>
          <w:rFonts w:hAnsi="宋体" w:hint="eastAsia"/>
          <w:sz w:val="24"/>
          <w:szCs w:val="24"/>
        </w:rPr>
        <w:t>1.3 投标文件的装订形式为</w:t>
      </w:r>
      <w:r>
        <w:rPr>
          <w:rFonts w:hAnsi="宋体" w:hint="eastAsia"/>
          <w:b/>
          <w:sz w:val="24"/>
          <w:szCs w:val="24"/>
        </w:rPr>
        <w:t>胶装</w:t>
      </w:r>
      <w:r>
        <w:rPr>
          <w:rFonts w:hAnsi="宋体" w:hint="eastAsia"/>
          <w:sz w:val="24"/>
          <w:szCs w:val="24"/>
        </w:rPr>
        <w:t>。</w:t>
      </w:r>
    </w:p>
    <w:p>
      <w:pPr>
        <w:pStyle w:val="PlainText"/>
        <w:ind w:firstLine="480" w:firstLineChars="200"/>
        <w:rPr>
          <w:rFonts w:hAnsi="宋体" w:hint="eastAsia"/>
          <w:sz w:val="24"/>
        </w:rPr>
      </w:pPr>
      <w:r>
        <w:rPr>
          <w:rFonts w:hAnsi="宋体" w:hint="eastAsia"/>
          <w:sz w:val="24"/>
        </w:rPr>
        <w:t>2.如果投标文件通过邮寄递交，投标人应将投标文件用内、外两层封套密封。</w:t>
      </w:r>
    </w:p>
    <w:p>
      <w:pPr>
        <w:pStyle w:val="PlainText"/>
        <w:ind w:firstLine="480" w:firstLineChars="200"/>
        <w:rPr>
          <w:rFonts w:hAnsi="宋体" w:hint="eastAsia"/>
          <w:sz w:val="24"/>
        </w:rPr>
      </w:pPr>
      <w:r>
        <w:rPr>
          <w:rFonts w:hAnsi="宋体" w:hint="eastAsia"/>
          <w:sz w:val="24"/>
        </w:rPr>
        <w:t>2.1 内层信封的封装与标记同第1款之规定。</w:t>
      </w:r>
    </w:p>
    <w:p>
      <w:pPr>
        <w:pStyle w:val="PlainText"/>
        <w:ind w:firstLine="480" w:firstLineChars="200"/>
        <w:rPr>
          <w:rFonts w:hAnsi="宋体" w:hint="eastAsia"/>
          <w:sz w:val="24"/>
        </w:rPr>
      </w:pPr>
      <w:r>
        <w:rPr>
          <w:rFonts w:hAnsi="宋体" w:hint="eastAsia"/>
          <w:sz w:val="24"/>
        </w:rPr>
        <w:t>2.2</w:t>
      </w:r>
      <w:r>
        <w:rPr>
          <w:rFonts w:hAnsi="宋体" w:hint="eastAsia"/>
          <w:sz w:val="24"/>
        </w:rPr>
        <w:br/>
      </w:r>
      <w:r>
        <w:rPr>
          <w:rFonts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7" w:history="1">
        <w:r>
          <w:rPr>
            <w:rFonts w:ascii="SimSun" w:eastAsia="SimSun" w:hAnsi="SimSun" w:cs="SimSun"/>
            <w:b/>
            <w:bCs/>
            <w:color w:val="0000EE"/>
            <w:kern w:val="0"/>
            <w:sz w:val="30"/>
            <w:szCs w:val="30"/>
            <w:u w:val="single" w:color="0000EE"/>
          </w:rPr>
          <w:t>https://d.book118.com/626225030200010103</w:t>
        </w:r>
      </w:hyperlink>
    </w:p>
    <w:p>
      <w:pPr>
        <w:pStyle w:val="PlainText"/>
        <w:ind w:firstLine="480" w:firstLineChars="200"/>
        <w:rPr>
          <w:rFonts w:hAnsi="宋体" w:hint="eastAsia"/>
          <w:sz w:val="24"/>
        </w:rPr>
      </w:pPr>
    </w:p>
    <w:sectPr>
      <w:headerReference w:type="default" r:id="rId78"/>
      <w:footerReference w:type="even" r:id="rId79"/>
      <w:footerReference w:type="default" r:id="rId80"/>
      <w:headerReference w:type="first" r:id="rId81"/>
      <w:type w:val="nextPage"/>
      <w:pgSz w:w="11907" w:h="16840"/>
      <w:pgMar w:top="1134" w:right="1191" w:bottom="1134" w:left="1191" w:header="851" w:footer="992" w:gutter="0"/>
      <w:pgNumType w:fmt="numberInDash" w:start="18"/>
      <w:cols w:space="708"/>
      <w:titlePg w:val="0"/>
      <w:docGrid w:linePitch="380" w:charSpace="-5735"/>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Wingdings">
    <w:panose1 w:val="05000000000000000000"/>
    <w:charset w:val="02"/>
    <w:family w:val="auto"/>
    <w:pitch w:val="default"/>
    <w:sig w:usb0="00000000" w:usb1="00000000" w:usb2="00000000" w:usb3="00000000" w:csb0="80000000" w:csb1="00000000"/>
  </w:font>
  <w:font w:name="PMingLiU">
    <w:altName w:val="Microsoft JhengHei UI"/>
    <w:panose1 w:val="02010601000101010101"/>
    <w:charset w:val="88"/>
    <w:family w:val="roman"/>
    <w:pitch w:val="default"/>
    <w:sig w:usb0="A00002FF" w:usb1="28CFFCFA"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3" w:usb1="00000000" w:usb2="00000000" w:usb3="00000000" w:csb0="00000001" w:csb1="00000000"/>
  </w:font>
  <w:font w:name="微软雅黑">
    <w:altName w:val="微软雅黑"/>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Times new man">
    <w:altName w:val="Times New Roman"/>
    <w:panose1 w:val="00000000000000000000"/>
    <w:charset w:val="00"/>
    <w:family w:val="roman"/>
    <w:pitch w:val="default"/>
    <w:sig w:usb0="00000000" w:usb1="00000000" w:usb2="00000000" w:usb3="00000000" w:csb0="00040001" w:csb1="00000000"/>
  </w:font>
  <w:font w:name="MingLiU">
    <w:altName w:val="PMingLiU-ExtB"/>
    <w:panose1 w:val="02010609000101010101"/>
    <w:charset w:val="88"/>
    <w:family w:val="modern"/>
    <w:pitch w:val="default"/>
    <w:sig w:usb0="A00002FF" w:usb1="28CFFCFA" w:usb2="00000016" w:usb3="00000000" w:csb0="00100001" w:csb1="00000000"/>
  </w:font>
  <w:font w:name="Symbol">
    <w:panose1 w:val="05050102010706020507"/>
    <w:charset w:val="02"/>
    <w:family w:val="roman"/>
    <w:pitch w:val="default"/>
    <w:sig w:usb0="00000000" w:usb1="00000000" w:usb2="00000000" w:usb3="00000000" w:csb0="80000000" w:csb1="0000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Arial Narrow">
    <w:panose1 w:val="020B0606020202030204"/>
    <w:charset w:val="00"/>
    <w:family w:val="swiss"/>
    <w:pitch w:val="default"/>
    <w:sig w:usb0="00000287" w:usb1="00000800" w:usb2="00000000" w:usb3="00000000" w:csb0="2000009F" w:csb1="DFD7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1" w:usb1="080E0000" w:usb2="00000010" w:usb3="00000000" w:csb0="00040000" w:csb1="00000000"/>
  </w:font>
  <w:font w:name="文鼎粗黑">
    <w:altName w:val="黑体"/>
    <w:panose1 w:val="00000000000000000000"/>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- 27 -</w:t>
    </w:r>
    <w:r>
      <w:rPr>
        <w:sz w:val="24"/>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- 1 -</w:t>
    </w:r>
    <w:r>
      <w:rPr>
        <w:sz w:val="24"/>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- 2 -</w:t>
    </w:r>
    <w:r>
      <w:rPr>
        <w:sz w:val="24"/>
      </w:rP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- 3 -</w:t>
    </w:r>
    <w:r>
      <w:rPr>
        <w:sz w:val="24"/>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- 4 -</w:t>
    </w:r>
    <w:r>
      <w:rPr>
        <w:sz w:val="24"/>
      </w:rPr>
      <w:fldChar w:fldCharType="end"/>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- 5 -</w:t>
    </w:r>
    <w:r>
      <w:rPr>
        <w:sz w:val="24"/>
      </w:rP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- 6 -</w:t>
    </w:r>
    <w:r>
      <w:rPr>
        <w:sz w:val="24"/>
      </w:rPr>
      <w:fldChar w:fldCharType="end"/>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- 7 -</w:t>
    </w:r>
    <w:r>
      <w:rPr>
        <w:sz w:val="24"/>
      </w:rPr>
      <w:fldChar w:fldCharType="end"/>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- 9 -</w:t>
    </w:r>
    <w:r>
      <w:rPr>
        <w:sz w:val="24"/>
      </w:rPr>
      <w:fldChar w:fldCharType="end"/>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- 9 -</w:t>
    </w:r>
    <w:r>
      <w:rPr>
        <w:sz w:val="24"/>
      </w:rPr>
      <w:fldChar w:fldCharType="end"/>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- 10 -</w:t>
    </w:r>
    <w:r>
      <w:rPr>
        <w:sz w:val="24"/>
      </w:rPr>
      <w:fldChar w:fldCharType="end"/>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- 11 -</w:t>
    </w:r>
    <w:r>
      <w:rPr>
        <w:sz w:val="24"/>
      </w:rPr>
      <w:fldChar w:fldCharType="end"/>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- 12 -</w:t>
    </w:r>
    <w:r>
      <w:rPr>
        <w:sz w:val="24"/>
      </w:rPr>
      <w:fldChar w:fldCharType="end"/>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- 14 -</w:t>
    </w:r>
    <w:r>
      <w:rPr>
        <w:sz w:val="24"/>
      </w:rPr>
      <w:fldChar w:fldCharType="end"/>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- 14 -</w:t>
    </w:r>
    <w:r>
      <w:rPr>
        <w:sz w:val="24"/>
      </w:rPr>
      <w:fldChar w:fldCharType="end"/>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- 15 -</w:t>
    </w:r>
    <w:r>
      <w:rPr>
        <w:sz w:val="24"/>
      </w:rPr>
      <w:fldChar w:fldCharType="end"/>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- 16 -</w:t>
    </w:r>
    <w:r>
      <w:rPr>
        <w:sz w:val="24"/>
      </w:rPr>
      <w:fldChar w:fldCharType="end"/>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- 18 -</w:t>
    </w:r>
    <w:r>
      <w:rPr>
        <w:sz w:val="24"/>
      </w:rPr>
      <w:fldChar w:fldCharType="end"/>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- 19 -</w:t>
    </w:r>
    <w:r>
      <w:rPr>
        <w:sz w:val="24"/>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rPr>
        <w:rFonts w:ascii="宋体" w:hAnsi="宋体" w:hint="eastAsia"/>
        <w:sz w:val="21"/>
        <w:szCs w:val="24"/>
      </w:rPr>
    </w:pPr>
    <w:r>
      <w:rPr>
        <w:rFonts w:ascii="宋体" w:hAnsi="宋体" w:hint="eastAsia"/>
        <w:sz w:val="21"/>
        <w:szCs w:val="24"/>
      </w:rPr>
      <w:t>重庆中基                                                                        招标文件</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rPr>
        <w:rFonts w:ascii="宋体" w:hAnsi="宋体" w:hint="eastAsia"/>
        <w:sz w:val="21"/>
        <w:szCs w:val="24"/>
      </w:rPr>
    </w:pPr>
    <w:r>
      <w:rPr>
        <w:rFonts w:ascii="宋体" w:hAnsi="宋体" w:hint="eastAsia"/>
        <w:sz w:val="21"/>
        <w:szCs w:val="24"/>
      </w:rPr>
      <w:t>重庆中基                                                                        招标文件</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rPr>
        <w:rFonts w:ascii="宋体" w:hAnsi="宋体" w:hint="eastAsia"/>
        <w:sz w:val="21"/>
        <w:szCs w:val="24"/>
      </w:rPr>
    </w:pPr>
    <w:r>
      <w:rPr>
        <w:rFonts w:ascii="宋体" w:hAnsi="宋体" w:hint="eastAsia"/>
        <w:sz w:val="21"/>
        <w:szCs w:val="24"/>
      </w:rPr>
      <w:t>重庆中基                                                                        招标文件</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rPr>
        <w:rFonts w:ascii="宋体" w:hAnsi="宋体" w:hint="eastAsia"/>
        <w:sz w:val="21"/>
        <w:szCs w:val="24"/>
      </w:rPr>
    </w:pPr>
    <w:r>
      <w:rPr>
        <w:rFonts w:ascii="宋体" w:hAnsi="宋体" w:hint="eastAsia"/>
        <w:sz w:val="21"/>
        <w:szCs w:val="24"/>
      </w:rPr>
      <w:t>重庆中基                                                                        招标文件</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rPr>
        <w:rFonts w:ascii="宋体" w:hAnsi="宋体" w:hint="eastAsia"/>
        <w:sz w:val="21"/>
        <w:szCs w:val="24"/>
      </w:rPr>
    </w:pPr>
    <w:r>
      <w:rPr>
        <w:rFonts w:ascii="宋体" w:hAnsi="宋体" w:hint="eastAsia"/>
        <w:sz w:val="21"/>
        <w:szCs w:val="24"/>
      </w:rPr>
      <w:t>重庆中基                                                                        招标文件</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rPr>
        <w:rFonts w:ascii="宋体" w:hAnsi="宋体" w:hint="eastAsia"/>
        <w:sz w:val="21"/>
        <w:szCs w:val="24"/>
      </w:rPr>
    </w:pPr>
    <w:r>
      <w:rPr>
        <w:rFonts w:ascii="宋体" w:hAnsi="宋体" w:hint="eastAsia"/>
        <w:sz w:val="21"/>
        <w:szCs w:val="24"/>
      </w:rPr>
      <w:t>重庆中基                                                                        招标文件</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rPr>
        <w:rFonts w:ascii="宋体" w:hAnsi="宋体" w:hint="eastAsia"/>
        <w:sz w:val="21"/>
        <w:szCs w:val="24"/>
      </w:rPr>
    </w:pPr>
    <w:r>
      <w:rPr>
        <w:rFonts w:ascii="宋体" w:hAnsi="宋体" w:hint="eastAsia"/>
        <w:sz w:val="21"/>
        <w:szCs w:val="24"/>
      </w:rPr>
      <w:t>重庆中基                                                                        招标文件</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rPr>
        <w:rFonts w:ascii="宋体" w:hAnsi="宋体" w:hint="eastAsia"/>
        <w:sz w:val="21"/>
        <w:szCs w:val="24"/>
      </w:rPr>
    </w:pPr>
    <w:r>
      <w:rPr>
        <w:rFonts w:ascii="宋体" w:hAnsi="宋体" w:hint="eastAsia"/>
        <w:sz w:val="21"/>
        <w:szCs w:val="24"/>
      </w:rPr>
      <w:t>重庆中基                                                                        招标文件</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rPr>
        <w:rFonts w:ascii="宋体" w:hAnsi="宋体" w:hint="eastAsia"/>
        <w:sz w:val="21"/>
        <w:szCs w:val="24"/>
      </w:rPr>
    </w:pPr>
    <w:r>
      <w:rPr>
        <w:rFonts w:ascii="宋体" w:hAnsi="宋体" w:hint="eastAsia"/>
        <w:sz w:val="21"/>
        <w:szCs w:val="24"/>
      </w:rPr>
      <w:t>重庆中基                                                                        招标文件</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rPr>
        <w:rFonts w:ascii="宋体" w:hAnsi="宋体" w:hint="eastAsia"/>
        <w:sz w:val="21"/>
        <w:szCs w:val="24"/>
      </w:rPr>
    </w:pPr>
    <w:r>
      <w:rPr>
        <w:rFonts w:ascii="宋体" w:hAnsi="宋体" w:hint="eastAsia"/>
        <w:sz w:val="21"/>
        <w:szCs w:val="24"/>
      </w:rPr>
      <w:t>重庆中基                                                                        招标文件</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rPr>
        <w:rFonts w:ascii="宋体" w:hAnsi="宋体" w:hint="eastAsia"/>
        <w:sz w:val="21"/>
        <w:szCs w:val="24"/>
      </w:rPr>
    </w:pPr>
    <w:r>
      <w:rPr>
        <w:rFonts w:ascii="宋体" w:hAnsi="宋体" w:hint="eastAsia"/>
        <w:sz w:val="21"/>
        <w:szCs w:val="24"/>
      </w:rPr>
      <w:t>重庆中基                                                                        招标文件</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rPr>
        <w:rFonts w:ascii="宋体" w:hAnsi="宋体" w:hint="eastAsia"/>
        <w:sz w:val="21"/>
        <w:szCs w:val="24"/>
      </w:rPr>
    </w:pPr>
    <w:r>
      <w:rPr>
        <w:rFonts w:ascii="宋体" w:hAnsi="宋体" w:hint="eastAsia"/>
        <w:sz w:val="21"/>
        <w:szCs w:val="24"/>
      </w:rPr>
      <w:t>重庆中基                                                                        招标文件</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rPr>
        <w:rFonts w:ascii="宋体" w:hAnsi="宋体" w:hint="eastAsia"/>
        <w:sz w:val="21"/>
        <w:szCs w:val="24"/>
      </w:rPr>
    </w:pPr>
    <w:r>
      <w:rPr>
        <w:rFonts w:ascii="宋体" w:hAnsi="宋体" w:hint="eastAsia"/>
        <w:sz w:val="21"/>
        <w:szCs w:val="24"/>
      </w:rPr>
      <w:t>重庆中基                                                                        招标文件</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rPr>
        <w:rFonts w:ascii="宋体" w:hAnsi="宋体" w:hint="eastAsia"/>
        <w:sz w:val="21"/>
        <w:szCs w:val="24"/>
      </w:rPr>
    </w:pPr>
    <w:r>
      <w:rPr>
        <w:rFonts w:ascii="宋体" w:hAnsi="宋体" w:hint="eastAsia"/>
        <w:sz w:val="21"/>
        <w:szCs w:val="24"/>
      </w:rPr>
      <w:t>重庆中基                                                                        招标文件</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rPr>
        <w:rFonts w:ascii="宋体" w:hAnsi="宋体" w:hint="eastAsia"/>
        <w:sz w:val="21"/>
        <w:szCs w:val="24"/>
      </w:rPr>
    </w:pPr>
    <w:r>
      <w:rPr>
        <w:rFonts w:ascii="宋体" w:hAnsi="宋体" w:hint="eastAsia"/>
        <w:sz w:val="21"/>
        <w:szCs w:val="24"/>
      </w:rPr>
      <w:t>重庆中基                                                                        招标文件</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rPr>
        <w:rFonts w:ascii="宋体" w:hAnsi="宋体" w:hint="eastAsia"/>
        <w:sz w:val="21"/>
        <w:szCs w:val="24"/>
      </w:rPr>
    </w:pPr>
    <w:r>
      <w:rPr>
        <w:rFonts w:ascii="宋体" w:hAnsi="宋体" w:hint="eastAsia"/>
        <w:sz w:val="21"/>
        <w:szCs w:val="24"/>
      </w:rPr>
      <w:t>重庆中基                                                                        招标文件</w: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rPr>
        <w:rFonts w:ascii="宋体" w:hAnsi="宋体" w:hint="eastAsia"/>
        <w:sz w:val="21"/>
        <w:szCs w:val="24"/>
      </w:rPr>
    </w:pPr>
    <w:r>
      <w:rPr>
        <w:rFonts w:ascii="宋体" w:hAnsi="宋体" w:hint="eastAsia"/>
        <w:sz w:val="21"/>
        <w:szCs w:val="24"/>
      </w:rPr>
      <w:t>重庆中基                                                                        招标文件</w: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rPr>
        <w:rFonts w:ascii="宋体" w:hAnsi="宋体" w:hint="eastAsia"/>
        <w:sz w:val="21"/>
        <w:szCs w:val="24"/>
      </w:rPr>
    </w:pPr>
    <w:r>
      <w:rPr>
        <w:rFonts w:ascii="宋体" w:hAnsi="宋体" w:hint="eastAsia"/>
        <w:sz w:val="21"/>
        <w:szCs w:val="24"/>
      </w:rPr>
      <w:t>重庆中基                                                                        招标文件</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rPr>
        <w:rFonts w:ascii="宋体" w:hAnsi="宋体" w:hint="eastAsia"/>
        <w:sz w:val="21"/>
        <w:szCs w:val="24"/>
      </w:rPr>
    </w:pPr>
    <w:r>
      <w:rPr>
        <w:rFonts w:ascii="宋体" w:hAnsi="宋体" w:hint="eastAsia"/>
        <w:sz w:val="21"/>
        <w:szCs w:val="24"/>
      </w:rPr>
      <w:t>重庆中基                                                                        招标文件</w: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lvl w:ilvl="0">
      <w:start w:val="1"/>
      <w:numFmt w:val="decimal"/>
      <w:lvlText w:val="%1."/>
      <w:lvlJc w:val="left"/>
      <w:pPr>
        <w:tabs>
          <w:tab w:val="num" w:pos="922"/>
        </w:tabs>
        <w:ind w:left="922" w:hanging="360"/>
      </w:pPr>
    </w:lvl>
  </w:abstractNum>
  <w:abstractNum w:abstractNumId="1">
    <w:nsid w:val="00000003"/>
    <w:multiLevelType w:val="multilevel"/>
    <w:tmpl w:val="00000003"/>
    <w:lvl w:ilvl="0">
      <w:start w:val="1"/>
      <w:numFmt w:val="bullet"/>
      <w:lvlText w:val=""/>
      <w:lvlJc w:val="left"/>
      <w:pPr>
        <w:tabs>
          <w:tab w:val="num" w:pos="980"/>
        </w:tabs>
        <w:ind w:left="980" w:hanging="360"/>
      </w:pPr>
      <w:rPr>
        <w:rFonts w:ascii="Wingdings" w:hAnsi="Wingdings" w:hint="default"/>
      </w:rPr>
    </w:lvl>
    <w:lvl w:ilvl="1">
      <w:start w:val="1"/>
      <w:numFmt w:val="bullet"/>
      <w:lvlText w:val=""/>
      <w:lvlJc w:val="left"/>
      <w:pPr>
        <w:tabs>
          <w:tab w:val="num" w:pos="1040"/>
        </w:tabs>
        <w:ind w:left="1040" w:hanging="420"/>
      </w:pPr>
      <w:rPr>
        <w:rFonts w:ascii="Wingdings" w:hAnsi="Wingdings" w:hint="default"/>
      </w:rPr>
    </w:lvl>
    <w:lvl w:ilvl="2">
      <w:start w:val="1"/>
      <w:numFmt w:val="bullet"/>
      <w:lvlText w:val=""/>
      <w:lvlJc w:val="left"/>
      <w:pPr>
        <w:tabs>
          <w:tab w:val="num" w:pos="1460"/>
        </w:tabs>
        <w:ind w:left="1460" w:hanging="420"/>
      </w:pPr>
      <w:rPr>
        <w:rFonts w:ascii="Wingdings" w:hAnsi="Wingdings" w:hint="default"/>
      </w:rPr>
    </w:lvl>
    <w:lvl w:ilvl="3">
      <w:start w:val="1"/>
      <w:numFmt w:val="bullet"/>
      <w:lvlText w:val=""/>
      <w:lvlJc w:val="left"/>
      <w:pPr>
        <w:tabs>
          <w:tab w:val="num" w:pos="1880"/>
        </w:tabs>
        <w:ind w:left="1880" w:hanging="420"/>
      </w:pPr>
      <w:rPr>
        <w:rFonts w:ascii="Wingdings" w:hAnsi="Wingdings" w:hint="default"/>
      </w:rPr>
    </w:lvl>
    <w:lvl w:ilvl="4">
      <w:start w:val="1"/>
      <w:numFmt w:val="bullet"/>
      <w:lvlText w:val=""/>
      <w:lvlJc w:val="left"/>
      <w:pPr>
        <w:tabs>
          <w:tab w:val="num" w:pos="2300"/>
        </w:tabs>
        <w:ind w:left="2300" w:hanging="420"/>
      </w:pPr>
      <w:rPr>
        <w:rFonts w:ascii="Wingdings" w:hAnsi="Wingdings" w:hint="default"/>
      </w:rPr>
    </w:lvl>
    <w:lvl w:ilvl="5">
      <w:start w:val="1"/>
      <w:numFmt w:val="bullet"/>
      <w:lvlText w:val=""/>
      <w:lvlJc w:val="left"/>
      <w:pPr>
        <w:tabs>
          <w:tab w:val="num" w:pos="2720"/>
        </w:tabs>
        <w:ind w:left="2720" w:hanging="420"/>
      </w:pPr>
      <w:rPr>
        <w:rFonts w:ascii="Wingdings" w:hAnsi="Wingdings" w:hint="default"/>
      </w:rPr>
    </w:lvl>
    <w:lvl w:ilvl="6">
      <w:start w:val="1"/>
      <w:numFmt w:val="bullet"/>
      <w:lvlText w:val=""/>
      <w:lvlJc w:val="left"/>
      <w:pPr>
        <w:tabs>
          <w:tab w:val="num" w:pos="3140"/>
        </w:tabs>
        <w:ind w:left="3140" w:hanging="420"/>
      </w:pPr>
      <w:rPr>
        <w:rFonts w:ascii="Wingdings" w:hAnsi="Wingdings" w:hint="default"/>
      </w:rPr>
    </w:lvl>
    <w:lvl w:ilvl="7">
      <w:start w:val="1"/>
      <w:numFmt w:val="bullet"/>
      <w:lvlText w:val=""/>
      <w:lvlJc w:val="left"/>
      <w:pPr>
        <w:tabs>
          <w:tab w:val="num" w:pos="3560"/>
        </w:tabs>
        <w:ind w:left="3560" w:hanging="420"/>
      </w:pPr>
      <w:rPr>
        <w:rFonts w:ascii="Wingdings" w:hAnsi="Wingdings" w:hint="default"/>
      </w:rPr>
    </w:lvl>
    <w:lvl w:ilvl="8">
      <w:start w:val="1"/>
      <w:numFmt w:val="bullet"/>
      <w:lvlText w:val=""/>
      <w:lvlJc w:val="left"/>
      <w:pPr>
        <w:tabs>
          <w:tab w:val="num" w:pos="3980"/>
        </w:tabs>
        <w:ind w:left="3980" w:hanging="420"/>
      </w:pPr>
      <w:rPr>
        <w:rFonts w:ascii="Wingdings" w:hAnsi="Wingdings" w:hint="default"/>
      </w:rPr>
    </w:lvl>
  </w:abstractNum>
  <w:abstractNum w:abstractNumId="2">
    <w:nsid w:val="00000004"/>
    <w:multiLevelType w:val="singleLevel"/>
    <w:tmpl w:val="00000004"/>
    <w:lvl w:ilvl="0">
      <w:start w:val="1"/>
      <w:numFmt w:val="bullet"/>
      <w:lvlText w:val=""/>
      <w:lvlJc w:val="left"/>
      <w:pPr>
        <w:tabs>
          <w:tab w:val="num" w:pos="1620"/>
        </w:tabs>
        <w:ind w:left="1620" w:hanging="360"/>
      </w:pPr>
      <w:rPr>
        <w:rFonts w:ascii="Wingdings" w:hAnsi="Wingdings" w:hint="default"/>
      </w:rPr>
    </w:lvl>
  </w:abstractNum>
  <w:abstractNum w:abstractNumId="3">
    <w:nsid w:val="00000005"/>
    <w:multiLevelType w:val="multilevel"/>
    <w:tmpl w:val="00000005"/>
    <w:lvl w:ilvl="0">
      <w:start w:val="1"/>
      <w:numFmt w:val="bullet"/>
      <w:lvlText w:val=""/>
      <w:lvlJc w:val="left"/>
      <w:pPr>
        <w:tabs>
          <w:tab w:val="num" w:pos="987"/>
        </w:tabs>
        <w:ind w:left="987" w:hanging="420"/>
      </w:pPr>
      <w:rPr>
        <w:rFonts w:ascii="Wingdings" w:hAnsi="Wingdings" w:hint="default"/>
      </w:rPr>
    </w:lvl>
    <w:lvl w:ilvl="1">
      <w:start w:val="1"/>
      <w:numFmt w:val="lowerLetter"/>
      <w:lvlText w:val="%2)"/>
      <w:lvlJc w:val="left"/>
      <w:pPr>
        <w:tabs>
          <w:tab w:val="num" w:pos="840"/>
        </w:tabs>
        <w:ind w:left="840" w:hanging="420"/>
      </w:pPr>
    </w:lvl>
    <w:lvl w:ilvl="2">
      <w:start w:val="1"/>
      <w:numFmt w:val="decimal"/>
      <w:lvlText w:val="%3、"/>
      <w:lvlJc w:val="left"/>
      <w:pPr>
        <w:tabs>
          <w:tab w:val="num" w:pos="1200"/>
        </w:tabs>
        <w:ind w:left="1200" w:hanging="360"/>
      </w:pPr>
      <w:rPr>
        <w:rFonts w:hint="eastAsia"/>
      </w:rPr>
    </w:lvl>
    <w:lvl w:ilvl="3">
      <w:start w:val="1"/>
      <w:numFmt w:val="bullet"/>
      <w:lvlText w:val=""/>
      <w:lvlJc w:val="left"/>
      <w:pPr>
        <w:tabs>
          <w:tab w:val="num" w:pos="1680"/>
        </w:tabs>
        <w:ind w:left="1680" w:hanging="420"/>
      </w:pPr>
      <w:rPr>
        <w:rFonts w:ascii="Wingdings" w:hAnsi="Wingdings" w:hint="default"/>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0000006"/>
    <w:multiLevelType w:val="multilevel"/>
    <w:tmpl w:val="00000006"/>
    <w:lvl w:ilvl="0">
      <w:start w:val="1"/>
      <w:numFmt w:val="chineseCountingThousand"/>
      <w:lvlText w:val="%1、"/>
      <w:lvlJc w:val="left"/>
      <w:pPr>
        <w:tabs>
          <w:tab w:val="num" w:pos="720"/>
        </w:tabs>
        <w:ind w:left="4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00000007"/>
    <w:multiLevelType w:val="multilevel"/>
    <w:tmpl w:val="00000007"/>
    <w:lvl w:ilvl="0">
      <w:start w:val="1"/>
      <w:numFmt w:val="upperLetter"/>
      <w:suff w:val="nothing"/>
      <w:lvlText w:val="附　录　%1"/>
      <w:lvlJc w:val="left"/>
      <w:pPr>
        <w:ind w:left="0" w:firstLine="0"/>
      </w:pPr>
      <w:rPr>
        <w:rFonts w:ascii="黑体" w:eastAsia="黑体" w:hAnsi="Times New Roman" w:hint="eastAsia"/>
        <w:b w:val="0"/>
        <w:i w:val="0"/>
        <w:sz w:val="21"/>
      </w:rPr>
    </w:lvl>
    <w:lvl w:ilvl="1">
      <w:start w:val="1"/>
      <w:numFmt w:val="decimal"/>
      <w:suff w:val="nothing"/>
      <w:lvlText w:val="%1.%2　"/>
      <w:lvlJc w:val="left"/>
      <w:pPr>
        <w:ind w:left="210" w:firstLine="0"/>
      </w:pPr>
      <w:rPr>
        <w:rFonts w:ascii="黑体" w:eastAsia="黑体" w:hAnsi="Times New Roman" w:hint="eastAsia"/>
        <w:b w:val="0"/>
        <w:i w:val="0"/>
        <w:snapToGrid/>
        <w:spacing w:val="0"/>
        <w:w w:val="100"/>
        <w:kern w:val="21"/>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6">
    <w:nsid w:val="00000008"/>
    <w:multiLevelType w:val="multilevel"/>
    <w:tmpl w:val="00000008"/>
    <w:lvl w:ilvl="0">
      <w:start w:val="8"/>
      <w:numFmt w:val="decimal"/>
      <w:lvlText w:val="%1."/>
      <w:lvlJc w:val="left"/>
      <w:pPr>
        <w:tabs>
          <w:tab w:val="num" w:pos="425"/>
        </w:tabs>
        <w:ind w:left="425" w:hanging="425"/>
      </w:pPr>
      <w:rPr>
        <w:rFonts w:hint="eastAsia"/>
      </w:rPr>
    </w:lvl>
    <w:lvl w:ilvl="1">
      <w:start w:val="1"/>
      <w:numFmt w:val="decimal"/>
      <w:lvlText w:val="%1.%2."/>
      <w:lvlJc w:val="left"/>
      <w:pPr>
        <w:tabs>
          <w:tab w:val="num" w:pos="747"/>
        </w:tabs>
        <w:ind w:left="74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09"/>
    <w:multiLevelType w:val="multilevel"/>
    <w:tmpl w:val="00000009"/>
    <w:lvl w:ilvl="0">
      <w:start w:val="1"/>
      <w:numFmt w:val="lowerLetter"/>
      <w:lvlText w:val="%1)"/>
      <w:lvlJc w:val="left"/>
      <w:pPr>
        <w:tabs>
          <w:tab w:val="num" w:pos="998"/>
        </w:tabs>
        <w:ind w:left="998" w:hanging="431"/>
      </w:pPr>
      <w:rPr>
        <w:rFonts w:ascii="宋体" w:eastAsia="宋体" w:hint="eastAsia"/>
        <w:b w:val="0"/>
        <w:i w:val="0"/>
        <w:spacing w:val="0"/>
        <w:w w:val="100"/>
        <w:position w:val="0"/>
        <w:sz w:val="24"/>
      </w:rPr>
    </w:lvl>
    <w:lvl w:ilvl="1">
      <w:start w:val="1"/>
      <w:numFmt w:val="lowerLetter"/>
      <w:lvlText w:val="%2)"/>
      <w:lvlJc w:val="left"/>
      <w:pPr>
        <w:tabs>
          <w:tab w:val="num" w:pos="1240"/>
        </w:tabs>
        <w:ind w:left="1240" w:hanging="420"/>
      </w:pPr>
      <w:rPr>
        <w:rFonts w:hint="default"/>
      </w:rPr>
    </w:lvl>
    <w:lvl w:ilvl="2">
      <w:start w:val="1"/>
      <w:numFmt w:val="lowerRoman"/>
      <w:lvlText w:val="%3."/>
      <w:lvlJc w:val="right"/>
      <w:pPr>
        <w:tabs>
          <w:tab w:val="num" w:pos="1660"/>
        </w:tabs>
        <w:ind w:left="1660" w:hanging="420"/>
      </w:pPr>
    </w:lvl>
    <w:lvl w:ilvl="3">
      <w:start w:val="1"/>
      <w:numFmt w:val="decimal"/>
      <w:lvlText w:val="%4."/>
      <w:lvlJc w:val="left"/>
      <w:pPr>
        <w:tabs>
          <w:tab w:val="num" w:pos="2080"/>
        </w:tabs>
        <w:ind w:left="2080" w:hanging="420"/>
      </w:pPr>
    </w:lvl>
    <w:lvl w:ilvl="4">
      <w:start w:val="1"/>
      <w:numFmt w:val="lowerLetter"/>
      <w:lvlText w:val="%5)"/>
      <w:lvlJc w:val="left"/>
      <w:pPr>
        <w:tabs>
          <w:tab w:val="num" w:pos="2500"/>
        </w:tabs>
        <w:ind w:left="2500" w:hanging="420"/>
      </w:pPr>
    </w:lvl>
    <w:lvl w:ilvl="5">
      <w:start w:val="1"/>
      <w:numFmt w:val="lowerRoman"/>
      <w:lvlText w:val="%6."/>
      <w:lvlJc w:val="right"/>
      <w:pPr>
        <w:tabs>
          <w:tab w:val="num" w:pos="2920"/>
        </w:tabs>
        <w:ind w:left="2920" w:hanging="420"/>
      </w:pPr>
    </w:lvl>
    <w:lvl w:ilvl="6">
      <w:start w:val="1"/>
      <w:numFmt w:val="decimal"/>
      <w:lvlText w:val="%7."/>
      <w:lvlJc w:val="left"/>
      <w:pPr>
        <w:tabs>
          <w:tab w:val="num" w:pos="3340"/>
        </w:tabs>
        <w:ind w:left="3340" w:hanging="420"/>
      </w:pPr>
    </w:lvl>
    <w:lvl w:ilvl="7">
      <w:start w:val="1"/>
      <w:numFmt w:val="lowerLetter"/>
      <w:lvlText w:val="%8)"/>
      <w:lvlJc w:val="left"/>
      <w:pPr>
        <w:tabs>
          <w:tab w:val="num" w:pos="3760"/>
        </w:tabs>
        <w:ind w:left="3760" w:hanging="420"/>
      </w:pPr>
    </w:lvl>
    <w:lvl w:ilvl="8">
      <w:start w:val="1"/>
      <w:numFmt w:val="lowerRoman"/>
      <w:lvlText w:val="%9."/>
      <w:lvlJc w:val="right"/>
      <w:pPr>
        <w:tabs>
          <w:tab w:val="num" w:pos="4180"/>
        </w:tabs>
        <w:ind w:left="4180" w:hanging="420"/>
      </w:pPr>
    </w:lvl>
  </w:abstractNum>
  <w:abstractNum w:abstractNumId="8">
    <w:nsid w:val="0000000A"/>
    <w:multiLevelType w:val="singleLevel"/>
    <w:tmpl w:val="0000000A"/>
    <w:lvl w:ilvl="0">
      <w:start w:val="1"/>
      <w:numFmt w:val="bullet"/>
      <w:lvlText w:val=""/>
      <w:lvlJc w:val="left"/>
      <w:pPr>
        <w:tabs>
          <w:tab w:val="num" w:pos="780"/>
        </w:tabs>
        <w:ind w:left="780" w:hanging="360"/>
      </w:pPr>
      <w:rPr>
        <w:rFonts w:ascii="Wingdings" w:hAnsi="Wingdings" w:hint="default"/>
      </w:rPr>
    </w:lvl>
  </w:abstractNum>
  <w:abstractNum w:abstractNumId="9">
    <w:nsid w:val="0000000B"/>
    <w:multiLevelType w:val="multilevel"/>
    <w:tmpl w:val="0000000B"/>
    <w:lvl w:ilvl="0">
      <w:start w:val="1"/>
      <w:numFmt w:val="bullet"/>
      <w:lvlText w:val=""/>
      <w:lvlJc w:val="left"/>
      <w:pPr>
        <w:tabs>
          <w:tab w:val="num" w:pos="1644"/>
        </w:tabs>
        <w:ind w:left="1644" w:hanging="510"/>
      </w:pPr>
      <w:rPr>
        <w:rFonts w:ascii="Wingdings" w:hAnsi="Wingdings" w:hint="default"/>
        <w:color w:val="auto"/>
        <w:sz w:val="13"/>
        <w:u w:val="none"/>
      </w:rPr>
    </w:lvl>
    <w:lvl w:ilvl="1">
      <w:start w:val="1"/>
      <w:numFmt w:val="bullet"/>
      <w:lvlText w:val=""/>
      <w:lvlJc w:val="left"/>
      <w:pPr>
        <w:tabs>
          <w:tab w:val="num" w:pos="840"/>
        </w:tabs>
        <w:ind w:left="840" w:hanging="420"/>
      </w:pPr>
      <w:rPr>
        <w:rFonts w:ascii="Wingdings" w:hAnsi="Wingdings" w:hint="default"/>
        <w:color w:val="auto"/>
        <w:sz w:val="13"/>
        <w:u w:val="none"/>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0">
    <w:nsid w:val="0000000C"/>
    <w:multiLevelType w:val="multilevel"/>
    <w:tmpl w:val="0000000C"/>
    <w:lvl w:ilvl="0">
      <w:start w:val="1"/>
      <w:numFmt w:val="decimal"/>
      <w:lvlText w:val="(%1)"/>
      <w:lvlJc w:val="left"/>
      <w:pPr>
        <w:tabs>
          <w:tab w:val="num" w:pos="397"/>
        </w:tabs>
        <w:ind w:left="397" w:hanging="397"/>
      </w:pPr>
      <w:rPr>
        <w:rFonts w:ascii="Arial" w:eastAsia="宋体" w:hAnsi="Arial" w:hint="default"/>
        <w:b w:val="0"/>
        <w:i w:val="0"/>
        <w:color w:val="auto"/>
        <w:sz w:val="18"/>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nsid w:val="0000000D"/>
    <w:multiLevelType w:val="singleLevel"/>
    <w:tmpl w:val="0000000D"/>
    <w:lvl w:ilvl="0">
      <w:start w:val="1"/>
      <w:numFmt w:val="bullet"/>
      <w:lvlText w:val=""/>
      <w:lvlJc w:val="left"/>
      <w:pPr>
        <w:tabs>
          <w:tab w:val="num" w:pos="360"/>
        </w:tabs>
        <w:ind w:left="360" w:hanging="360"/>
      </w:pPr>
      <w:rPr>
        <w:rFonts w:ascii="Wingdings" w:hAnsi="Wingdings" w:hint="default"/>
      </w:rPr>
    </w:lvl>
  </w:abstractNum>
  <w:abstractNum w:abstractNumId="12">
    <w:nsid w:val="0000000E"/>
    <w:multiLevelType w:val="singleLevel"/>
    <w:tmpl w:val="0000000E"/>
    <w:lvl w:ilvl="0">
      <w:start w:val="1"/>
      <w:numFmt w:val="bullet"/>
      <w:lvlText w:val=""/>
      <w:lvlJc w:val="left"/>
      <w:pPr>
        <w:tabs>
          <w:tab w:val="num" w:pos="1200"/>
        </w:tabs>
        <w:ind w:left="1200" w:hanging="360"/>
      </w:pPr>
      <w:rPr>
        <w:rFonts w:ascii="Wingdings" w:hAnsi="Wingdings" w:hint="default"/>
      </w:rPr>
    </w:lvl>
  </w:abstractNum>
  <w:abstractNum w:abstractNumId="13">
    <w:nsid w:val="0000000F"/>
    <w:multiLevelType w:val="singleLevel"/>
    <w:tmpl w:val="0000000F"/>
    <w:lvl w:ilvl="0">
      <w:start w:val="1"/>
      <w:numFmt w:val="decimal"/>
      <w:lvlText w:val="%1)"/>
      <w:lvlJc w:val="left"/>
      <w:pPr>
        <w:tabs>
          <w:tab w:val="num" w:pos="425"/>
        </w:tabs>
        <w:ind w:left="425" w:hanging="425"/>
      </w:pPr>
      <w:rPr>
        <w:rFonts w:hint="eastAsia"/>
      </w:rPr>
    </w:lvl>
  </w:abstractNum>
  <w:abstractNum w:abstractNumId="14">
    <w:nsid w:val="00000010"/>
    <w:multiLevelType w:val="multilevel"/>
    <w:tmpl w:val="00000010"/>
    <w:lvl w:ilvl="0">
      <w:start w:val="1"/>
      <w:numFmt w:val="decimal"/>
      <w:lvlText w:val="（%1）"/>
      <w:lvlJc w:val="left"/>
      <w:pPr>
        <w:tabs>
          <w:tab w:val="num" w:pos="1230"/>
        </w:tabs>
        <w:ind w:left="0" w:firstLine="510"/>
      </w:pPr>
      <w:rPr>
        <w:rFonts w:ascii="Arial" w:hAnsi="Arial" w:hint="default"/>
        <w:b w:val="0"/>
        <w:i w:val="0"/>
        <w:sz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
    <w:nsid w:val="00000011"/>
    <w:multiLevelType w:val="multilevel"/>
    <w:tmpl w:val="00000011"/>
    <w:lvl w:ilvl="0">
      <w:start w:val="1"/>
      <w:numFmt w:val="chineseCountingThousand"/>
      <w:lvlText w:val="%1、"/>
      <w:lvlJc w:val="left"/>
      <w:pPr>
        <w:tabs>
          <w:tab w:val="num" w:pos="720"/>
        </w:tabs>
        <w:ind w:left="4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
    <w:nsid w:val="00000012"/>
    <w:multiLevelType w:val="multilevel"/>
    <w:tmpl w:val="000000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nsid w:val="5EB8CDA2"/>
    <w:multiLevelType w:val="singleLevel"/>
    <w:tmpl w:val="5EB8CDA2"/>
    <w:lvl w:ilvl="0">
      <w:start w:val="3"/>
      <w:numFmt w:val="decimal"/>
      <w:suff w:val="nothing"/>
      <w:lvlText w:val="%1．"/>
      <w:lvlJc w:val="left"/>
    </w:lvl>
  </w:abstractNum>
  <w:abstractNum w:abstractNumId="18">
    <w:nsid w:val="7B931445"/>
    <w:multiLevelType w:val="multilevel"/>
    <w:tmpl w:val="7B931445"/>
    <w:lvl w:ilvl="0">
      <w:start w:val="1"/>
      <w:numFmt w:val="lowerLetter"/>
      <w:lvlText w:val="%1)"/>
      <w:lvlJc w:val="center"/>
      <w:pPr>
        <w:tabs>
          <w:tab w:val="num" w:pos="907"/>
        </w:tabs>
        <w:ind w:left="907" w:hanging="34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4"/>
  </w:num>
  <w:num w:numId="2">
    <w:abstractNumId w:val="0"/>
  </w:num>
  <w:num w:numId="3">
    <w:abstractNumId w:val="2"/>
  </w:num>
  <w:num w:numId="4">
    <w:abstractNumId w:val="12"/>
  </w:num>
  <w:num w:numId="5">
    <w:abstractNumId w:val="8"/>
  </w:num>
  <w:num w:numId="6">
    <w:abstractNumId w:val="7"/>
  </w:num>
  <w:num w:numId="7">
    <w:abstractNumId w:val="18"/>
  </w:num>
  <w:num w:numId="8">
    <w:abstractNumId w:val="16"/>
  </w:num>
  <w:num w:numId="9">
    <w:abstractNumId w:val="1"/>
  </w:num>
  <w:num w:numId="10">
    <w:abstractNumId w:val="6"/>
  </w:num>
  <w:num w:numId="11">
    <w:abstractNumId w:val="15"/>
  </w:num>
  <w:num w:numId="12">
    <w:abstractNumId w:val="14"/>
  </w:num>
  <w:num w:numId="13">
    <w:abstractNumId w:val="3"/>
  </w:num>
  <w:num w:numId="14">
    <w:abstractNumId w:val="13"/>
  </w:num>
  <w:num w:numId="15">
    <w:abstractNumId w:val="9"/>
  </w:num>
  <w:num w:numId="16">
    <w:abstractNumId w:val="10"/>
  </w:num>
  <w:num w:numId="17">
    <w:abstractNumId w:val="11"/>
  </w:num>
  <w:num w:numId="18">
    <w:abstractNumId w:val="5"/>
  </w:num>
  <w:num w:numId="1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attachedTemplate r:id="rId1"/>
  <w:stylePaneFormatFilter w:val="3F01"/>
  <w:defaultTabStop w:val="280"/>
  <w:drawingGridHorizontalSpacing w:val="140"/>
  <w:drawingGridVerticalSpacing w:val="381"/>
  <w:displayHorizontalDrawingGridEvery w:val="2"/>
  <w:doNotShadeFormData/>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lignTablesRowByRow/>
    <w:doNotUseHTMLParagraphAutoSpacing/>
    <w:useWord97LineBreakRules/>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37C"/>
    <w:rsid w:val="00000BB3"/>
    <w:rsid w:val="00001048"/>
    <w:rsid w:val="00002549"/>
    <w:rsid w:val="000025CC"/>
    <w:rsid w:val="00004E02"/>
    <w:rsid w:val="0000506C"/>
    <w:rsid w:val="00005319"/>
    <w:rsid w:val="00006755"/>
    <w:rsid w:val="000067EB"/>
    <w:rsid w:val="000069A3"/>
    <w:rsid w:val="00007149"/>
    <w:rsid w:val="000072F0"/>
    <w:rsid w:val="000078A3"/>
    <w:rsid w:val="00011569"/>
    <w:rsid w:val="00011AF1"/>
    <w:rsid w:val="00011C18"/>
    <w:rsid w:val="0001256F"/>
    <w:rsid w:val="00012605"/>
    <w:rsid w:val="0001387A"/>
    <w:rsid w:val="00016C0A"/>
    <w:rsid w:val="00020335"/>
    <w:rsid w:val="00020FBD"/>
    <w:rsid w:val="00021946"/>
    <w:rsid w:val="00022C12"/>
    <w:rsid w:val="00023CD3"/>
    <w:rsid w:val="00024282"/>
    <w:rsid w:val="000247C2"/>
    <w:rsid w:val="00025BE4"/>
    <w:rsid w:val="00025C8E"/>
    <w:rsid w:val="000266A1"/>
    <w:rsid w:val="00026C44"/>
    <w:rsid w:val="0003075E"/>
    <w:rsid w:val="0003128E"/>
    <w:rsid w:val="0003282A"/>
    <w:rsid w:val="00032DF0"/>
    <w:rsid w:val="000338DD"/>
    <w:rsid w:val="0003395A"/>
    <w:rsid w:val="00034A67"/>
    <w:rsid w:val="00034B0C"/>
    <w:rsid w:val="000372CB"/>
    <w:rsid w:val="0003767C"/>
    <w:rsid w:val="000376BA"/>
    <w:rsid w:val="000406CF"/>
    <w:rsid w:val="000415A8"/>
    <w:rsid w:val="00042250"/>
    <w:rsid w:val="00042B19"/>
    <w:rsid w:val="00043311"/>
    <w:rsid w:val="00044113"/>
    <w:rsid w:val="00044C05"/>
    <w:rsid w:val="00047234"/>
    <w:rsid w:val="00047A7B"/>
    <w:rsid w:val="00047B80"/>
    <w:rsid w:val="00050773"/>
    <w:rsid w:val="00051C4B"/>
    <w:rsid w:val="0005219D"/>
    <w:rsid w:val="00052DE9"/>
    <w:rsid w:val="00054BCC"/>
    <w:rsid w:val="00056058"/>
    <w:rsid w:val="00057565"/>
    <w:rsid w:val="00060807"/>
    <w:rsid w:val="00060C07"/>
    <w:rsid w:val="00062B30"/>
    <w:rsid w:val="00062B64"/>
    <w:rsid w:val="00064084"/>
    <w:rsid w:val="00064716"/>
    <w:rsid w:val="00064EA7"/>
    <w:rsid w:val="0006572E"/>
    <w:rsid w:val="0006679A"/>
    <w:rsid w:val="0006780A"/>
    <w:rsid w:val="000706E4"/>
    <w:rsid w:val="000728E5"/>
    <w:rsid w:val="00072E78"/>
    <w:rsid w:val="00073239"/>
    <w:rsid w:val="00073CF0"/>
    <w:rsid w:val="00074029"/>
    <w:rsid w:val="00074787"/>
    <w:rsid w:val="000753D0"/>
    <w:rsid w:val="00075520"/>
    <w:rsid w:val="000766C6"/>
    <w:rsid w:val="00076B4C"/>
    <w:rsid w:val="00080708"/>
    <w:rsid w:val="000808FD"/>
    <w:rsid w:val="00082209"/>
    <w:rsid w:val="00085E6E"/>
    <w:rsid w:val="000903C2"/>
    <w:rsid w:val="00090862"/>
    <w:rsid w:val="00092BCD"/>
    <w:rsid w:val="0009461A"/>
    <w:rsid w:val="000946BD"/>
    <w:rsid w:val="00094D91"/>
    <w:rsid w:val="0009546B"/>
    <w:rsid w:val="000955F7"/>
    <w:rsid w:val="0009645D"/>
    <w:rsid w:val="00097334"/>
    <w:rsid w:val="000A1F2A"/>
    <w:rsid w:val="000A2E4E"/>
    <w:rsid w:val="000A3134"/>
    <w:rsid w:val="000A36C8"/>
    <w:rsid w:val="000A3ABA"/>
    <w:rsid w:val="000A4082"/>
    <w:rsid w:val="000A4A12"/>
    <w:rsid w:val="000A4C15"/>
    <w:rsid w:val="000A5589"/>
    <w:rsid w:val="000A7D17"/>
    <w:rsid w:val="000B0F25"/>
    <w:rsid w:val="000B137B"/>
    <w:rsid w:val="000B1A94"/>
    <w:rsid w:val="000B2716"/>
    <w:rsid w:val="000B3967"/>
    <w:rsid w:val="000B643D"/>
    <w:rsid w:val="000B6BAF"/>
    <w:rsid w:val="000B7999"/>
    <w:rsid w:val="000C06D1"/>
    <w:rsid w:val="000C1416"/>
    <w:rsid w:val="000C2017"/>
    <w:rsid w:val="000C2306"/>
    <w:rsid w:val="000C2606"/>
    <w:rsid w:val="000C2700"/>
    <w:rsid w:val="000C2B7C"/>
    <w:rsid w:val="000C2DAA"/>
    <w:rsid w:val="000C31FB"/>
    <w:rsid w:val="000C4016"/>
    <w:rsid w:val="000C47BC"/>
    <w:rsid w:val="000C70EF"/>
    <w:rsid w:val="000C743E"/>
    <w:rsid w:val="000D02B0"/>
    <w:rsid w:val="000D0A7B"/>
    <w:rsid w:val="000D0E33"/>
    <w:rsid w:val="000D1143"/>
    <w:rsid w:val="000D1AB7"/>
    <w:rsid w:val="000D2999"/>
    <w:rsid w:val="000D568F"/>
    <w:rsid w:val="000D66BE"/>
    <w:rsid w:val="000D7871"/>
    <w:rsid w:val="000E14D0"/>
    <w:rsid w:val="000E1C83"/>
    <w:rsid w:val="000E32C9"/>
    <w:rsid w:val="000E3EED"/>
    <w:rsid w:val="000E41E0"/>
    <w:rsid w:val="000E43DC"/>
    <w:rsid w:val="000E6331"/>
    <w:rsid w:val="000F16AA"/>
    <w:rsid w:val="000F16DF"/>
    <w:rsid w:val="000F176A"/>
    <w:rsid w:val="000F30CC"/>
    <w:rsid w:val="000F3783"/>
    <w:rsid w:val="000F391C"/>
    <w:rsid w:val="000F482B"/>
    <w:rsid w:val="000F551D"/>
    <w:rsid w:val="000F5A3C"/>
    <w:rsid w:val="000F66AB"/>
    <w:rsid w:val="001022A2"/>
    <w:rsid w:val="00103D80"/>
    <w:rsid w:val="00105059"/>
    <w:rsid w:val="00105575"/>
    <w:rsid w:val="001103D7"/>
    <w:rsid w:val="00110AA3"/>
    <w:rsid w:val="00111819"/>
    <w:rsid w:val="0011194D"/>
    <w:rsid w:val="00112522"/>
    <w:rsid w:val="001125BF"/>
    <w:rsid w:val="001127DA"/>
    <w:rsid w:val="0011341F"/>
    <w:rsid w:val="00113665"/>
    <w:rsid w:val="00113844"/>
    <w:rsid w:val="00113C81"/>
    <w:rsid w:val="00115079"/>
    <w:rsid w:val="00115C11"/>
    <w:rsid w:val="001218E4"/>
    <w:rsid w:val="00121D8A"/>
    <w:rsid w:val="00122200"/>
    <w:rsid w:val="0012297F"/>
    <w:rsid w:val="00122FAE"/>
    <w:rsid w:val="00123D2B"/>
    <w:rsid w:val="001248EE"/>
    <w:rsid w:val="00124C6E"/>
    <w:rsid w:val="001256A8"/>
    <w:rsid w:val="0012662F"/>
    <w:rsid w:val="00126890"/>
    <w:rsid w:val="00127050"/>
    <w:rsid w:val="00127625"/>
    <w:rsid w:val="00131391"/>
    <w:rsid w:val="001329C4"/>
    <w:rsid w:val="00132E1E"/>
    <w:rsid w:val="001334D0"/>
    <w:rsid w:val="00134920"/>
    <w:rsid w:val="00135250"/>
    <w:rsid w:val="00135556"/>
    <w:rsid w:val="001355D8"/>
    <w:rsid w:val="00135C9C"/>
    <w:rsid w:val="00135FDA"/>
    <w:rsid w:val="00136597"/>
    <w:rsid w:val="00136C37"/>
    <w:rsid w:val="0014045A"/>
    <w:rsid w:val="001407E1"/>
    <w:rsid w:val="001407F6"/>
    <w:rsid w:val="00143DC5"/>
    <w:rsid w:val="001455B8"/>
    <w:rsid w:val="00145655"/>
    <w:rsid w:val="00146DE2"/>
    <w:rsid w:val="00147165"/>
    <w:rsid w:val="001478B0"/>
    <w:rsid w:val="00147919"/>
    <w:rsid w:val="00150DE0"/>
    <w:rsid w:val="00151161"/>
    <w:rsid w:val="00151E01"/>
    <w:rsid w:val="0015271E"/>
    <w:rsid w:val="00152811"/>
    <w:rsid w:val="001528E5"/>
    <w:rsid w:val="0015388F"/>
    <w:rsid w:val="00153F16"/>
    <w:rsid w:val="0015436D"/>
    <w:rsid w:val="00156F03"/>
    <w:rsid w:val="00157813"/>
    <w:rsid w:val="00160447"/>
    <w:rsid w:val="00161645"/>
    <w:rsid w:val="0016395D"/>
    <w:rsid w:val="0016463D"/>
    <w:rsid w:val="0016558B"/>
    <w:rsid w:val="00165725"/>
    <w:rsid w:val="00165D21"/>
    <w:rsid w:val="00165F2F"/>
    <w:rsid w:val="00166ACA"/>
    <w:rsid w:val="00166ADD"/>
    <w:rsid w:val="00167823"/>
    <w:rsid w:val="0016790F"/>
    <w:rsid w:val="00167926"/>
    <w:rsid w:val="001711CC"/>
    <w:rsid w:val="0017127D"/>
    <w:rsid w:val="001715CF"/>
    <w:rsid w:val="00171DF8"/>
    <w:rsid w:val="00174186"/>
    <w:rsid w:val="0017445B"/>
    <w:rsid w:val="00176132"/>
    <w:rsid w:val="001767A8"/>
    <w:rsid w:val="001768F1"/>
    <w:rsid w:val="00177808"/>
    <w:rsid w:val="0018194D"/>
    <w:rsid w:val="00183CF3"/>
    <w:rsid w:val="0018467B"/>
    <w:rsid w:val="00184ECC"/>
    <w:rsid w:val="00185A32"/>
    <w:rsid w:val="00185DFD"/>
    <w:rsid w:val="001864B0"/>
    <w:rsid w:val="00186A28"/>
    <w:rsid w:val="001871C6"/>
    <w:rsid w:val="00187361"/>
    <w:rsid w:val="001874E5"/>
    <w:rsid w:val="00187A7F"/>
    <w:rsid w:val="00187F68"/>
    <w:rsid w:val="00191EDB"/>
    <w:rsid w:val="0019212E"/>
    <w:rsid w:val="00193C97"/>
    <w:rsid w:val="00195BAD"/>
    <w:rsid w:val="001961B5"/>
    <w:rsid w:val="00197B4A"/>
    <w:rsid w:val="001A0790"/>
    <w:rsid w:val="001A0940"/>
    <w:rsid w:val="001A1298"/>
    <w:rsid w:val="001A35A4"/>
    <w:rsid w:val="001A4064"/>
    <w:rsid w:val="001A4093"/>
    <w:rsid w:val="001A4726"/>
    <w:rsid w:val="001A49EF"/>
    <w:rsid w:val="001B007A"/>
    <w:rsid w:val="001B3B73"/>
    <w:rsid w:val="001B41C1"/>
    <w:rsid w:val="001B4A20"/>
    <w:rsid w:val="001B6782"/>
    <w:rsid w:val="001B689A"/>
    <w:rsid w:val="001B6992"/>
    <w:rsid w:val="001B7B3B"/>
    <w:rsid w:val="001C0775"/>
    <w:rsid w:val="001C08B0"/>
    <w:rsid w:val="001C0A93"/>
    <w:rsid w:val="001C17D1"/>
    <w:rsid w:val="001C2080"/>
    <w:rsid w:val="001C2ED3"/>
    <w:rsid w:val="001C3BB4"/>
    <w:rsid w:val="001C5088"/>
    <w:rsid w:val="001C64C5"/>
    <w:rsid w:val="001C6A1E"/>
    <w:rsid w:val="001C6A2B"/>
    <w:rsid w:val="001C6BD8"/>
    <w:rsid w:val="001C6E12"/>
    <w:rsid w:val="001C7231"/>
    <w:rsid w:val="001D18F5"/>
    <w:rsid w:val="001D26E5"/>
    <w:rsid w:val="001D3224"/>
    <w:rsid w:val="001D3953"/>
    <w:rsid w:val="001D3A25"/>
    <w:rsid w:val="001D3B47"/>
    <w:rsid w:val="001D3B7E"/>
    <w:rsid w:val="001D522F"/>
    <w:rsid w:val="001D5369"/>
    <w:rsid w:val="001D71CE"/>
    <w:rsid w:val="001E2993"/>
    <w:rsid w:val="001E4872"/>
    <w:rsid w:val="001E4E5A"/>
    <w:rsid w:val="001E4F32"/>
    <w:rsid w:val="001E4FF3"/>
    <w:rsid w:val="001E6AED"/>
    <w:rsid w:val="001E7195"/>
    <w:rsid w:val="001E7D31"/>
    <w:rsid w:val="001E7E80"/>
    <w:rsid w:val="001F07F7"/>
    <w:rsid w:val="001F170E"/>
    <w:rsid w:val="001F1A56"/>
    <w:rsid w:val="001F1B54"/>
    <w:rsid w:val="001F25F6"/>
    <w:rsid w:val="001F2CAB"/>
    <w:rsid w:val="001F381D"/>
    <w:rsid w:val="001F4C64"/>
    <w:rsid w:val="001F5A8A"/>
    <w:rsid w:val="001F6424"/>
    <w:rsid w:val="001F685D"/>
    <w:rsid w:val="001F6E3F"/>
    <w:rsid w:val="001F707E"/>
    <w:rsid w:val="002019D1"/>
    <w:rsid w:val="00202952"/>
    <w:rsid w:val="002034C3"/>
    <w:rsid w:val="00203D27"/>
    <w:rsid w:val="002040E4"/>
    <w:rsid w:val="002075E0"/>
    <w:rsid w:val="0020763C"/>
    <w:rsid w:val="00207ACB"/>
    <w:rsid w:val="002101B3"/>
    <w:rsid w:val="00211328"/>
    <w:rsid w:val="002114F1"/>
    <w:rsid w:val="00212225"/>
    <w:rsid w:val="0021245C"/>
    <w:rsid w:val="002130B5"/>
    <w:rsid w:val="00215768"/>
    <w:rsid w:val="0021649F"/>
    <w:rsid w:val="00216787"/>
    <w:rsid w:val="00217C0F"/>
    <w:rsid w:val="00220225"/>
    <w:rsid w:val="0022106E"/>
    <w:rsid w:val="00221D1F"/>
    <w:rsid w:val="00222A74"/>
    <w:rsid w:val="00222F7D"/>
    <w:rsid w:val="002230F4"/>
    <w:rsid w:val="00223814"/>
    <w:rsid w:val="00223B03"/>
    <w:rsid w:val="0022510C"/>
    <w:rsid w:val="00226064"/>
    <w:rsid w:val="0022640C"/>
    <w:rsid w:val="0022689A"/>
    <w:rsid w:val="00227076"/>
    <w:rsid w:val="0022711C"/>
    <w:rsid w:val="002275DC"/>
    <w:rsid w:val="00227651"/>
    <w:rsid w:val="00227A37"/>
    <w:rsid w:val="00230CE6"/>
    <w:rsid w:val="002337F0"/>
    <w:rsid w:val="00233AFE"/>
    <w:rsid w:val="0023476F"/>
    <w:rsid w:val="00234AE9"/>
    <w:rsid w:val="00235EC7"/>
    <w:rsid w:val="00236542"/>
    <w:rsid w:val="00236E09"/>
    <w:rsid w:val="00237468"/>
    <w:rsid w:val="0023776A"/>
    <w:rsid w:val="00241736"/>
    <w:rsid w:val="00242860"/>
    <w:rsid w:val="002435D0"/>
    <w:rsid w:val="00243693"/>
    <w:rsid w:val="00243F8F"/>
    <w:rsid w:val="00244300"/>
    <w:rsid w:val="00246964"/>
    <w:rsid w:val="002474A9"/>
    <w:rsid w:val="00247502"/>
    <w:rsid w:val="00247845"/>
    <w:rsid w:val="00247D6A"/>
    <w:rsid w:val="00250298"/>
    <w:rsid w:val="00252999"/>
    <w:rsid w:val="00252E9D"/>
    <w:rsid w:val="0025308A"/>
    <w:rsid w:val="002539DD"/>
    <w:rsid w:val="00255B17"/>
    <w:rsid w:val="00255F8C"/>
    <w:rsid w:val="0025601D"/>
    <w:rsid w:val="00257257"/>
    <w:rsid w:val="00257FF1"/>
    <w:rsid w:val="00260923"/>
    <w:rsid w:val="00260C05"/>
    <w:rsid w:val="00261D69"/>
    <w:rsid w:val="00261DE8"/>
    <w:rsid w:val="00262267"/>
    <w:rsid w:val="00262CB5"/>
    <w:rsid w:val="002632B4"/>
    <w:rsid w:val="0026367F"/>
    <w:rsid w:val="002638E5"/>
    <w:rsid w:val="00263F00"/>
    <w:rsid w:val="00264040"/>
    <w:rsid w:val="00264A68"/>
    <w:rsid w:val="00265244"/>
    <w:rsid w:val="0026613D"/>
    <w:rsid w:val="00266BCA"/>
    <w:rsid w:val="00266D03"/>
    <w:rsid w:val="00271587"/>
    <w:rsid w:val="00271665"/>
    <w:rsid w:val="00271D8D"/>
    <w:rsid w:val="00274AA3"/>
    <w:rsid w:val="00274D15"/>
    <w:rsid w:val="00275F04"/>
    <w:rsid w:val="00277307"/>
    <w:rsid w:val="00277FBF"/>
    <w:rsid w:val="0028066C"/>
    <w:rsid w:val="00280FEA"/>
    <w:rsid w:val="0028200A"/>
    <w:rsid w:val="00282E57"/>
    <w:rsid w:val="00282F6A"/>
    <w:rsid w:val="0028325D"/>
    <w:rsid w:val="002833CF"/>
    <w:rsid w:val="00283735"/>
    <w:rsid w:val="00283791"/>
    <w:rsid w:val="002851CB"/>
    <w:rsid w:val="002856EB"/>
    <w:rsid w:val="002859FF"/>
    <w:rsid w:val="00286177"/>
    <w:rsid w:val="002862D0"/>
    <w:rsid w:val="00287529"/>
    <w:rsid w:val="0029022C"/>
    <w:rsid w:val="0029051C"/>
    <w:rsid w:val="00293471"/>
    <w:rsid w:val="002941BC"/>
    <w:rsid w:val="00296E89"/>
    <w:rsid w:val="00297146"/>
    <w:rsid w:val="002975BA"/>
    <w:rsid w:val="002A008C"/>
    <w:rsid w:val="002A0576"/>
    <w:rsid w:val="002A2E63"/>
    <w:rsid w:val="002A4888"/>
    <w:rsid w:val="002A5006"/>
    <w:rsid w:val="002A5091"/>
    <w:rsid w:val="002A5556"/>
    <w:rsid w:val="002A5719"/>
    <w:rsid w:val="002A6061"/>
    <w:rsid w:val="002A6358"/>
    <w:rsid w:val="002A6591"/>
    <w:rsid w:val="002A7037"/>
    <w:rsid w:val="002A71B9"/>
    <w:rsid w:val="002A7E3D"/>
    <w:rsid w:val="002B1A45"/>
    <w:rsid w:val="002B1DCE"/>
    <w:rsid w:val="002B1F16"/>
    <w:rsid w:val="002B26F0"/>
    <w:rsid w:val="002B31D4"/>
    <w:rsid w:val="002B336F"/>
    <w:rsid w:val="002B55DE"/>
    <w:rsid w:val="002B6C05"/>
    <w:rsid w:val="002C07DE"/>
    <w:rsid w:val="002C2B65"/>
    <w:rsid w:val="002C3DE6"/>
    <w:rsid w:val="002C3FF6"/>
    <w:rsid w:val="002C43BC"/>
    <w:rsid w:val="002C54C9"/>
    <w:rsid w:val="002C5C0E"/>
    <w:rsid w:val="002C5CE6"/>
    <w:rsid w:val="002C6836"/>
    <w:rsid w:val="002C7AE9"/>
    <w:rsid w:val="002C7F2B"/>
    <w:rsid w:val="002D10BA"/>
    <w:rsid w:val="002D2F75"/>
    <w:rsid w:val="002D36E9"/>
    <w:rsid w:val="002D371B"/>
    <w:rsid w:val="002D4298"/>
    <w:rsid w:val="002D66B9"/>
    <w:rsid w:val="002D734B"/>
    <w:rsid w:val="002D7A2C"/>
    <w:rsid w:val="002D7AE4"/>
    <w:rsid w:val="002E0FB6"/>
    <w:rsid w:val="002E1597"/>
    <w:rsid w:val="002E2471"/>
    <w:rsid w:val="002E2816"/>
    <w:rsid w:val="002E2A1E"/>
    <w:rsid w:val="002E41DF"/>
    <w:rsid w:val="002E5371"/>
    <w:rsid w:val="002E5F63"/>
    <w:rsid w:val="002E613B"/>
    <w:rsid w:val="002E62A4"/>
    <w:rsid w:val="002E6DFA"/>
    <w:rsid w:val="002E774F"/>
    <w:rsid w:val="002E7924"/>
    <w:rsid w:val="002E7B9B"/>
    <w:rsid w:val="002E7CA9"/>
    <w:rsid w:val="002E7EDF"/>
    <w:rsid w:val="002E7F2D"/>
    <w:rsid w:val="002F1086"/>
    <w:rsid w:val="002F1557"/>
    <w:rsid w:val="002F2527"/>
    <w:rsid w:val="002F252D"/>
    <w:rsid w:val="002F2818"/>
    <w:rsid w:val="002F4095"/>
    <w:rsid w:val="002F53A6"/>
    <w:rsid w:val="002F5C84"/>
    <w:rsid w:val="002F5CA7"/>
    <w:rsid w:val="002F5EEF"/>
    <w:rsid w:val="002F61BD"/>
    <w:rsid w:val="002F622B"/>
    <w:rsid w:val="002F6E14"/>
    <w:rsid w:val="002F6E15"/>
    <w:rsid w:val="00300052"/>
    <w:rsid w:val="00300C3C"/>
    <w:rsid w:val="0030144C"/>
    <w:rsid w:val="00301B26"/>
    <w:rsid w:val="00301F95"/>
    <w:rsid w:val="00301FF8"/>
    <w:rsid w:val="003027D5"/>
    <w:rsid w:val="0030323C"/>
    <w:rsid w:val="00304738"/>
    <w:rsid w:val="003055D7"/>
    <w:rsid w:val="003055FB"/>
    <w:rsid w:val="00305E28"/>
    <w:rsid w:val="00305F51"/>
    <w:rsid w:val="003075D9"/>
    <w:rsid w:val="003078AE"/>
    <w:rsid w:val="00311977"/>
    <w:rsid w:val="00311F9B"/>
    <w:rsid w:val="003123A3"/>
    <w:rsid w:val="003128A0"/>
    <w:rsid w:val="00312C8C"/>
    <w:rsid w:val="003144DF"/>
    <w:rsid w:val="00315320"/>
    <w:rsid w:val="00316C9A"/>
    <w:rsid w:val="00316E60"/>
    <w:rsid w:val="003172E4"/>
    <w:rsid w:val="00317BBE"/>
    <w:rsid w:val="003208E8"/>
    <w:rsid w:val="00321104"/>
    <w:rsid w:val="003220FF"/>
    <w:rsid w:val="003222B8"/>
    <w:rsid w:val="003231A8"/>
    <w:rsid w:val="00324077"/>
    <w:rsid w:val="00327355"/>
    <w:rsid w:val="00327D39"/>
    <w:rsid w:val="0033084E"/>
    <w:rsid w:val="00331597"/>
    <w:rsid w:val="00332F7B"/>
    <w:rsid w:val="00333F47"/>
    <w:rsid w:val="003340BB"/>
    <w:rsid w:val="00334DD2"/>
    <w:rsid w:val="003352A0"/>
    <w:rsid w:val="003368A6"/>
    <w:rsid w:val="003402FE"/>
    <w:rsid w:val="00340C0D"/>
    <w:rsid w:val="00340EC0"/>
    <w:rsid w:val="003416BA"/>
    <w:rsid w:val="00341A7B"/>
    <w:rsid w:val="00342051"/>
    <w:rsid w:val="00342238"/>
    <w:rsid w:val="0034308A"/>
    <w:rsid w:val="003431D8"/>
    <w:rsid w:val="00343978"/>
    <w:rsid w:val="00344FF3"/>
    <w:rsid w:val="00345F3B"/>
    <w:rsid w:val="0034674C"/>
    <w:rsid w:val="003469B9"/>
    <w:rsid w:val="003474AC"/>
    <w:rsid w:val="0034774E"/>
    <w:rsid w:val="00347CE1"/>
    <w:rsid w:val="00350F6A"/>
    <w:rsid w:val="003527E5"/>
    <w:rsid w:val="0035359A"/>
    <w:rsid w:val="003549BD"/>
    <w:rsid w:val="00355DA4"/>
    <w:rsid w:val="00356B77"/>
    <w:rsid w:val="00356DBB"/>
    <w:rsid w:val="003605CD"/>
    <w:rsid w:val="00362D91"/>
    <w:rsid w:val="00364FA6"/>
    <w:rsid w:val="003657B2"/>
    <w:rsid w:val="00367276"/>
    <w:rsid w:val="00367B3A"/>
    <w:rsid w:val="00370BF4"/>
    <w:rsid w:val="00370FA1"/>
    <w:rsid w:val="0037169E"/>
    <w:rsid w:val="00371832"/>
    <w:rsid w:val="00372126"/>
    <w:rsid w:val="00372DC7"/>
    <w:rsid w:val="00372EE6"/>
    <w:rsid w:val="00373C17"/>
    <w:rsid w:val="003745E9"/>
    <w:rsid w:val="003754CD"/>
    <w:rsid w:val="00375B6A"/>
    <w:rsid w:val="00375B89"/>
    <w:rsid w:val="0037656C"/>
    <w:rsid w:val="003766C2"/>
    <w:rsid w:val="003773D3"/>
    <w:rsid w:val="003778C1"/>
    <w:rsid w:val="00377B5C"/>
    <w:rsid w:val="00380038"/>
    <w:rsid w:val="00380667"/>
    <w:rsid w:val="00381054"/>
    <w:rsid w:val="00383975"/>
    <w:rsid w:val="003839E1"/>
    <w:rsid w:val="00383C9F"/>
    <w:rsid w:val="00383E99"/>
    <w:rsid w:val="003842EE"/>
    <w:rsid w:val="003846DF"/>
    <w:rsid w:val="003846F7"/>
    <w:rsid w:val="00384C95"/>
    <w:rsid w:val="00385E72"/>
    <w:rsid w:val="00386295"/>
    <w:rsid w:val="0038635F"/>
    <w:rsid w:val="0038649D"/>
    <w:rsid w:val="00387009"/>
    <w:rsid w:val="00387A0E"/>
    <w:rsid w:val="003902F6"/>
    <w:rsid w:val="00390898"/>
    <w:rsid w:val="00390C3D"/>
    <w:rsid w:val="00392385"/>
    <w:rsid w:val="00392A5E"/>
    <w:rsid w:val="0039346C"/>
    <w:rsid w:val="00393AED"/>
    <w:rsid w:val="00395F1C"/>
    <w:rsid w:val="003968A8"/>
    <w:rsid w:val="003A08FA"/>
    <w:rsid w:val="003A12D1"/>
    <w:rsid w:val="003A4004"/>
    <w:rsid w:val="003A4636"/>
    <w:rsid w:val="003A66DB"/>
    <w:rsid w:val="003A6A32"/>
    <w:rsid w:val="003B01F5"/>
    <w:rsid w:val="003B0427"/>
    <w:rsid w:val="003B0A61"/>
    <w:rsid w:val="003B0FCD"/>
    <w:rsid w:val="003B1637"/>
    <w:rsid w:val="003B1ACE"/>
    <w:rsid w:val="003B1BD9"/>
    <w:rsid w:val="003B1F81"/>
    <w:rsid w:val="003B23DB"/>
    <w:rsid w:val="003B2994"/>
    <w:rsid w:val="003B2AD7"/>
    <w:rsid w:val="003B35D0"/>
    <w:rsid w:val="003B4478"/>
    <w:rsid w:val="003B4ECB"/>
    <w:rsid w:val="003B52DA"/>
    <w:rsid w:val="003B5C9D"/>
    <w:rsid w:val="003B5FD2"/>
    <w:rsid w:val="003B6178"/>
    <w:rsid w:val="003B7C77"/>
    <w:rsid w:val="003C0C59"/>
    <w:rsid w:val="003C1152"/>
    <w:rsid w:val="003C1DCF"/>
    <w:rsid w:val="003C3995"/>
    <w:rsid w:val="003C4AA0"/>
    <w:rsid w:val="003C4DBB"/>
    <w:rsid w:val="003C5EF7"/>
    <w:rsid w:val="003C6B3B"/>
    <w:rsid w:val="003D0992"/>
    <w:rsid w:val="003D1172"/>
    <w:rsid w:val="003D1857"/>
    <w:rsid w:val="003D1F45"/>
    <w:rsid w:val="003D2FD4"/>
    <w:rsid w:val="003D3112"/>
    <w:rsid w:val="003D4155"/>
    <w:rsid w:val="003D4E0E"/>
    <w:rsid w:val="003D61BA"/>
    <w:rsid w:val="003D692B"/>
    <w:rsid w:val="003D69E7"/>
    <w:rsid w:val="003D6FF0"/>
    <w:rsid w:val="003E0EF6"/>
    <w:rsid w:val="003E32DB"/>
    <w:rsid w:val="003E39B8"/>
    <w:rsid w:val="003E3E16"/>
    <w:rsid w:val="003E462F"/>
    <w:rsid w:val="003E4779"/>
    <w:rsid w:val="003E554C"/>
    <w:rsid w:val="003E5D7D"/>
    <w:rsid w:val="003E5E95"/>
    <w:rsid w:val="003E699F"/>
    <w:rsid w:val="003E70FB"/>
    <w:rsid w:val="003F02B2"/>
    <w:rsid w:val="003F1779"/>
    <w:rsid w:val="003F2CFF"/>
    <w:rsid w:val="003F3DA1"/>
    <w:rsid w:val="003F5BC7"/>
    <w:rsid w:val="003F782E"/>
    <w:rsid w:val="003F7B8B"/>
    <w:rsid w:val="00401459"/>
    <w:rsid w:val="0040154D"/>
    <w:rsid w:val="00401B1F"/>
    <w:rsid w:val="00401F2E"/>
    <w:rsid w:val="004024B6"/>
    <w:rsid w:val="00403185"/>
    <w:rsid w:val="0040464C"/>
    <w:rsid w:val="00404747"/>
    <w:rsid w:val="004057A1"/>
    <w:rsid w:val="0040799A"/>
    <w:rsid w:val="00407C13"/>
    <w:rsid w:val="00410048"/>
    <w:rsid w:val="0041006C"/>
    <w:rsid w:val="00410386"/>
    <w:rsid w:val="00410C27"/>
    <w:rsid w:val="00410D92"/>
    <w:rsid w:val="00411096"/>
    <w:rsid w:val="00411C41"/>
    <w:rsid w:val="00413534"/>
    <w:rsid w:val="0041392C"/>
    <w:rsid w:val="004150CD"/>
    <w:rsid w:val="004157D8"/>
    <w:rsid w:val="004157DD"/>
    <w:rsid w:val="00415899"/>
    <w:rsid w:val="00417AD6"/>
    <w:rsid w:val="00420FC9"/>
    <w:rsid w:val="00421B14"/>
    <w:rsid w:val="00421FE4"/>
    <w:rsid w:val="00422552"/>
    <w:rsid w:val="00422860"/>
    <w:rsid w:val="004255D5"/>
    <w:rsid w:val="00425990"/>
    <w:rsid w:val="00425B08"/>
    <w:rsid w:val="00426BC3"/>
    <w:rsid w:val="00427224"/>
    <w:rsid w:val="0042774A"/>
    <w:rsid w:val="00431A4C"/>
    <w:rsid w:val="00431E92"/>
    <w:rsid w:val="004320E7"/>
    <w:rsid w:val="004326B5"/>
    <w:rsid w:val="004345EE"/>
    <w:rsid w:val="00435A9E"/>
    <w:rsid w:val="00436512"/>
    <w:rsid w:val="00436C86"/>
    <w:rsid w:val="004375E8"/>
    <w:rsid w:val="00437F8F"/>
    <w:rsid w:val="00442474"/>
    <w:rsid w:val="0044361E"/>
    <w:rsid w:val="00443757"/>
    <w:rsid w:val="00446B28"/>
    <w:rsid w:val="0044720E"/>
    <w:rsid w:val="00447880"/>
    <w:rsid w:val="004511BD"/>
    <w:rsid w:val="0045181E"/>
    <w:rsid w:val="00451B1A"/>
    <w:rsid w:val="00453B76"/>
    <w:rsid w:val="00454117"/>
    <w:rsid w:val="00454511"/>
    <w:rsid w:val="004545B7"/>
    <w:rsid w:val="00454A99"/>
    <w:rsid w:val="004557DB"/>
    <w:rsid w:val="004558F5"/>
    <w:rsid w:val="0045590E"/>
    <w:rsid w:val="004560D8"/>
    <w:rsid w:val="00456272"/>
    <w:rsid w:val="00457799"/>
    <w:rsid w:val="00460D5B"/>
    <w:rsid w:val="004618A7"/>
    <w:rsid w:val="00462A3C"/>
    <w:rsid w:val="00462D63"/>
    <w:rsid w:val="004649C9"/>
    <w:rsid w:val="004650E9"/>
    <w:rsid w:val="00466C64"/>
    <w:rsid w:val="00466D5A"/>
    <w:rsid w:val="004673B3"/>
    <w:rsid w:val="00470D48"/>
    <w:rsid w:val="00471D58"/>
    <w:rsid w:val="00475385"/>
    <w:rsid w:val="0047562B"/>
    <w:rsid w:val="00476854"/>
    <w:rsid w:val="004770F6"/>
    <w:rsid w:val="00477822"/>
    <w:rsid w:val="0048047C"/>
    <w:rsid w:val="00480CB4"/>
    <w:rsid w:val="00481759"/>
    <w:rsid w:val="00482746"/>
    <w:rsid w:val="00482766"/>
    <w:rsid w:val="004832A6"/>
    <w:rsid w:val="0048396B"/>
    <w:rsid w:val="00483D8B"/>
    <w:rsid w:val="00484430"/>
    <w:rsid w:val="00484A9E"/>
    <w:rsid w:val="00484CD2"/>
    <w:rsid w:val="00485174"/>
    <w:rsid w:val="0048524C"/>
    <w:rsid w:val="00485295"/>
    <w:rsid w:val="00486EC6"/>
    <w:rsid w:val="00487CDA"/>
    <w:rsid w:val="00487E6F"/>
    <w:rsid w:val="004915E3"/>
    <w:rsid w:val="00491AED"/>
    <w:rsid w:val="00492DB9"/>
    <w:rsid w:val="0049479F"/>
    <w:rsid w:val="00496169"/>
    <w:rsid w:val="004978F0"/>
    <w:rsid w:val="004A0052"/>
    <w:rsid w:val="004A0AD2"/>
    <w:rsid w:val="004A1986"/>
    <w:rsid w:val="004A2306"/>
    <w:rsid w:val="004A263F"/>
    <w:rsid w:val="004A2F20"/>
    <w:rsid w:val="004A4A16"/>
    <w:rsid w:val="004A4E4F"/>
    <w:rsid w:val="004A5313"/>
    <w:rsid w:val="004A5BBC"/>
    <w:rsid w:val="004A6896"/>
    <w:rsid w:val="004B01D8"/>
    <w:rsid w:val="004B1497"/>
    <w:rsid w:val="004B159F"/>
    <w:rsid w:val="004B2831"/>
    <w:rsid w:val="004B3CFB"/>
    <w:rsid w:val="004B4DAA"/>
    <w:rsid w:val="004B52BA"/>
    <w:rsid w:val="004B6050"/>
    <w:rsid w:val="004B6CA6"/>
    <w:rsid w:val="004B7101"/>
    <w:rsid w:val="004B74ED"/>
    <w:rsid w:val="004B7FE0"/>
    <w:rsid w:val="004C0D78"/>
    <w:rsid w:val="004C1FC5"/>
    <w:rsid w:val="004C202E"/>
    <w:rsid w:val="004C2A6E"/>
    <w:rsid w:val="004C327A"/>
    <w:rsid w:val="004C4DF0"/>
    <w:rsid w:val="004C515A"/>
    <w:rsid w:val="004D009E"/>
    <w:rsid w:val="004D1995"/>
    <w:rsid w:val="004D1D72"/>
    <w:rsid w:val="004D24CB"/>
    <w:rsid w:val="004D27CE"/>
    <w:rsid w:val="004D32AF"/>
    <w:rsid w:val="004D453D"/>
    <w:rsid w:val="004D7D1A"/>
    <w:rsid w:val="004E0174"/>
    <w:rsid w:val="004E0781"/>
    <w:rsid w:val="004E13D4"/>
    <w:rsid w:val="004E17F7"/>
    <w:rsid w:val="004E257E"/>
    <w:rsid w:val="004E4296"/>
    <w:rsid w:val="004E44A0"/>
    <w:rsid w:val="004E703C"/>
    <w:rsid w:val="004E750D"/>
    <w:rsid w:val="004F02BD"/>
    <w:rsid w:val="004F1D77"/>
    <w:rsid w:val="004F2721"/>
    <w:rsid w:val="004F2BA7"/>
    <w:rsid w:val="004F2F28"/>
    <w:rsid w:val="004F2FBB"/>
    <w:rsid w:val="004F3201"/>
    <w:rsid w:val="004F3A44"/>
    <w:rsid w:val="00500E48"/>
    <w:rsid w:val="00500E9B"/>
    <w:rsid w:val="005016D0"/>
    <w:rsid w:val="005016D9"/>
    <w:rsid w:val="005018C4"/>
    <w:rsid w:val="0050253D"/>
    <w:rsid w:val="00502629"/>
    <w:rsid w:val="0050284E"/>
    <w:rsid w:val="00503149"/>
    <w:rsid w:val="00503419"/>
    <w:rsid w:val="00503BAE"/>
    <w:rsid w:val="00504CD0"/>
    <w:rsid w:val="00504DE6"/>
    <w:rsid w:val="00506CDD"/>
    <w:rsid w:val="005073F1"/>
    <w:rsid w:val="005102E2"/>
    <w:rsid w:val="00510A5A"/>
    <w:rsid w:val="00510BC0"/>
    <w:rsid w:val="00511735"/>
    <w:rsid w:val="00512C2F"/>
    <w:rsid w:val="00513345"/>
    <w:rsid w:val="00513CBD"/>
    <w:rsid w:val="00513F0C"/>
    <w:rsid w:val="00514986"/>
    <w:rsid w:val="00515415"/>
    <w:rsid w:val="0051541C"/>
    <w:rsid w:val="00517603"/>
    <w:rsid w:val="005201B7"/>
    <w:rsid w:val="00520496"/>
    <w:rsid w:val="00522FA5"/>
    <w:rsid w:val="00523EFA"/>
    <w:rsid w:val="005242CF"/>
    <w:rsid w:val="00524B05"/>
    <w:rsid w:val="00524C1C"/>
    <w:rsid w:val="00525E4A"/>
    <w:rsid w:val="00525FEB"/>
    <w:rsid w:val="00526C0A"/>
    <w:rsid w:val="00530E2A"/>
    <w:rsid w:val="005310E4"/>
    <w:rsid w:val="005316F9"/>
    <w:rsid w:val="00532AA3"/>
    <w:rsid w:val="0053343F"/>
    <w:rsid w:val="0053387D"/>
    <w:rsid w:val="005339B3"/>
    <w:rsid w:val="00533F37"/>
    <w:rsid w:val="00533F51"/>
    <w:rsid w:val="00536251"/>
    <w:rsid w:val="005365A0"/>
    <w:rsid w:val="00536613"/>
    <w:rsid w:val="0053684E"/>
    <w:rsid w:val="0053716F"/>
    <w:rsid w:val="005375CE"/>
    <w:rsid w:val="005378DE"/>
    <w:rsid w:val="00537C42"/>
    <w:rsid w:val="005402BE"/>
    <w:rsid w:val="00540711"/>
    <w:rsid w:val="005407C9"/>
    <w:rsid w:val="00540976"/>
    <w:rsid w:val="00541231"/>
    <w:rsid w:val="0054244A"/>
    <w:rsid w:val="0054311F"/>
    <w:rsid w:val="00543CB7"/>
    <w:rsid w:val="00545144"/>
    <w:rsid w:val="00546447"/>
    <w:rsid w:val="00546C36"/>
    <w:rsid w:val="0055234C"/>
    <w:rsid w:val="00552373"/>
    <w:rsid w:val="0055277B"/>
    <w:rsid w:val="0055311C"/>
    <w:rsid w:val="005533C3"/>
    <w:rsid w:val="00553C7F"/>
    <w:rsid w:val="005547AD"/>
    <w:rsid w:val="00554B48"/>
    <w:rsid w:val="005562E3"/>
    <w:rsid w:val="0055706C"/>
    <w:rsid w:val="005574A8"/>
    <w:rsid w:val="00557EE2"/>
    <w:rsid w:val="00560014"/>
    <w:rsid w:val="00560C28"/>
    <w:rsid w:val="00562E62"/>
    <w:rsid w:val="0056317E"/>
    <w:rsid w:val="005631DB"/>
    <w:rsid w:val="00563926"/>
    <w:rsid w:val="005645D3"/>
    <w:rsid w:val="00564859"/>
    <w:rsid w:val="005663BA"/>
    <w:rsid w:val="00566CBB"/>
    <w:rsid w:val="00567557"/>
    <w:rsid w:val="00570AE4"/>
    <w:rsid w:val="00571576"/>
    <w:rsid w:val="005725A8"/>
    <w:rsid w:val="00572835"/>
    <w:rsid w:val="0057572B"/>
    <w:rsid w:val="00576C51"/>
    <w:rsid w:val="00576EE4"/>
    <w:rsid w:val="00577520"/>
    <w:rsid w:val="00577F7D"/>
    <w:rsid w:val="00581242"/>
    <w:rsid w:val="00581C26"/>
    <w:rsid w:val="00583A49"/>
    <w:rsid w:val="00585DFF"/>
    <w:rsid w:val="00587496"/>
    <w:rsid w:val="00587698"/>
    <w:rsid w:val="00587796"/>
    <w:rsid w:val="005902DA"/>
    <w:rsid w:val="0059040E"/>
    <w:rsid w:val="00590814"/>
    <w:rsid w:val="00590BAA"/>
    <w:rsid w:val="00590E1D"/>
    <w:rsid w:val="00593632"/>
    <w:rsid w:val="005943B0"/>
    <w:rsid w:val="0059503A"/>
    <w:rsid w:val="005960C2"/>
    <w:rsid w:val="005963E8"/>
    <w:rsid w:val="005965C5"/>
    <w:rsid w:val="005A0424"/>
    <w:rsid w:val="005A0FA6"/>
    <w:rsid w:val="005A10A5"/>
    <w:rsid w:val="005A124C"/>
    <w:rsid w:val="005A18A4"/>
    <w:rsid w:val="005A19DA"/>
    <w:rsid w:val="005A3950"/>
    <w:rsid w:val="005A3ACC"/>
    <w:rsid w:val="005A4766"/>
    <w:rsid w:val="005A4E0A"/>
    <w:rsid w:val="005A50E8"/>
    <w:rsid w:val="005A56EA"/>
    <w:rsid w:val="005A61D9"/>
    <w:rsid w:val="005A6846"/>
    <w:rsid w:val="005A7181"/>
    <w:rsid w:val="005B1105"/>
    <w:rsid w:val="005B11EA"/>
    <w:rsid w:val="005B1829"/>
    <w:rsid w:val="005B28E6"/>
    <w:rsid w:val="005B3832"/>
    <w:rsid w:val="005B42E4"/>
    <w:rsid w:val="005B4406"/>
    <w:rsid w:val="005B4FB7"/>
    <w:rsid w:val="005B570C"/>
    <w:rsid w:val="005B5D00"/>
    <w:rsid w:val="005B5FD6"/>
    <w:rsid w:val="005B6883"/>
    <w:rsid w:val="005B69AD"/>
    <w:rsid w:val="005B6BA2"/>
    <w:rsid w:val="005B7C37"/>
    <w:rsid w:val="005B7D5D"/>
    <w:rsid w:val="005C00AC"/>
    <w:rsid w:val="005C0840"/>
    <w:rsid w:val="005C4345"/>
    <w:rsid w:val="005C466D"/>
    <w:rsid w:val="005C4CAE"/>
    <w:rsid w:val="005C4E31"/>
    <w:rsid w:val="005C5779"/>
    <w:rsid w:val="005C5C85"/>
    <w:rsid w:val="005C602B"/>
    <w:rsid w:val="005C65F2"/>
    <w:rsid w:val="005C65FE"/>
    <w:rsid w:val="005C6CFC"/>
    <w:rsid w:val="005C789B"/>
    <w:rsid w:val="005C7A68"/>
    <w:rsid w:val="005D0BC2"/>
    <w:rsid w:val="005D2E62"/>
    <w:rsid w:val="005D2F52"/>
    <w:rsid w:val="005D37B3"/>
    <w:rsid w:val="005D4E6B"/>
    <w:rsid w:val="005D547F"/>
    <w:rsid w:val="005D5B16"/>
    <w:rsid w:val="005D6590"/>
    <w:rsid w:val="005E117E"/>
    <w:rsid w:val="005E12B4"/>
    <w:rsid w:val="005E21CB"/>
    <w:rsid w:val="005E2A4F"/>
    <w:rsid w:val="005E4FA7"/>
    <w:rsid w:val="005E52E7"/>
    <w:rsid w:val="005E54C5"/>
    <w:rsid w:val="005E6461"/>
    <w:rsid w:val="005E6AB9"/>
    <w:rsid w:val="005E7B12"/>
    <w:rsid w:val="005E7BCC"/>
    <w:rsid w:val="005F5262"/>
    <w:rsid w:val="005F65A7"/>
    <w:rsid w:val="00600DF2"/>
    <w:rsid w:val="00601283"/>
    <w:rsid w:val="006016E0"/>
    <w:rsid w:val="00602C9E"/>
    <w:rsid w:val="0060469C"/>
    <w:rsid w:val="0060495E"/>
    <w:rsid w:val="006050A5"/>
    <w:rsid w:val="00605D31"/>
    <w:rsid w:val="00606612"/>
    <w:rsid w:val="006068A8"/>
    <w:rsid w:val="006069DE"/>
    <w:rsid w:val="00606CD7"/>
    <w:rsid w:val="00610040"/>
    <w:rsid w:val="00610361"/>
    <w:rsid w:val="0061225F"/>
    <w:rsid w:val="0061310B"/>
    <w:rsid w:val="00615740"/>
    <w:rsid w:val="00616B22"/>
    <w:rsid w:val="00616EC6"/>
    <w:rsid w:val="00620B26"/>
    <w:rsid w:val="00625709"/>
    <w:rsid w:val="00626142"/>
    <w:rsid w:val="00627142"/>
    <w:rsid w:val="00630520"/>
    <w:rsid w:val="00630BA2"/>
    <w:rsid w:val="00633632"/>
    <w:rsid w:val="006341BD"/>
    <w:rsid w:val="006343D8"/>
    <w:rsid w:val="00634677"/>
    <w:rsid w:val="006347BE"/>
    <w:rsid w:val="00634D0E"/>
    <w:rsid w:val="006351E8"/>
    <w:rsid w:val="0063566A"/>
    <w:rsid w:val="0063624D"/>
    <w:rsid w:val="00636C1F"/>
    <w:rsid w:val="0063765C"/>
    <w:rsid w:val="0064057A"/>
    <w:rsid w:val="00641FD5"/>
    <w:rsid w:val="006421EF"/>
    <w:rsid w:val="0064263E"/>
    <w:rsid w:val="00642769"/>
    <w:rsid w:val="00643119"/>
    <w:rsid w:val="0064330C"/>
    <w:rsid w:val="00643C9E"/>
    <w:rsid w:val="00643CEF"/>
    <w:rsid w:val="00644037"/>
    <w:rsid w:val="00644804"/>
    <w:rsid w:val="00644BEA"/>
    <w:rsid w:val="006452D5"/>
    <w:rsid w:val="006456C7"/>
    <w:rsid w:val="006465EA"/>
    <w:rsid w:val="00646E88"/>
    <w:rsid w:val="00653658"/>
    <w:rsid w:val="006539B5"/>
    <w:rsid w:val="00653FC4"/>
    <w:rsid w:val="006542CD"/>
    <w:rsid w:val="00654A85"/>
    <w:rsid w:val="00655645"/>
    <w:rsid w:val="006558D7"/>
    <w:rsid w:val="00655A90"/>
    <w:rsid w:val="00655CB3"/>
    <w:rsid w:val="00655D9D"/>
    <w:rsid w:val="00655F89"/>
    <w:rsid w:val="006563F7"/>
    <w:rsid w:val="0065679E"/>
    <w:rsid w:val="00656C86"/>
    <w:rsid w:val="00657056"/>
    <w:rsid w:val="00661ED2"/>
    <w:rsid w:val="00662357"/>
    <w:rsid w:val="006637C8"/>
    <w:rsid w:val="0066435A"/>
    <w:rsid w:val="00664D6E"/>
    <w:rsid w:val="006661A4"/>
    <w:rsid w:val="006665DB"/>
    <w:rsid w:val="00666DD6"/>
    <w:rsid w:val="0066764A"/>
    <w:rsid w:val="0067027D"/>
    <w:rsid w:val="0067048A"/>
    <w:rsid w:val="00672740"/>
    <w:rsid w:val="006729A9"/>
    <w:rsid w:val="006738FC"/>
    <w:rsid w:val="00673D57"/>
    <w:rsid w:val="006752A0"/>
    <w:rsid w:val="00675363"/>
    <w:rsid w:val="00675735"/>
    <w:rsid w:val="00675E52"/>
    <w:rsid w:val="00676004"/>
    <w:rsid w:val="0067680C"/>
    <w:rsid w:val="0067714F"/>
    <w:rsid w:val="006800A2"/>
    <w:rsid w:val="00680167"/>
    <w:rsid w:val="00680CC4"/>
    <w:rsid w:val="00680EEC"/>
    <w:rsid w:val="0068128E"/>
    <w:rsid w:val="0068138E"/>
    <w:rsid w:val="0068151E"/>
    <w:rsid w:val="00681E6C"/>
    <w:rsid w:val="006824EA"/>
    <w:rsid w:val="00683021"/>
    <w:rsid w:val="006830A1"/>
    <w:rsid w:val="0068367F"/>
    <w:rsid w:val="00683DDF"/>
    <w:rsid w:val="006850B3"/>
    <w:rsid w:val="00686DCF"/>
    <w:rsid w:val="00687999"/>
    <w:rsid w:val="00692295"/>
    <w:rsid w:val="006931D7"/>
    <w:rsid w:val="0069362A"/>
    <w:rsid w:val="00694A63"/>
    <w:rsid w:val="00694C52"/>
    <w:rsid w:val="00695965"/>
    <w:rsid w:val="00695A28"/>
    <w:rsid w:val="00696EEA"/>
    <w:rsid w:val="006971A1"/>
    <w:rsid w:val="00697D88"/>
    <w:rsid w:val="006A0011"/>
    <w:rsid w:val="006A0741"/>
    <w:rsid w:val="006A0B45"/>
    <w:rsid w:val="006A0CBA"/>
    <w:rsid w:val="006A2C94"/>
    <w:rsid w:val="006A3DC1"/>
    <w:rsid w:val="006A557C"/>
    <w:rsid w:val="006A5644"/>
    <w:rsid w:val="006A71EB"/>
    <w:rsid w:val="006A7A77"/>
    <w:rsid w:val="006A7C77"/>
    <w:rsid w:val="006A7D93"/>
    <w:rsid w:val="006A7F0E"/>
    <w:rsid w:val="006B16ED"/>
    <w:rsid w:val="006B2402"/>
    <w:rsid w:val="006B4021"/>
    <w:rsid w:val="006B72EE"/>
    <w:rsid w:val="006B75DE"/>
    <w:rsid w:val="006B77C0"/>
    <w:rsid w:val="006B7800"/>
    <w:rsid w:val="006C1037"/>
    <w:rsid w:val="006C32BC"/>
    <w:rsid w:val="006C4663"/>
    <w:rsid w:val="006C4D2A"/>
    <w:rsid w:val="006C4F87"/>
    <w:rsid w:val="006C52CB"/>
    <w:rsid w:val="006C69F8"/>
    <w:rsid w:val="006C7755"/>
    <w:rsid w:val="006D049A"/>
    <w:rsid w:val="006D083F"/>
    <w:rsid w:val="006D1D76"/>
    <w:rsid w:val="006D2885"/>
    <w:rsid w:val="006D3608"/>
    <w:rsid w:val="006D3828"/>
    <w:rsid w:val="006D446E"/>
    <w:rsid w:val="006D5F65"/>
    <w:rsid w:val="006D68F1"/>
    <w:rsid w:val="006D6F8B"/>
    <w:rsid w:val="006D7125"/>
    <w:rsid w:val="006D7551"/>
    <w:rsid w:val="006D7A67"/>
    <w:rsid w:val="006E016E"/>
    <w:rsid w:val="006E049F"/>
    <w:rsid w:val="006E0FCC"/>
    <w:rsid w:val="006E1550"/>
    <w:rsid w:val="006E2119"/>
    <w:rsid w:val="006E2C00"/>
    <w:rsid w:val="006E2F2B"/>
    <w:rsid w:val="006E3094"/>
    <w:rsid w:val="006E3A56"/>
    <w:rsid w:val="006E3BAD"/>
    <w:rsid w:val="006E510B"/>
    <w:rsid w:val="006E6283"/>
    <w:rsid w:val="006E78EA"/>
    <w:rsid w:val="006E7CD9"/>
    <w:rsid w:val="006F02DF"/>
    <w:rsid w:val="006F15B2"/>
    <w:rsid w:val="006F16F2"/>
    <w:rsid w:val="006F182C"/>
    <w:rsid w:val="006F1A60"/>
    <w:rsid w:val="006F2707"/>
    <w:rsid w:val="006F4251"/>
    <w:rsid w:val="006F4748"/>
    <w:rsid w:val="006F49E9"/>
    <w:rsid w:val="006F4B0D"/>
    <w:rsid w:val="006F4BD9"/>
    <w:rsid w:val="006F591B"/>
    <w:rsid w:val="006F61B1"/>
    <w:rsid w:val="006F6A75"/>
    <w:rsid w:val="006F77E6"/>
    <w:rsid w:val="006F7B0F"/>
    <w:rsid w:val="007001AA"/>
    <w:rsid w:val="0070031F"/>
    <w:rsid w:val="00700B2F"/>
    <w:rsid w:val="00701146"/>
    <w:rsid w:val="00701C5D"/>
    <w:rsid w:val="00701E8B"/>
    <w:rsid w:val="00703FB9"/>
    <w:rsid w:val="007049C6"/>
    <w:rsid w:val="0070502F"/>
    <w:rsid w:val="0070559E"/>
    <w:rsid w:val="007056E1"/>
    <w:rsid w:val="0070574B"/>
    <w:rsid w:val="00705A0B"/>
    <w:rsid w:val="0070610C"/>
    <w:rsid w:val="007070E3"/>
    <w:rsid w:val="007076F7"/>
    <w:rsid w:val="007101F0"/>
    <w:rsid w:val="00711533"/>
    <w:rsid w:val="00711944"/>
    <w:rsid w:val="007119F6"/>
    <w:rsid w:val="00714AD6"/>
    <w:rsid w:val="007165FC"/>
    <w:rsid w:val="00716931"/>
    <w:rsid w:val="00717C03"/>
    <w:rsid w:val="00717D8B"/>
    <w:rsid w:val="00720EBD"/>
    <w:rsid w:val="00721664"/>
    <w:rsid w:val="0072315E"/>
    <w:rsid w:val="00723A9D"/>
    <w:rsid w:val="00723AA8"/>
    <w:rsid w:val="007260A0"/>
    <w:rsid w:val="007263A2"/>
    <w:rsid w:val="00726691"/>
    <w:rsid w:val="00726743"/>
    <w:rsid w:val="00726CCC"/>
    <w:rsid w:val="00727554"/>
    <w:rsid w:val="00730019"/>
    <w:rsid w:val="00730AB1"/>
    <w:rsid w:val="007310D8"/>
    <w:rsid w:val="00731E6E"/>
    <w:rsid w:val="00732497"/>
    <w:rsid w:val="00733B6B"/>
    <w:rsid w:val="00735BA5"/>
    <w:rsid w:val="007364E3"/>
    <w:rsid w:val="0073777D"/>
    <w:rsid w:val="00740481"/>
    <w:rsid w:val="00740F2D"/>
    <w:rsid w:val="00741694"/>
    <w:rsid w:val="00742839"/>
    <w:rsid w:val="00742F0A"/>
    <w:rsid w:val="00742F59"/>
    <w:rsid w:val="00743DCE"/>
    <w:rsid w:val="007440E6"/>
    <w:rsid w:val="007445DB"/>
    <w:rsid w:val="0074609C"/>
    <w:rsid w:val="00750826"/>
    <w:rsid w:val="0075129B"/>
    <w:rsid w:val="007518CE"/>
    <w:rsid w:val="00754976"/>
    <w:rsid w:val="0075513C"/>
    <w:rsid w:val="007558A9"/>
    <w:rsid w:val="007570BB"/>
    <w:rsid w:val="00757139"/>
    <w:rsid w:val="0075792E"/>
    <w:rsid w:val="007613AA"/>
    <w:rsid w:val="007615A8"/>
    <w:rsid w:val="007619F1"/>
    <w:rsid w:val="00761E7F"/>
    <w:rsid w:val="007629D1"/>
    <w:rsid w:val="00763643"/>
    <w:rsid w:val="00764087"/>
    <w:rsid w:val="007641FC"/>
    <w:rsid w:val="00764239"/>
    <w:rsid w:val="00765EEB"/>
    <w:rsid w:val="00766C0C"/>
    <w:rsid w:val="00767EEC"/>
    <w:rsid w:val="007708D2"/>
    <w:rsid w:val="0077107C"/>
    <w:rsid w:val="007732E4"/>
    <w:rsid w:val="007737E5"/>
    <w:rsid w:val="00773C1B"/>
    <w:rsid w:val="00775824"/>
    <w:rsid w:val="0077586D"/>
    <w:rsid w:val="00775F1F"/>
    <w:rsid w:val="007775E9"/>
    <w:rsid w:val="00777B93"/>
    <w:rsid w:val="0078052C"/>
    <w:rsid w:val="00780C20"/>
    <w:rsid w:val="00781E90"/>
    <w:rsid w:val="00782613"/>
    <w:rsid w:val="00782897"/>
    <w:rsid w:val="00782957"/>
    <w:rsid w:val="007843B7"/>
    <w:rsid w:val="00784577"/>
    <w:rsid w:val="007848C6"/>
    <w:rsid w:val="007849C7"/>
    <w:rsid w:val="00784BA6"/>
    <w:rsid w:val="007859FF"/>
    <w:rsid w:val="00786979"/>
    <w:rsid w:val="00786AA0"/>
    <w:rsid w:val="00786B54"/>
    <w:rsid w:val="00786CE7"/>
    <w:rsid w:val="00790422"/>
    <w:rsid w:val="007911B9"/>
    <w:rsid w:val="0079150F"/>
    <w:rsid w:val="007917CD"/>
    <w:rsid w:val="007921B8"/>
    <w:rsid w:val="00793F0B"/>
    <w:rsid w:val="007953B5"/>
    <w:rsid w:val="00795696"/>
    <w:rsid w:val="007965E9"/>
    <w:rsid w:val="00797170"/>
    <w:rsid w:val="00797394"/>
    <w:rsid w:val="007977A7"/>
    <w:rsid w:val="007979DD"/>
    <w:rsid w:val="007A1316"/>
    <w:rsid w:val="007A188B"/>
    <w:rsid w:val="007A1958"/>
    <w:rsid w:val="007A1D16"/>
    <w:rsid w:val="007A2600"/>
    <w:rsid w:val="007A4A01"/>
    <w:rsid w:val="007A4D02"/>
    <w:rsid w:val="007A4D8F"/>
    <w:rsid w:val="007A5F94"/>
    <w:rsid w:val="007A5FA0"/>
    <w:rsid w:val="007A76C5"/>
    <w:rsid w:val="007B08DC"/>
    <w:rsid w:val="007B12C5"/>
    <w:rsid w:val="007B346A"/>
    <w:rsid w:val="007B39DF"/>
    <w:rsid w:val="007B554D"/>
    <w:rsid w:val="007B56C6"/>
    <w:rsid w:val="007B6CDF"/>
    <w:rsid w:val="007B7237"/>
    <w:rsid w:val="007B72B8"/>
    <w:rsid w:val="007B7842"/>
    <w:rsid w:val="007B7E73"/>
    <w:rsid w:val="007C0E39"/>
    <w:rsid w:val="007C0EF7"/>
    <w:rsid w:val="007C1FBE"/>
    <w:rsid w:val="007C37A0"/>
    <w:rsid w:val="007C5BFD"/>
    <w:rsid w:val="007C6098"/>
    <w:rsid w:val="007C64EE"/>
    <w:rsid w:val="007C7FA8"/>
    <w:rsid w:val="007D0CA4"/>
    <w:rsid w:val="007D2729"/>
    <w:rsid w:val="007D4216"/>
    <w:rsid w:val="007D464A"/>
    <w:rsid w:val="007D5328"/>
    <w:rsid w:val="007D6050"/>
    <w:rsid w:val="007D637E"/>
    <w:rsid w:val="007D7A72"/>
    <w:rsid w:val="007E0353"/>
    <w:rsid w:val="007E0FF7"/>
    <w:rsid w:val="007E3CFD"/>
    <w:rsid w:val="007E3F88"/>
    <w:rsid w:val="007E4564"/>
    <w:rsid w:val="007E70E5"/>
    <w:rsid w:val="007E74B4"/>
    <w:rsid w:val="007E7604"/>
    <w:rsid w:val="007F0B35"/>
    <w:rsid w:val="007F0C21"/>
    <w:rsid w:val="007F13DC"/>
    <w:rsid w:val="007F197C"/>
    <w:rsid w:val="007F1C38"/>
    <w:rsid w:val="007F2069"/>
    <w:rsid w:val="007F2766"/>
    <w:rsid w:val="007F396F"/>
    <w:rsid w:val="007F3ED7"/>
    <w:rsid w:val="007F4077"/>
    <w:rsid w:val="007F4318"/>
    <w:rsid w:val="007F5051"/>
    <w:rsid w:val="0080098B"/>
    <w:rsid w:val="00800A7E"/>
    <w:rsid w:val="00801377"/>
    <w:rsid w:val="008015DC"/>
    <w:rsid w:val="00803CBE"/>
    <w:rsid w:val="00805779"/>
    <w:rsid w:val="00805E84"/>
    <w:rsid w:val="00810596"/>
    <w:rsid w:val="008112F4"/>
    <w:rsid w:val="00811611"/>
    <w:rsid w:val="0081191C"/>
    <w:rsid w:val="00811CB3"/>
    <w:rsid w:val="00811E06"/>
    <w:rsid w:val="0081219B"/>
    <w:rsid w:val="008133E3"/>
    <w:rsid w:val="008137B2"/>
    <w:rsid w:val="00813DCB"/>
    <w:rsid w:val="00813F98"/>
    <w:rsid w:val="00814708"/>
    <w:rsid w:val="008179D0"/>
    <w:rsid w:val="00820C06"/>
    <w:rsid w:val="00821325"/>
    <w:rsid w:val="008214A4"/>
    <w:rsid w:val="008224A0"/>
    <w:rsid w:val="00822952"/>
    <w:rsid w:val="008230F6"/>
    <w:rsid w:val="00823323"/>
    <w:rsid w:val="00823485"/>
    <w:rsid w:val="00823F06"/>
    <w:rsid w:val="00825BB0"/>
    <w:rsid w:val="00825C97"/>
    <w:rsid w:val="00825E3B"/>
    <w:rsid w:val="008265C0"/>
    <w:rsid w:val="008265C8"/>
    <w:rsid w:val="00827076"/>
    <w:rsid w:val="00827780"/>
    <w:rsid w:val="00827AAB"/>
    <w:rsid w:val="008303BB"/>
    <w:rsid w:val="00830A4F"/>
    <w:rsid w:val="00830E44"/>
    <w:rsid w:val="00830ED8"/>
    <w:rsid w:val="00830EE4"/>
    <w:rsid w:val="00831DEF"/>
    <w:rsid w:val="00831F6A"/>
    <w:rsid w:val="0083206E"/>
    <w:rsid w:val="00832280"/>
    <w:rsid w:val="008345A5"/>
    <w:rsid w:val="008356FF"/>
    <w:rsid w:val="00836262"/>
    <w:rsid w:val="008364BB"/>
    <w:rsid w:val="00836907"/>
    <w:rsid w:val="008373E8"/>
    <w:rsid w:val="00837A38"/>
    <w:rsid w:val="00840796"/>
    <w:rsid w:val="00840B07"/>
    <w:rsid w:val="00841A10"/>
    <w:rsid w:val="0084235F"/>
    <w:rsid w:val="00842B3C"/>
    <w:rsid w:val="00842E71"/>
    <w:rsid w:val="00843002"/>
    <w:rsid w:val="0084441C"/>
    <w:rsid w:val="0084524B"/>
    <w:rsid w:val="008452EC"/>
    <w:rsid w:val="00846295"/>
    <w:rsid w:val="008469C4"/>
    <w:rsid w:val="00847436"/>
    <w:rsid w:val="0084763E"/>
    <w:rsid w:val="00850495"/>
    <w:rsid w:val="008506B4"/>
    <w:rsid w:val="00850EC5"/>
    <w:rsid w:val="00851796"/>
    <w:rsid w:val="00851C3D"/>
    <w:rsid w:val="00852273"/>
    <w:rsid w:val="00852AA3"/>
    <w:rsid w:val="00852CCF"/>
    <w:rsid w:val="0085476F"/>
    <w:rsid w:val="00854D3D"/>
    <w:rsid w:val="0085524E"/>
    <w:rsid w:val="00855A63"/>
    <w:rsid w:val="00855EE4"/>
    <w:rsid w:val="0085732B"/>
    <w:rsid w:val="00857962"/>
    <w:rsid w:val="00857B09"/>
    <w:rsid w:val="00860D63"/>
    <w:rsid w:val="00860FA0"/>
    <w:rsid w:val="00864A95"/>
    <w:rsid w:val="008652D4"/>
    <w:rsid w:val="008657B8"/>
    <w:rsid w:val="00867F88"/>
    <w:rsid w:val="00870DB8"/>
    <w:rsid w:val="008713F0"/>
    <w:rsid w:val="00871492"/>
    <w:rsid w:val="00871AFE"/>
    <w:rsid w:val="0087228F"/>
    <w:rsid w:val="00872CE0"/>
    <w:rsid w:val="008736CA"/>
    <w:rsid w:val="0087486E"/>
    <w:rsid w:val="0087498E"/>
    <w:rsid w:val="00876F62"/>
    <w:rsid w:val="008805E7"/>
    <w:rsid w:val="008807E9"/>
    <w:rsid w:val="00882B03"/>
    <w:rsid w:val="00882E20"/>
    <w:rsid w:val="0088409E"/>
    <w:rsid w:val="00885CBF"/>
    <w:rsid w:val="008867D5"/>
    <w:rsid w:val="008876F5"/>
    <w:rsid w:val="00887F44"/>
    <w:rsid w:val="00891321"/>
    <w:rsid w:val="00891CDE"/>
    <w:rsid w:val="008922A1"/>
    <w:rsid w:val="00892485"/>
    <w:rsid w:val="00893084"/>
    <w:rsid w:val="00893BC1"/>
    <w:rsid w:val="00893CD0"/>
    <w:rsid w:val="00893F1B"/>
    <w:rsid w:val="0089637F"/>
    <w:rsid w:val="008968CD"/>
    <w:rsid w:val="00896E9F"/>
    <w:rsid w:val="00897796"/>
    <w:rsid w:val="00897F33"/>
    <w:rsid w:val="008A0540"/>
    <w:rsid w:val="008A056B"/>
    <w:rsid w:val="008A0CEB"/>
    <w:rsid w:val="008A0DAF"/>
    <w:rsid w:val="008A1349"/>
    <w:rsid w:val="008A188A"/>
    <w:rsid w:val="008A1F65"/>
    <w:rsid w:val="008A21D9"/>
    <w:rsid w:val="008A25D5"/>
    <w:rsid w:val="008A4966"/>
    <w:rsid w:val="008A6DB1"/>
    <w:rsid w:val="008A7363"/>
    <w:rsid w:val="008B0924"/>
    <w:rsid w:val="008B0937"/>
    <w:rsid w:val="008B1467"/>
    <w:rsid w:val="008B37D5"/>
    <w:rsid w:val="008B4079"/>
    <w:rsid w:val="008B4E99"/>
    <w:rsid w:val="008B5F33"/>
    <w:rsid w:val="008B7244"/>
    <w:rsid w:val="008C0317"/>
    <w:rsid w:val="008C04FB"/>
    <w:rsid w:val="008C1F92"/>
    <w:rsid w:val="008C3143"/>
    <w:rsid w:val="008C3200"/>
    <w:rsid w:val="008C3A5D"/>
    <w:rsid w:val="008C4238"/>
    <w:rsid w:val="008C44B9"/>
    <w:rsid w:val="008C54D0"/>
    <w:rsid w:val="008C57FA"/>
    <w:rsid w:val="008C5917"/>
    <w:rsid w:val="008C622E"/>
    <w:rsid w:val="008D1898"/>
    <w:rsid w:val="008D1B74"/>
    <w:rsid w:val="008D2FB6"/>
    <w:rsid w:val="008D2FE9"/>
    <w:rsid w:val="008D3431"/>
    <w:rsid w:val="008D4B38"/>
    <w:rsid w:val="008D4BC1"/>
    <w:rsid w:val="008D5A68"/>
    <w:rsid w:val="008D5D73"/>
    <w:rsid w:val="008D5D99"/>
    <w:rsid w:val="008D62C4"/>
    <w:rsid w:val="008D72F8"/>
    <w:rsid w:val="008E0401"/>
    <w:rsid w:val="008E0BB5"/>
    <w:rsid w:val="008E0BD5"/>
    <w:rsid w:val="008E19F1"/>
    <w:rsid w:val="008E2DFD"/>
    <w:rsid w:val="008E3775"/>
    <w:rsid w:val="008E480A"/>
    <w:rsid w:val="008E4A4A"/>
    <w:rsid w:val="008E50F9"/>
    <w:rsid w:val="008E5FEA"/>
    <w:rsid w:val="008E7B1E"/>
    <w:rsid w:val="008F0944"/>
    <w:rsid w:val="008F0CB3"/>
    <w:rsid w:val="008F0EE6"/>
    <w:rsid w:val="008F0F86"/>
    <w:rsid w:val="008F2689"/>
    <w:rsid w:val="008F51B6"/>
    <w:rsid w:val="008F5297"/>
    <w:rsid w:val="008F6B0B"/>
    <w:rsid w:val="008F6F0A"/>
    <w:rsid w:val="008F775B"/>
    <w:rsid w:val="008F77A3"/>
    <w:rsid w:val="008F7E01"/>
    <w:rsid w:val="008F7FC7"/>
    <w:rsid w:val="00900ABB"/>
    <w:rsid w:val="00903862"/>
    <w:rsid w:val="00904DD3"/>
    <w:rsid w:val="0090581A"/>
    <w:rsid w:val="009058B2"/>
    <w:rsid w:val="00905D44"/>
    <w:rsid w:val="009060B1"/>
    <w:rsid w:val="00906939"/>
    <w:rsid w:val="00906A06"/>
    <w:rsid w:val="00906C8D"/>
    <w:rsid w:val="00906CF9"/>
    <w:rsid w:val="00907D7A"/>
    <w:rsid w:val="00907D95"/>
    <w:rsid w:val="00910C54"/>
    <w:rsid w:val="009111F7"/>
    <w:rsid w:val="00911434"/>
    <w:rsid w:val="009130F6"/>
    <w:rsid w:val="009150A1"/>
    <w:rsid w:val="009155EB"/>
    <w:rsid w:val="00915C5A"/>
    <w:rsid w:val="00916544"/>
    <w:rsid w:val="0091683F"/>
    <w:rsid w:val="00917109"/>
    <w:rsid w:val="00917A39"/>
    <w:rsid w:val="00920880"/>
    <w:rsid w:val="0092098F"/>
    <w:rsid w:val="009213C7"/>
    <w:rsid w:val="00923082"/>
    <w:rsid w:val="00923C4C"/>
    <w:rsid w:val="00923F74"/>
    <w:rsid w:val="00924C9B"/>
    <w:rsid w:val="009268CC"/>
    <w:rsid w:val="0092759C"/>
    <w:rsid w:val="00927881"/>
    <w:rsid w:val="009309E9"/>
    <w:rsid w:val="00932194"/>
    <w:rsid w:val="00932299"/>
    <w:rsid w:val="009330E6"/>
    <w:rsid w:val="009337BB"/>
    <w:rsid w:val="00934E01"/>
    <w:rsid w:val="00934E8C"/>
    <w:rsid w:val="0093525A"/>
    <w:rsid w:val="00935FBE"/>
    <w:rsid w:val="009421B4"/>
    <w:rsid w:val="009431CE"/>
    <w:rsid w:val="009434F5"/>
    <w:rsid w:val="00945D23"/>
    <w:rsid w:val="00951A14"/>
    <w:rsid w:val="00952002"/>
    <w:rsid w:val="0095247B"/>
    <w:rsid w:val="00952507"/>
    <w:rsid w:val="009526D4"/>
    <w:rsid w:val="00952A37"/>
    <w:rsid w:val="00952C7A"/>
    <w:rsid w:val="0095360A"/>
    <w:rsid w:val="00953817"/>
    <w:rsid w:val="009539FA"/>
    <w:rsid w:val="00953C1F"/>
    <w:rsid w:val="009553F1"/>
    <w:rsid w:val="00955795"/>
    <w:rsid w:val="00955FF1"/>
    <w:rsid w:val="00956F59"/>
    <w:rsid w:val="00957812"/>
    <w:rsid w:val="009626A7"/>
    <w:rsid w:val="0096361A"/>
    <w:rsid w:val="00964BB9"/>
    <w:rsid w:val="00965D3C"/>
    <w:rsid w:val="00966218"/>
    <w:rsid w:val="00967897"/>
    <w:rsid w:val="009704E8"/>
    <w:rsid w:val="00970E0A"/>
    <w:rsid w:val="009712CD"/>
    <w:rsid w:val="00971EAC"/>
    <w:rsid w:val="009741DE"/>
    <w:rsid w:val="00974D0F"/>
    <w:rsid w:val="00975585"/>
    <w:rsid w:val="009755CC"/>
    <w:rsid w:val="00975CFB"/>
    <w:rsid w:val="009763C4"/>
    <w:rsid w:val="00976D26"/>
    <w:rsid w:val="00977EA2"/>
    <w:rsid w:val="009815D1"/>
    <w:rsid w:val="00982E6E"/>
    <w:rsid w:val="009847F2"/>
    <w:rsid w:val="00986DCA"/>
    <w:rsid w:val="00986FC8"/>
    <w:rsid w:val="00987179"/>
    <w:rsid w:val="00987EB6"/>
    <w:rsid w:val="009903A3"/>
    <w:rsid w:val="0099205D"/>
    <w:rsid w:val="00992118"/>
    <w:rsid w:val="009925D3"/>
    <w:rsid w:val="009931BD"/>
    <w:rsid w:val="0099391B"/>
    <w:rsid w:val="0099397C"/>
    <w:rsid w:val="00993AC7"/>
    <w:rsid w:val="00993E75"/>
    <w:rsid w:val="009961AF"/>
    <w:rsid w:val="00997ED7"/>
    <w:rsid w:val="009A009C"/>
    <w:rsid w:val="009A0D0F"/>
    <w:rsid w:val="009A12C2"/>
    <w:rsid w:val="009A1992"/>
    <w:rsid w:val="009A19B4"/>
    <w:rsid w:val="009A2015"/>
    <w:rsid w:val="009A2F0C"/>
    <w:rsid w:val="009A372C"/>
    <w:rsid w:val="009A4717"/>
    <w:rsid w:val="009A54D8"/>
    <w:rsid w:val="009A559F"/>
    <w:rsid w:val="009A55C7"/>
    <w:rsid w:val="009A56AB"/>
    <w:rsid w:val="009A5B31"/>
    <w:rsid w:val="009A5BD8"/>
    <w:rsid w:val="009A6441"/>
    <w:rsid w:val="009A6551"/>
    <w:rsid w:val="009B01ED"/>
    <w:rsid w:val="009B0F6F"/>
    <w:rsid w:val="009B194C"/>
    <w:rsid w:val="009B1BAD"/>
    <w:rsid w:val="009B25D5"/>
    <w:rsid w:val="009B3996"/>
    <w:rsid w:val="009B3CE2"/>
    <w:rsid w:val="009B3F72"/>
    <w:rsid w:val="009B7144"/>
    <w:rsid w:val="009B781F"/>
    <w:rsid w:val="009C0193"/>
    <w:rsid w:val="009C090A"/>
    <w:rsid w:val="009C0AE2"/>
    <w:rsid w:val="009C2965"/>
    <w:rsid w:val="009C3340"/>
    <w:rsid w:val="009C33FD"/>
    <w:rsid w:val="009C418D"/>
    <w:rsid w:val="009C4B20"/>
    <w:rsid w:val="009C59DD"/>
    <w:rsid w:val="009C6113"/>
    <w:rsid w:val="009C6566"/>
    <w:rsid w:val="009C66F4"/>
    <w:rsid w:val="009C7ABA"/>
    <w:rsid w:val="009D140A"/>
    <w:rsid w:val="009D1733"/>
    <w:rsid w:val="009D3057"/>
    <w:rsid w:val="009D3468"/>
    <w:rsid w:val="009D39B3"/>
    <w:rsid w:val="009D3B7C"/>
    <w:rsid w:val="009D40F5"/>
    <w:rsid w:val="009D729B"/>
    <w:rsid w:val="009E0095"/>
    <w:rsid w:val="009E009E"/>
    <w:rsid w:val="009E0D9F"/>
    <w:rsid w:val="009E1358"/>
    <w:rsid w:val="009E1905"/>
    <w:rsid w:val="009E23B9"/>
    <w:rsid w:val="009E32A0"/>
    <w:rsid w:val="009E32C7"/>
    <w:rsid w:val="009E3B1C"/>
    <w:rsid w:val="009E40FE"/>
    <w:rsid w:val="009E6755"/>
    <w:rsid w:val="009E7274"/>
    <w:rsid w:val="009F1A55"/>
    <w:rsid w:val="009F1DE4"/>
    <w:rsid w:val="009F266A"/>
    <w:rsid w:val="009F3F85"/>
    <w:rsid w:val="009F4047"/>
    <w:rsid w:val="009F43EC"/>
    <w:rsid w:val="009F5170"/>
    <w:rsid w:val="009F62EC"/>
    <w:rsid w:val="009F6326"/>
    <w:rsid w:val="009F74C6"/>
    <w:rsid w:val="009F753C"/>
    <w:rsid w:val="009F7F74"/>
    <w:rsid w:val="00A03292"/>
    <w:rsid w:val="00A03EEF"/>
    <w:rsid w:val="00A044B1"/>
    <w:rsid w:val="00A054E0"/>
    <w:rsid w:val="00A05776"/>
    <w:rsid w:val="00A07FCF"/>
    <w:rsid w:val="00A10B7A"/>
    <w:rsid w:val="00A1119C"/>
    <w:rsid w:val="00A11779"/>
    <w:rsid w:val="00A13726"/>
    <w:rsid w:val="00A13BEB"/>
    <w:rsid w:val="00A13D59"/>
    <w:rsid w:val="00A14404"/>
    <w:rsid w:val="00A15684"/>
    <w:rsid w:val="00A15B91"/>
    <w:rsid w:val="00A16D89"/>
    <w:rsid w:val="00A16E9C"/>
    <w:rsid w:val="00A20047"/>
    <w:rsid w:val="00A216BD"/>
    <w:rsid w:val="00A21BF6"/>
    <w:rsid w:val="00A227C4"/>
    <w:rsid w:val="00A2285E"/>
    <w:rsid w:val="00A254B6"/>
    <w:rsid w:val="00A25ED9"/>
    <w:rsid w:val="00A2600F"/>
    <w:rsid w:val="00A2653A"/>
    <w:rsid w:val="00A26DA7"/>
    <w:rsid w:val="00A26E41"/>
    <w:rsid w:val="00A27712"/>
    <w:rsid w:val="00A3175E"/>
    <w:rsid w:val="00A323B2"/>
    <w:rsid w:val="00A326B0"/>
    <w:rsid w:val="00A331D1"/>
    <w:rsid w:val="00A336ED"/>
    <w:rsid w:val="00A338C4"/>
    <w:rsid w:val="00A33D17"/>
    <w:rsid w:val="00A33DAC"/>
    <w:rsid w:val="00A348D5"/>
    <w:rsid w:val="00A35D87"/>
    <w:rsid w:val="00A36486"/>
    <w:rsid w:val="00A36EAF"/>
    <w:rsid w:val="00A414C1"/>
    <w:rsid w:val="00A41803"/>
    <w:rsid w:val="00A42D9F"/>
    <w:rsid w:val="00A43B02"/>
    <w:rsid w:val="00A43BFA"/>
    <w:rsid w:val="00A43EC2"/>
    <w:rsid w:val="00A44020"/>
    <w:rsid w:val="00A473F1"/>
    <w:rsid w:val="00A50283"/>
    <w:rsid w:val="00A50D19"/>
    <w:rsid w:val="00A51D9C"/>
    <w:rsid w:val="00A52466"/>
    <w:rsid w:val="00A52485"/>
    <w:rsid w:val="00A52858"/>
    <w:rsid w:val="00A53FD8"/>
    <w:rsid w:val="00A54759"/>
    <w:rsid w:val="00A553D0"/>
    <w:rsid w:val="00A55C2F"/>
    <w:rsid w:val="00A56635"/>
    <w:rsid w:val="00A56894"/>
    <w:rsid w:val="00A630D6"/>
    <w:rsid w:val="00A63D6B"/>
    <w:rsid w:val="00A63FD8"/>
    <w:rsid w:val="00A70417"/>
    <w:rsid w:val="00A7061C"/>
    <w:rsid w:val="00A70CFF"/>
    <w:rsid w:val="00A70FD1"/>
    <w:rsid w:val="00A729E9"/>
    <w:rsid w:val="00A74232"/>
    <w:rsid w:val="00A75D44"/>
    <w:rsid w:val="00A76511"/>
    <w:rsid w:val="00A77606"/>
    <w:rsid w:val="00A806A3"/>
    <w:rsid w:val="00A80B67"/>
    <w:rsid w:val="00A80B7E"/>
    <w:rsid w:val="00A82938"/>
    <w:rsid w:val="00A82B67"/>
    <w:rsid w:val="00A84CC4"/>
    <w:rsid w:val="00A85534"/>
    <w:rsid w:val="00A85AFE"/>
    <w:rsid w:val="00A86C90"/>
    <w:rsid w:val="00A87965"/>
    <w:rsid w:val="00A90655"/>
    <w:rsid w:val="00A920BC"/>
    <w:rsid w:val="00A926AD"/>
    <w:rsid w:val="00A93B3E"/>
    <w:rsid w:val="00A95368"/>
    <w:rsid w:val="00A958FA"/>
    <w:rsid w:val="00A9596B"/>
    <w:rsid w:val="00A95CD7"/>
    <w:rsid w:val="00A96FAC"/>
    <w:rsid w:val="00A97379"/>
    <w:rsid w:val="00A97EC3"/>
    <w:rsid w:val="00AA0011"/>
    <w:rsid w:val="00AA02CA"/>
    <w:rsid w:val="00AA02D6"/>
    <w:rsid w:val="00AA08EE"/>
    <w:rsid w:val="00AA135C"/>
    <w:rsid w:val="00AA178F"/>
    <w:rsid w:val="00AA19BE"/>
    <w:rsid w:val="00AA29D5"/>
    <w:rsid w:val="00AA2D21"/>
    <w:rsid w:val="00AA2EA1"/>
    <w:rsid w:val="00AA322A"/>
    <w:rsid w:val="00AA3559"/>
    <w:rsid w:val="00AA3A39"/>
    <w:rsid w:val="00AA3DB5"/>
    <w:rsid w:val="00AA3EA9"/>
    <w:rsid w:val="00AA5FAE"/>
    <w:rsid w:val="00AA6775"/>
    <w:rsid w:val="00AA74B6"/>
    <w:rsid w:val="00AB0A46"/>
    <w:rsid w:val="00AB1D72"/>
    <w:rsid w:val="00AB1F17"/>
    <w:rsid w:val="00AB23F2"/>
    <w:rsid w:val="00AB3539"/>
    <w:rsid w:val="00AB5444"/>
    <w:rsid w:val="00AB57CD"/>
    <w:rsid w:val="00AB5A84"/>
    <w:rsid w:val="00AB65A4"/>
    <w:rsid w:val="00AB6BE9"/>
    <w:rsid w:val="00AC0D4B"/>
    <w:rsid w:val="00AC20D2"/>
    <w:rsid w:val="00AC34CB"/>
    <w:rsid w:val="00AC37AD"/>
    <w:rsid w:val="00AC5232"/>
    <w:rsid w:val="00AC58EE"/>
    <w:rsid w:val="00AC685B"/>
    <w:rsid w:val="00AC686A"/>
    <w:rsid w:val="00AC6BF3"/>
    <w:rsid w:val="00AC76E8"/>
    <w:rsid w:val="00AC7E13"/>
    <w:rsid w:val="00AD118F"/>
    <w:rsid w:val="00AD13FD"/>
    <w:rsid w:val="00AD2284"/>
    <w:rsid w:val="00AD2384"/>
    <w:rsid w:val="00AD702A"/>
    <w:rsid w:val="00AD710C"/>
    <w:rsid w:val="00AE06D0"/>
    <w:rsid w:val="00AE0727"/>
    <w:rsid w:val="00AE099B"/>
    <w:rsid w:val="00AE0E76"/>
    <w:rsid w:val="00AE1BA8"/>
    <w:rsid w:val="00AE1C19"/>
    <w:rsid w:val="00AE1E2C"/>
    <w:rsid w:val="00AE2388"/>
    <w:rsid w:val="00AE2DD9"/>
    <w:rsid w:val="00AE3080"/>
    <w:rsid w:val="00AE317A"/>
    <w:rsid w:val="00AE3756"/>
    <w:rsid w:val="00AE3EFE"/>
    <w:rsid w:val="00AE6D6B"/>
    <w:rsid w:val="00AE7295"/>
    <w:rsid w:val="00AE7BCF"/>
    <w:rsid w:val="00AE7CDC"/>
    <w:rsid w:val="00AF02A4"/>
    <w:rsid w:val="00AF0EB0"/>
    <w:rsid w:val="00AF23D5"/>
    <w:rsid w:val="00AF34DE"/>
    <w:rsid w:val="00AF4F95"/>
    <w:rsid w:val="00AF54C3"/>
    <w:rsid w:val="00AF61E2"/>
    <w:rsid w:val="00AF6CC7"/>
    <w:rsid w:val="00AF731B"/>
    <w:rsid w:val="00AF7BF8"/>
    <w:rsid w:val="00B01554"/>
    <w:rsid w:val="00B01AE0"/>
    <w:rsid w:val="00B01DC4"/>
    <w:rsid w:val="00B02390"/>
    <w:rsid w:val="00B02577"/>
    <w:rsid w:val="00B0321C"/>
    <w:rsid w:val="00B033F1"/>
    <w:rsid w:val="00B03427"/>
    <w:rsid w:val="00B03F82"/>
    <w:rsid w:val="00B04B31"/>
    <w:rsid w:val="00B05367"/>
    <w:rsid w:val="00B059AB"/>
    <w:rsid w:val="00B05AC8"/>
    <w:rsid w:val="00B05CBE"/>
    <w:rsid w:val="00B0608C"/>
    <w:rsid w:val="00B10447"/>
    <w:rsid w:val="00B10786"/>
    <w:rsid w:val="00B109ED"/>
    <w:rsid w:val="00B13CB7"/>
    <w:rsid w:val="00B15099"/>
    <w:rsid w:val="00B1554F"/>
    <w:rsid w:val="00B15773"/>
    <w:rsid w:val="00B15EEF"/>
    <w:rsid w:val="00B1756A"/>
    <w:rsid w:val="00B17B02"/>
    <w:rsid w:val="00B20D2D"/>
    <w:rsid w:val="00B20DE3"/>
    <w:rsid w:val="00B234F1"/>
    <w:rsid w:val="00B23819"/>
    <w:rsid w:val="00B26776"/>
    <w:rsid w:val="00B31094"/>
    <w:rsid w:val="00B313B3"/>
    <w:rsid w:val="00B33126"/>
    <w:rsid w:val="00B332F8"/>
    <w:rsid w:val="00B3359A"/>
    <w:rsid w:val="00B33681"/>
    <w:rsid w:val="00B3418B"/>
    <w:rsid w:val="00B347AA"/>
    <w:rsid w:val="00B3772E"/>
    <w:rsid w:val="00B4003C"/>
    <w:rsid w:val="00B409CD"/>
    <w:rsid w:val="00B40E48"/>
    <w:rsid w:val="00B4109F"/>
    <w:rsid w:val="00B41192"/>
    <w:rsid w:val="00B42E2B"/>
    <w:rsid w:val="00B43857"/>
    <w:rsid w:val="00B44B63"/>
    <w:rsid w:val="00B4537D"/>
    <w:rsid w:val="00B4654E"/>
    <w:rsid w:val="00B46AE5"/>
    <w:rsid w:val="00B47211"/>
    <w:rsid w:val="00B477F3"/>
    <w:rsid w:val="00B479A2"/>
    <w:rsid w:val="00B479F6"/>
    <w:rsid w:val="00B47EE6"/>
    <w:rsid w:val="00B50125"/>
    <w:rsid w:val="00B51235"/>
    <w:rsid w:val="00B5127D"/>
    <w:rsid w:val="00B51595"/>
    <w:rsid w:val="00B528D8"/>
    <w:rsid w:val="00B54C95"/>
    <w:rsid w:val="00B54D33"/>
    <w:rsid w:val="00B54F05"/>
    <w:rsid w:val="00B57186"/>
    <w:rsid w:val="00B61D5E"/>
    <w:rsid w:val="00B6252D"/>
    <w:rsid w:val="00B64050"/>
    <w:rsid w:val="00B65A5D"/>
    <w:rsid w:val="00B6624A"/>
    <w:rsid w:val="00B66F07"/>
    <w:rsid w:val="00B67B5F"/>
    <w:rsid w:val="00B72759"/>
    <w:rsid w:val="00B730CB"/>
    <w:rsid w:val="00B7311F"/>
    <w:rsid w:val="00B7368D"/>
    <w:rsid w:val="00B744BA"/>
    <w:rsid w:val="00B74E30"/>
    <w:rsid w:val="00B74EED"/>
    <w:rsid w:val="00B7723E"/>
    <w:rsid w:val="00B77D64"/>
    <w:rsid w:val="00B77FAA"/>
    <w:rsid w:val="00B80692"/>
    <w:rsid w:val="00B82429"/>
    <w:rsid w:val="00B82C14"/>
    <w:rsid w:val="00B8350B"/>
    <w:rsid w:val="00B83E7A"/>
    <w:rsid w:val="00B83F10"/>
    <w:rsid w:val="00B86553"/>
    <w:rsid w:val="00B87081"/>
    <w:rsid w:val="00B90B39"/>
    <w:rsid w:val="00B90CF6"/>
    <w:rsid w:val="00B92512"/>
    <w:rsid w:val="00B9347F"/>
    <w:rsid w:val="00B93735"/>
    <w:rsid w:val="00B94DDB"/>
    <w:rsid w:val="00B95CBD"/>
    <w:rsid w:val="00B95E60"/>
    <w:rsid w:val="00B9607B"/>
    <w:rsid w:val="00B964E1"/>
    <w:rsid w:val="00BA0493"/>
    <w:rsid w:val="00BA15FB"/>
    <w:rsid w:val="00BA184F"/>
    <w:rsid w:val="00BA2364"/>
    <w:rsid w:val="00BA23A2"/>
    <w:rsid w:val="00BA2A47"/>
    <w:rsid w:val="00BA2C24"/>
    <w:rsid w:val="00BA33A9"/>
    <w:rsid w:val="00BA3C5D"/>
    <w:rsid w:val="00BA3D76"/>
    <w:rsid w:val="00BA4C26"/>
    <w:rsid w:val="00BA59DA"/>
    <w:rsid w:val="00BA62B8"/>
    <w:rsid w:val="00BA7B44"/>
    <w:rsid w:val="00BB0A0D"/>
    <w:rsid w:val="00BB2C94"/>
    <w:rsid w:val="00BB3B96"/>
    <w:rsid w:val="00BB5658"/>
    <w:rsid w:val="00BB6B95"/>
    <w:rsid w:val="00BB6F1E"/>
    <w:rsid w:val="00BB7429"/>
    <w:rsid w:val="00BB7BDB"/>
    <w:rsid w:val="00BB7EE0"/>
    <w:rsid w:val="00BC1F99"/>
    <w:rsid w:val="00BC2C36"/>
    <w:rsid w:val="00BC340B"/>
    <w:rsid w:val="00BC4134"/>
    <w:rsid w:val="00BC4871"/>
    <w:rsid w:val="00BC4D5D"/>
    <w:rsid w:val="00BC60BB"/>
    <w:rsid w:val="00BC75C4"/>
    <w:rsid w:val="00BC7BC0"/>
    <w:rsid w:val="00BC7CD5"/>
    <w:rsid w:val="00BC7FE9"/>
    <w:rsid w:val="00BD1A96"/>
    <w:rsid w:val="00BD25B6"/>
    <w:rsid w:val="00BD5761"/>
    <w:rsid w:val="00BD5A84"/>
    <w:rsid w:val="00BD5ACA"/>
    <w:rsid w:val="00BD5E54"/>
    <w:rsid w:val="00BD68EE"/>
    <w:rsid w:val="00BD6D76"/>
    <w:rsid w:val="00BE0B84"/>
    <w:rsid w:val="00BE1321"/>
    <w:rsid w:val="00BE200A"/>
    <w:rsid w:val="00BE6A53"/>
    <w:rsid w:val="00BF135C"/>
    <w:rsid w:val="00BF136E"/>
    <w:rsid w:val="00BF1741"/>
    <w:rsid w:val="00BF21A7"/>
    <w:rsid w:val="00BF2AD5"/>
    <w:rsid w:val="00BF30EF"/>
    <w:rsid w:val="00BF312A"/>
    <w:rsid w:val="00BF4212"/>
    <w:rsid w:val="00BF56A6"/>
    <w:rsid w:val="00BF7979"/>
    <w:rsid w:val="00C0012B"/>
    <w:rsid w:val="00C0289B"/>
    <w:rsid w:val="00C030A5"/>
    <w:rsid w:val="00C058B4"/>
    <w:rsid w:val="00C070BB"/>
    <w:rsid w:val="00C07460"/>
    <w:rsid w:val="00C078B7"/>
    <w:rsid w:val="00C1060B"/>
    <w:rsid w:val="00C10ED3"/>
    <w:rsid w:val="00C11DF3"/>
    <w:rsid w:val="00C11EC1"/>
    <w:rsid w:val="00C122E2"/>
    <w:rsid w:val="00C1397A"/>
    <w:rsid w:val="00C13ED6"/>
    <w:rsid w:val="00C144A9"/>
    <w:rsid w:val="00C15877"/>
    <w:rsid w:val="00C15A5F"/>
    <w:rsid w:val="00C165A1"/>
    <w:rsid w:val="00C16950"/>
    <w:rsid w:val="00C16AD3"/>
    <w:rsid w:val="00C16EE0"/>
    <w:rsid w:val="00C21728"/>
    <w:rsid w:val="00C21A9F"/>
    <w:rsid w:val="00C22FB5"/>
    <w:rsid w:val="00C23C59"/>
    <w:rsid w:val="00C2578D"/>
    <w:rsid w:val="00C2644D"/>
    <w:rsid w:val="00C26BB6"/>
    <w:rsid w:val="00C26CBE"/>
    <w:rsid w:val="00C278E3"/>
    <w:rsid w:val="00C31426"/>
    <w:rsid w:val="00C33173"/>
    <w:rsid w:val="00C33996"/>
    <w:rsid w:val="00C33D51"/>
    <w:rsid w:val="00C34B9F"/>
    <w:rsid w:val="00C35F43"/>
    <w:rsid w:val="00C370D7"/>
    <w:rsid w:val="00C37E29"/>
    <w:rsid w:val="00C40A1E"/>
    <w:rsid w:val="00C4187C"/>
    <w:rsid w:val="00C419B2"/>
    <w:rsid w:val="00C423BA"/>
    <w:rsid w:val="00C44559"/>
    <w:rsid w:val="00C45ACD"/>
    <w:rsid w:val="00C46985"/>
    <w:rsid w:val="00C47F10"/>
    <w:rsid w:val="00C50D1D"/>
    <w:rsid w:val="00C50F18"/>
    <w:rsid w:val="00C51055"/>
    <w:rsid w:val="00C51B96"/>
    <w:rsid w:val="00C53C69"/>
    <w:rsid w:val="00C53E91"/>
    <w:rsid w:val="00C5421E"/>
    <w:rsid w:val="00C5422A"/>
    <w:rsid w:val="00C54522"/>
    <w:rsid w:val="00C54D6F"/>
    <w:rsid w:val="00C558E6"/>
    <w:rsid w:val="00C562D6"/>
    <w:rsid w:val="00C56A16"/>
    <w:rsid w:val="00C56F90"/>
    <w:rsid w:val="00C57421"/>
    <w:rsid w:val="00C60B21"/>
    <w:rsid w:val="00C610AD"/>
    <w:rsid w:val="00C61B66"/>
    <w:rsid w:val="00C62071"/>
    <w:rsid w:val="00C62882"/>
    <w:rsid w:val="00C62A1C"/>
    <w:rsid w:val="00C645D3"/>
    <w:rsid w:val="00C64DBC"/>
    <w:rsid w:val="00C67841"/>
    <w:rsid w:val="00C710F2"/>
    <w:rsid w:val="00C71166"/>
    <w:rsid w:val="00C71788"/>
    <w:rsid w:val="00C72457"/>
    <w:rsid w:val="00C73A35"/>
    <w:rsid w:val="00C74BE1"/>
    <w:rsid w:val="00C7629F"/>
    <w:rsid w:val="00C776C7"/>
    <w:rsid w:val="00C778A3"/>
    <w:rsid w:val="00C7796A"/>
    <w:rsid w:val="00C815BF"/>
    <w:rsid w:val="00C8183A"/>
    <w:rsid w:val="00C826B3"/>
    <w:rsid w:val="00C829D2"/>
    <w:rsid w:val="00C82C8A"/>
    <w:rsid w:val="00C85154"/>
    <w:rsid w:val="00C86691"/>
    <w:rsid w:val="00C90567"/>
    <w:rsid w:val="00C90EED"/>
    <w:rsid w:val="00C90FBE"/>
    <w:rsid w:val="00C91C4C"/>
    <w:rsid w:val="00C92127"/>
    <w:rsid w:val="00C92556"/>
    <w:rsid w:val="00C92A59"/>
    <w:rsid w:val="00C934D1"/>
    <w:rsid w:val="00C93560"/>
    <w:rsid w:val="00C947F7"/>
    <w:rsid w:val="00C9530B"/>
    <w:rsid w:val="00C95622"/>
    <w:rsid w:val="00C96695"/>
    <w:rsid w:val="00C976D5"/>
    <w:rsid w:val="00C9775A"/>
    <w:rsid w:val="00CA0369"/>
    <w:rsid w:val="00CA0E45"/>
    <w:rsid w:val="00CA10BB"/>
    <w:rsid w:val="00CA1E5E"/>
    <w:rsid w:val="00CA35F2"/>
    <w:rsid w:val="00CA40A7"/>
    <w:rsid w:val="00CA4768"/>
    <w:rsid w:val="00CA48D0"/>
    <w:rsid w:val="00CA6871"/>
    <w:rsid w:val="00CA6A71"/>
    <w:rsid w:val="00CA7C13"/>
    <w:rsid w:val="00CA7D86"/>
    <w:rsid w:val="00CB17A7"/>
    <w:rsid w:val="00CB1B17"/>
    <w:rsid w:val="00CB2173"/>
    <w:rsid w:val="00CB25B5"/>
    <w:rsid w:val="00CB289F"/>
    <w:rsid w:val="00CB376E"/>
    <w:rsid w:val="00CB4C5F"/>
    <w:rsid w:val="00CB52E9"/>
    <w:rsid w:val="00CB61FF"/>
    <w:rsid w:val="00CB6426"/>
    <w:rsid w:val="00CB6541"/>
    <w:rsid w:val="00CC093F"/>
    <w:rsid w:val="00CC0A42"/>
    <w:rsid w:val="00CC2AC6"/>
    <w:rsid w:val="00CC3D54"/>
    <w:rsid w:val="00CC3F6C"/>
    <w:rsid w:val="00CC62EF"/>
    <w:rsid w:val="00CC640C"/>
    <w:rsid w:val="00CC658E"/>
    <w:rsid w:val="00CC686C"/>
    <w:rsid w:val="00CC6874"/>
    <w:rsid w:val="00CC738B"/>
    <w:rsid w:val="00CC7EC9"/>
    <w:rsid w:val="00CD07B0"/>
    <w:rsid w:val="00CD0F11"/>
    <w:rsid w:val="00CD1379"/>
    <w:rsid w:val="00CD286B"/>
    <w:rsid w:val="00CD28EB"/>
    <w:rsid w:val="00CD3742"/>
    <w:rsid w:val="00CD396C"/>
    <w:rsid w:val="00CD3D3E"/>
    <w:rsid w:val="00CD4223"/>
    <w:rsid w:val="00CD4E76"/>
    <w:rsid w:val="00CD5E38"/>
    <w:rsid w:val="00CD7625"/>
    <w:rsid w:val="00CE1480"/>
    <w:rsid w:val="00CE3B20"/>
    <w:rsid w:val="00CE3B6C"/>
    <w:rsid w:val="00CE3E23"/>
    <w:rsid w:val="00CE4051"/>
    <w:rsid w:val="00CE6621"/>
    <w:rsid w:val="00CE69EB"/>
    <w:rsid w:val="00CE69F7"/>
    <w:rsid w:val="00CE6A29"/>
    <w:rsid w:val="00CE6B5B"/>
    <w:rsid w:val="00CE7EBD"/>
    <w:rsid w:val="00CF268D"/>
    <w:rsid w:val="00CF4103"/>
    <w:rsid w:val="00CF41E0"/>
    <w:rsid w:val="00CF5697"/>
    <w:rsid w:val="00CF63DD"/>
    <w:rsid w:val="00CF7D09"/>
    <w:rsid w:val="00D00074"/>
    <w:rsid w:val="00D004DE"/>
    <w:rsid w:val="00D00848"/>
    <w:rsid w:val="00D00FD2"/>
    <w:rsid w:val="00D054B6"/>
    <w:rsid w:val="00D0636D"/>
    <w:rsid w:val="00D071CB"/>
    <w:rsid w:val="00D0789E"/>
    <w:rsid w:val="00D109C1"/>
    <w:rsid w:val="00D11874"/>
    <w:rsid w:val="00D1188D"/>
    <w:rsid w:val="00D13A68"/>
    <w:rsid w:val="00D14434"/>
    <w:rsid w:val="00D1573B"/>
    <w:rsid w:val="00D175E6"/>
    <w:rsid w:val="00D1760A"/>
    <w:rsid w:val="00D202AE"/>
    <w:rsid w:val="00D21A3A"/>
    <w:rsid w:val="00D22508"/>
    <w:rsid w:val="00D22DF6"/>
    <w:rsid w:val="00D2387A"/>
    <w:rsid w:val="00D2477F"/>
    <w:rsid w:val="00D2512E"/>
    <w:rsid w:val="00D2577E"/>
    <w:rsid w:val="00D26757"/>
    <w:rsid w:val="00D26E38"/>
    <w:rsid w:val="00D30B73"/>
    <w:rsid w:val="00D30F1E"/>
    <w:rsid w:val="00D315C9"/>
    <w:rsid w:val="00D3179D"/>
    <w:rsid w:val="00D32E09"/>
    <w:rsid w:val="00D33903"/>
    <w:rsid w:val="00D33981"/>
    <w:rsid w:val="00D365F7"/>
    <w:rsid w:val="00D3724C"/>
    <w:rsid w:val="00D40B9B"/>
    <w:rsid w:val="00D40ED4"/>
    <w:rsid w:val="00D41C19"/>
    <w:rsid w:val="00D42404"/>
    <w:rsid w:val="00D463EF"/>
    <w:rsid w:val="00D46AD2"/>
    <w:rsid w:val="00D50621"/>
    <w:rsid w:val="00D50DEC"/>
    <w:rsid w:val="00D52469"/>
    <w:rsid w:val="00D532D2"/>
    <w:rsid w:val="00D53B3E"/>
    <w:rsid w:val="00D546CB"/>
    <w:rsid w:val="00D554E1"/>
    <w:rsid w:val="00D5598F"/>
    <w:rsid w:val="00D56691"/>
    <w:rsid w:val="00D5681C"/>
    <w:rsid w:val="00D57DDA"/>
    <w:rsid w:val="00D61D7B"/>
    <w:rsid w:val="00D62085"/>
    <w:rsid w:val="00D62543"/>
    <w:rsid w:val="00D629C4"/>
    <w:rsid w:val="00D63BDB"/>
    <w:rsid w:val="00D64289"/>
    <w:rsid w:val="00D649E5"/>
    <w:rsid w:val="00D653CB"/>
    <w:rsid w:val="00D6576E"/>
    <w:rsid w:val="00D7017B"/>
    <w:rsid w:val="00D70362"/>
    <w:rsid w:val="00D7194F"/>
    <w:rsid w:val="00D72243"/>
    <w:rsid w:val="00D725C7"/>
    <w:rsid w:val="00D72A76"/>
    <w:rsid w:val="00D7553A"/>
    <w:rsid w:val="00D755FF"/>
    <w:rsid w:val="00D75720"/>
    <w:rsid w:val="00D764CB"/>
    <w:rsid w:val="00D76C4E"/>
    <w:rsid w:val="00D76CD1"/>
    <w:rsid w:val="00D771DD"/>
    <w:rsid w:val="00D805F6"/>
    <w:rsid w:val="00D81485"/>
    <w:rsid w:val="00D818EE"/>
    <w:rsid w:val="00D825B6"/>
    <w:rsid w:val="00D82F35"/>
    <w:rsid w:val="00D84CFA"/>
    <w:rsid w:val="00D868BD"/>
    <w:rsid w:val="00D869F7"/>
    <w:rsid w:val="00D90873"/>
    <w:rsid w:val="00D90CED"/>
    <w:rsid w:val="00D92A78"/>
    <w:rsid w:val="00D93A11"/>
    <w:rsid w:val="00D93E8A"/>
    <w:rsid w:val="00D9571E"/>
    <w:rsid w:val="00D95D83"/>
    <w:rsid w:val="00D95EF5"/>
    <w:rsid w:val="00D96BFD"/>
    <w:rsid w:val="00D96D4D"/>
    <w:rsid w:val="00D97343"/>
    <w:rsid w:val="00DA069C"/>
    <w:rsid w:val="00DA087F"/>
    <w:rsid w:val="00DA0B8A"/>
    <w:rsid w:val="00DA1159"/>
    <w:rsid w:val="00DA255D"/>
    <w:rsid w:val="00DA3616"/>
    <w:rsid w:val="00DA37AB"/>
    <w:rsid w:val="00DA46EA"/>
    <w:rsid w:val="00DA473D"/>
    <w:rsid w:val="00DA5311"/>
    <w:rsid w:val="00DA5EE0"/>
    <w:rsid w:val="00DB142F"/>
    <w:rsid w:val="00DB1692"/>
    <w:rsid w:val="00DB1C91"/>
    <w:rsid w:val="00DB1DD6"/>
    <w:rsid w:val="00DB361F"/>
    <w:rsid w:val="00DB388A"/>
    <w:rsid w:val="00DB445E"/>
    <w:rsid w:val="00DB4665"/>
    <w:rsid w:val="00DB4DC3"/>
    <w:rsid w:val="00DB5121"/>
    <w:rsid w:val="00DB544C"/>
    <w:rsid w:val="00DB54D4"/>
    <w:rsid w:val="00DB5600"/>
    <w:rsid w:val="00DB662D"/>
    <w:rsid w:val="00DB7217"/>
    <w:rsid w:val="00DB7DF8"/>
    <w:rsid w:val="00DC116D"/>
    <w:rsid w:val="00DC16CA"/>
    <w:rsid w:val="00DC27CE"/>
    <w:rsid w:val="00DC504B"/>
    <w:rsid w:val="00DC5B60"/>
    <w:rsid w:val="00DC663A"/>
    <w:rsid w:val="00DC6F08"/>
    <w:rsid w:val="00DC776A"/>
    <w:rsid w:val="00DD02BE"/>
    <w:rsid w:val="00DD0426"/>
    <w:rsid w:val="00DD0496"/>
    <w:rsid w:val="00DD1024"/>
    <w:rsid w:val="00DD16EF"/>
    <w:rsid w:val="00DD1D21"/>
    <w:rsid w:val="00DD24CC"/>
    <w:rsid w:val="00DD2E1F"/>
    <w:rsid w:val="00DD54C7"/>
    <w:rsid w:val="00DD6B76"/>
    <w:rsid w:val="00DD747E"/>
    <w:rsid w:val="00DD77B4"/>
    <w:rsid w:val="00DD7EC8"/>
    <w:rsid w:val="00DD7F29"/>
    <w:rsid w:val="00DE1AE6"/>
    <w:rsid w:val="00DE4196"/>
    <w:rsid w:val="00DE48E6"/>
    <w:rsid w:val="00DE4961"/>
    <w:rsid w:val="00DE4E0A"/>
    <w:rsid w:val="00DE5A43"/>
    <w:rsid w:val="00DE63D8"/>
    <w:rsid w:val="00DE766F"/>
    <w:rsid w:val="00DF0796"/>
    <w:rsid w:val="00DF0DE1"/>
    <w:rsid w:val="00DF11EB"/>
    <w:rsid w:val="00DF1F97"/>
    <w:rsid w:val="00DF2093"/>
    <w:rsid w:val="00DF2A92"/>
    <w:rsid w:val="00DF2D0C"/>
    <w:rsid w:val="00DF35B5"/>
    <w:rsid w:val="00DF3953"/>
    <w:rsid w:val="00DF3C72"/>
    <w:rsid w:val="00DF461B"/>
    <w:rsid w:val="00DF4EA3"/>
    <w:rsid w:val="00DF51A0"/>
    <w:rsid w:val="00DF57D8"/>
    <w:rsid w:val="00DF7553"/>
    <w:rsid w:val="00DF785F"/>
    <w:rsid w:val="00E00F31"/>
    <w:rsid w:val="00E016DF"/>
    <w:rsid w:val="00E027D2"/>
    <w:rsid w:val="00E0374D"/>
    <w:rsid w:val="00E03A0F"/>
    <w:rsid w:val="00E0434C"/>
    <w:rsid w:val="00E05239"/>
    <w:rsid w:val="00E059BE"/>
    <w:rsid w:val="00E05C58"/>
    <w:rsid w:val="00E0606B"/>
    <w:rsid w:val="00E06552"/>
    <w:rsid w:val="00E070B4"/>
    <w:rsid w:val="00E10251"/>
    <w:rsid w:val="00E14B21"/>
    <w:rsid w:val="00E15142"/>
    <w:rsid w:val="00E15267"/>
    <w:rsid w:val="00E15AE5"/>
    <w:rsid w:val="00E15C52"/>
    <w:rsid w:val="00E174EE"/>
    <w:rsid w:val="00E203D3"/>
    <w:rsid w:val="00E209E7"/>
    <w:rsid w:val="00E20E47"/>
    <w:rsid w:val="00E21D81"/>
    <w:rsid w:val="00E22774"/>
    <w:rsid w:val="00E2321E"/>
    <w:rsid w:val="00E248F9"/>
    <w:rsid w:val="00E24E91"/>
    <w:rsid w:val="00E24FD8"/>
    <w:rsid w:val="00E25268"/>
    <w:rsid w:val="00E3080B"/>
    <w:rsid w:val="00E30B66"/>
    <w:rsid w:val="00E3178D"/>
    <w:rsid w:val="00E319A8"/>
    <w:rsid w:val="00E31ED1"/>
    <w:rsid w:val="00E32496"/>
    <w:rsid w:val="00E32C94"/>
    <w:rsid w:val="00E32F6A"/>
    <w:rsid w:val="00E34276"/>
    <w:rsid w:val="00E344A4"/>
    <w:rsid w:val="00E34B46"/>
    <w:rsid w:val="00E34DB7"/>
    <w:rsid w:val="00E34EB3"/>
    <w:rsid w:val="00E3776E"/>
    <w:rsid w:val="00E37AF0"/>
    <w:rsid w:val="00E40C5A"/>
    <w:rsid w:val="00E41C4E"/>
    <w:rsid w:val="00E42B26"/>
    <w:rsid w:val="00E462A3"/>
    <w:rsid w:val="00E4635A"/>
    <w:rsid w:val="00E51307"/>
    <w:rsid w:val="00E514CB"/>
    <w:rsid w:val="00E51AE3"/>
    <w:rsid w:val="00E52748"/>
    <w:rsid w:val="00E52979"/>
    <w:rsid w:val="00E52FA2"/>
    <w:rsid w:val="00E53824"/>
    <w:rsid w:val="00E539B7"/>
    <w:rsid w:val="00E54008"/>
    <w:rsid w:val="00E5494B"/>
    <w:rsid w:val="00E55D99"/>
    <w:rsid w:val="00E564E7"/>
    <w:rsid w:val="00E572CE"/>
    <w:rsid w:val="00E57545"/>
    <w:rsid w:val="00E60503"/>
    <w:rsid w:val="00E60B6E"/>
    <w:rsid w:val="00E60FE4"/>
    <w:rsid w:val="00E61E33"/>
    <w:rsid w:val="00E626F9"/>
    <w:rsid w:val="00E63405"/>
    <w:rsid w:val="00E64C8C"/>
    <w:rsid w:val="00E64F51"/>
    <w:rsid w:val="00E667A2"/>
    <w:rsid w:val="00E67221"/>
    <w:rsid w:val="00E672FA"/>
    <w:rsid w:val="00E70632"/>
    <w:rsid w:val="00E70FE5"/>
    <w:rsid w:val="00E71325"/>
    <w:rsid w:val="00E718C7"/>
    <w:rsid w:val="00E7220D"/>
    <w:rsid w:val="00E74456"/>
    <w:rsid w:val="00E75195"/>
    <w:rsid w:val="00E76116"/>
    <w:rsid w:val="00E76248"/>
    <w:rsid w:val="00E76F98"/>
    <w:rsid w:val="00E824C1"/>
    <w:rsid w:val="00E82917"/>
    <w:rsid w:val="00E84EF6"/>
    <w:rsid w:val="00E85BC7"/>
    <w:rsid w:val="00E86E84"/>
    <w:rsid w:val="00E87767"/>
    <w:rsid w:val="00E87BB9"/>
    <w:rsid w:val="00E907EC"/>
    <w:rsid w:val="00E90DE8"/>
    <w:rsid w:val="00E91361"/>
    <w:rsid w:val="00E925AB"/>
    <w:rsid w:val="00E92C46"/>
    <w:rsid w:val="00E93790"/>
    <w:rsid w:val="00E939FA"/>
    <w:rsid w:val="00E952C0"/>
    <w:rsid w:val="00E957C1"/>
    <w:rsid w:val="00E96BEC"/>
    <w:rsid w:val="00E96ECA"/>
    <w:rsid w:val="00E97338"/>
    <w:rsid w:val="00EA022C"/>
    <w:rsid w:val="00EA0823"/>
    <w:rsid w:val="00EA09A7"/>
    <w:rsid w:val="00EA1FFD"/>
    <w:rsid w:val="00EA229F"/>
    <w:rsid w:val="00EA25BD"/>
    <w:rsid w:val="00EA25F5"/>
    <w:rsid w:val="00EA40B6"/>
    <w:rsid w:val="00EA4DA6"/>
    <w:rsid w:val="00EA5253"/>
    <w:rsid w:val="00EA5B8D"/>
    <w:rsid w:val="00EA5E80"/>
    <w:rsid w:val="00EA7475"/>
    <w:rsid w:val="00EA7AC2"/>
    <w:rsid w:val="00EB0239"/>
    <w:rsid w:val="00EB028A"/>
    <w:rsid w:val="00EB02DE"/>
    <w:rsid w:val="00EB0DCB"/>
    <w:rsid w:val="00EB236D"/>
    <w:rsid w:val="00EB237D"/>
    <w:rsid w:val="00EB4B70"/>
    <w:rsid w:val="00EB5698"/>
    <w:rsid w:val="00EB5BC2"/>
    <w:rsid w:val="00EB640D"/>
    <w:rsid w:val="00EB650C"/>
    <w:rsid w:val="00EC00D1"/>
    <w:rsid w:val="00EC0282"/>
    <w:rsid w:val="00EC057C"/>
    <w:rsid w:val="00EC15D4"/>
    <w:rsid w:val="00EC1998"/>
    <w:rsid w:val="00EC272E"/>
    <w:rsid w:val="00EC28A9"/>
    <w:rsid w:val="00EC38F5"/>
    <w:rsid w:val="00EC5204"/>
    <w:rsid w:val="00EC5224"/>
    <w:rsid w:val="00EC53CC"/>
    <w:rsid w:val="00EC59D6"/>
    <w:rsid w:val="00EC61A9"/>
    <w:rsid w:val="00EC6822"/>
    <w:rsid w:val="00EC7CC1"/>
    <w:rsid w:val="00ED17F7"/>
    <w:rsid w:val="00ED21BE"/>
    <w:rsid w:val="00ED2476"/>
    <w:rsid w:val="00ED30FB"/>
    <w:rsid w:val="00ED3471"/>
    <w:rsid w:val="00ED348F"/>
    <w:rsid w:val="00ED450A"/>
    <w:rsid w:val="00ED4FC8"/>
    <w:rsid w:val="00ED51FD"/>
    <w:rsid w:val="00ED5419"/>
    <w:rsid w:val="00ED66B7"/>
    <w:rsid w:val="00ED7124"/>
    <w:rsid w:val="00EE1661"/>
    <w:rsid w:val="00EE2CA5"/>
    <w:rsid w:val="00EE315E"/>
    <w:rsid w:val="00EE336D"/>
    <w:rsid w:val="00EE4B26"/>
    <w:rsid w:val="00EE50D3"/>
    <w:rsid w:val="00EE56D7"/>
    <w:rsid w:val="00EE6067"/>
    <w:rsid w:val="00EE6FB0"/>
    <w:rsid w:val="00EE7109"/>
    <w:rsid w:val="00EE719A"/>
    <w:rsid w:val="00EF1FD9"/>
    <w:rsid w:val="00EF21E2"/>
    <w:rsid w:val="00EF312E"/>
    <w:rsid w:val="00EF56AB"/>
    <w:rsid w:val="00EF60A3"/>
    <w:rsid w:val="00EF6AED"/>
    <w:rsid w:val="00EF7700"/>
    <w:rsid w:val="00EF7D65"/>
    <w:rsid w:val="00F0060F"/>
    <w:rsid w:val="00F012F8"/>
    <w:rsid w:val="00F02782"/>
    <w:rsid w:val="00F028F2"/>
    <w:rsid w:val="00F03B5D"/>
    <w:rsid w:val="00F03FBD"/>
    <w:rsid w:val="00F04518"/>
    <w:rsid w:val="00F04D77"/>
    <w:rsid w:val="00F06FCC"/>
    <w:rsid w:val="00F07600"/>
    <w:rsid w:val="00F07AB9"/>
    <w:rsid w:val="00F07E4E"/>
    <w:rsid w:val="00F10A10"/>
    <w:rsid w:val="00F11682"/>
    <w:rsid w:val="00F117A5"/>
    <w:rsid w:val="00F12093"/>
    <w:rsid w:val="00F155FF"/>
    <w:rsid w:val="00F15A69"/>
    <w:rsid w:val="00F15DD7"/>
    <w:rsid w:val="00F16220"/>
    <w:rsid w:val="00F16ED4"/>
    <w:rsid w:val="00F22557"/>
    <w:rsid w:val="00F22C01"/>
    <w:rsid w:val="00F243EE"/>
    <w:rsid w:val="00F30D73"/>
    <w:rsid w:val="00F30DFE"/>
    <w:rsid w:val="00F32BA0"/>
    <w:rsid w:val="00F32D45"/>
    <w:rsid w:val="00F32E54"/>
    <w:rsid w:val="00F3399B"/>
    <w:rsid w:val="00F33E99"/>
    <w:rsid w:val="00F355DE"/>
    <w:rsid w:val="00F372DB"/>
    <w:rsid w:val="00F40CE1"/>
    <w:rsid w:val="00F40EB5"/>
    <w:rsid w:val="00F415FE"/>
    <w:rsid w:val="00F419E7"/>
    <w:rsid w:val="00F42405"/>
    <w:rsid w:val="00F43CA6"/>
    <w:rsid w:val="00F45328"/>
    <w:rsid w:val="00F4622C"/>
    <w:rsid w:val="00F46CC3"/>
    <w:rsid w:val="00F46D86"/>
    <w:rsid w:val="00F47144"/>
    <w:rsid w:val="00F476D5"/>
    <w:rsid w:val="00F50239"/>
    <w:rsid w:val="00F5045C"/>
    <w:rsid w:val="00F5092F"/>
    <w:rsid w:val="00F51083"/>
    <w:rsid w:val="00F511B1"/>
    <w:rsid w:val="00F52093"/>
    <w:rsid w:val="00F5225D"/>
    <w:rsid w:val="00F52C7F"/>
    <w:rsid w:val="00F53286"/>
    <w:rsid w:val="00F53798"/>
    <w:rsid w:val="00F550BA"/>
    <w:rsid w:val="00F55913"/>
    <w:rsid w:val="00F5789B"/>
    <w:rsid w:val="00F57A7A"/>
    <w:rsid w:val="00F61254"/>
    <w:rsid w:val="00F612DE"/>
    <w:rsid w:val="00F61635"/>
    <w:rsid w:val="00F6182F"/>
    <w:rsid w:val="00F619E0"/>
    <w:rsid w:val="00F624E9"/>
    <w:rsid w:val="00F62618"/>
    <w:rsid w:val="00F626E3"/>
    <w:rsid w:val="00F62E96"/>
    <w:rsid w:val="00F62F16"/>
    <w:rsid w:val="00F65255"/>
    <w:rsid w:val="00F66FF6"/>
    <w:rsid w:val="00F70032"/>
    <w:rsid w:val="00F71119"/>
    <w:rsid w:val="00F71F60"/>
    <w:rsid w:val="00F7241B"/>
    <w:rsid w:val="00F74F3C"/>
    <w:rsid w:val="00F753A8"/>
    <w:rsid w:val="00F7654D"/>
    <w:rsid w:val="00F76D1C"/>
    <w:rsid w:val="00F76EBF"/>
    <w:rsid w:val="00F7735B"/>
    <w:rsid w:val="00F801B7"/>
    <w:rsid w:val="00F82345"/>
    <w:rsid w:val="00F830A4"/>
    <w:rsid w:val="00F83CFE"/>
    <w:rsid w:val="00F83F72"/>
    <w:rsid w:val="00F85E22"/>
    <w:rsid w:val="00F86AA6"/>
    <w:rsid w:val="00F87047"/>
    <w:rsid w:val="00F87356"/>
    <w:rsid w:val="00F8738A"/>
    <w:rsid w:val="00F87462"/>
    <w:rsid w:val="00F90A16"/>
    <w:rsid w:val="00F9105D"/>
    <w:rsid w:val="00F913D8"/>
    <w:rsid w:val="00F919FC"/>
    <w:rsid w:val="00F923B8"/>
    <w:rsid w:val="00F9484F"/>
    <w:rsid w:val="00F955FC"/>
    <w:rsid w:val="00F95605"/>
    <w:rsid w:val="00F959A2"/>
    <w:rsid w:val="00F962C2"/>
    <w:rsid w:val="00F963FA"/>
    <w:rsid w:val="00F96AEB"/>
    <w:rsid w:val="00F96C1E"/>
    <w:rsid w:val="00F97FE6"/>
    <w:rsid w:val="00FA10B8"/>
    <w:rsid w:val="00FA32E7"/>
    <w:rsid w:val="00FA3477"/>
    <w:rsid w:val="00FA422E"/>
    <w:rsid w:val="00FA6188"/>
    <w:rsid w:val="00FA65AC"/>
    <w:rsid w:val="00FA72B1"/>
    <w:rsid w:val="00FA7675"/>
    <w:rsid w:val="00FB238D"/>
    <w:rsid w:val="00FB26B3"/>
    <w:rsid w:val="00FB34B1"/>
    <w:rsid w:val="00FB3525"/>
    <w:rsid w:val="00FB4535"/>
    <w:rsid w:val="00FB501D"/>
    <w:rsid w:val="00FB78CF"/>
    <w:rsid w:val="00FB7965"/>
    <w:rsid w:val="00FB7E16"/>
    <w:rsid w:val="00FC0181"/>
    <w:rsid w:val="00FC059C"/>
    <w:rsid w:val="00FC07DE"/>
    <w:rsid w:val="00FC07F5"/>
    <w:rsid w:val="00FC1043"/>
    <w:rsid w:val="00FC10F7"/>
    <w:rsid w:val="00FC129D"/>
    <w:rsid w:val="00FC1C68"/>
    <w:rsid w:val="00FC21FA"/>
    <w:rsid w:val="00FC272C"/>
    <w:rsid w:val="00FC2C08"/>
    <w:rsid w:val="00FC4AC0"/>
    <w:rsid w:val="00FC50DF"/>
    <w:rsid w:val="00FC6A7B"/>
    <w:rsid w:val="00FD07BB"/>
    <w:rsid w:val="00FD0C7E"/>
    <w:rsid w:val="00FD10EE"/>
    <w:rsid w:val="00FD1813"/>
    <w:rsid w:val="00FD4883"/>
    <w:rsid w:val="00FD5C43"/>
    <w:rsid w:val="00FD5FA9"/>
    <w:rsid w:val="00FD67DA"/>
    <w:rsid w:val="00FD6B29"/>
    <w:rsid w:val="00FD6E30"/>
    <w:rsid w:val="00FD6F69"/>
    <w:rsid w:val="00FE19B5"/>
    <w:rsid w:val="00FE21C0"/>
    <w:rsid w:val="00FE2674"/>
    <w:rsid w:val="00FE3FE2"/>
    <w:rsid w:val="00FE4738"/>
    <w:rsid w:val="00FE5AD4"/>
    <w:rsid w:val="00FE67D7"/>
    <w:rsid w:val="00FE735B"/>
    <w:rsid w:val="00FF0393"/>
    <w:rsid w:val="00FF19E5"/>
    <w:rsid w:val="00FF1DD7"/>
    <w:rsid w:val="00FF2D68"/>
    <w:rsid w:val="00FF2F66"/>
    <w:rsid w:val="00FF42C9"/>
    <w:rsid w:val="00FF79A6"/>
    <w:rsid w:val="00FF7C6D"/>
    <w:rsid w:val="00FF7EB1"/>
    <w:rsid w:val="00FF7ECD"/>
    <w:rsid w:val="08DA1D7C"/>
    <w:rsid w:val="0A98710D"/>
    <w:rsid w:val="0CFA0B0A"/>
    <w:rsid w:val="127C574A"/>
    <w:rsid w:val="138D30AA"/>
    <w:rsid w:val="161B1F94"/>
    <w:rsid w:val="18BC7B87"/>
    <w:rsid w:val="19750F40"/>
    <w:rsid w:val="1A93162E"/>
    <w:rsid w:val="23EE5601"/>
    <w:rsid w:val="271F353C"/>
    <w:rsid w:val="27B0560A"/>
    <w:rsid w:val="29CD2001"/>
    <w:rsid w:val="2A761F5F"/>
    <w:rsid w:val="338C1252"/>
    <w:rsid w:val="363838F2"/>
    <w:rsid w:val="37EB3EB7"/>
    <w:rsid w:val="3CAC155C"/>
    <w:rsid w:val="3E6D5299"/>
    <w:rsid w:val="3F805A85"/>
    <w:rsid w:val="40A531CE"/>
    <w:rsid w:val="41C611F8"/>
    <w:rsid w:val="431E135F"/>
    <w:rsid w:val="439919CF"/>
    <w:rsid w:val="45533C28"/>
    <w:rsid w:val="466D7047"/>
    <w:rsid w:val="47232C3F"/>
    <w:rsid w:val="474B19E5"/>
    <w:rsid w:val="48DC7C13"/>
    <w:rsid w:val="4B4808CD"/>
    <w:rsid w:val="4D8C4616"/>
    <w:rsid w:val="4E144CFA"/>
    <w:rsid w:val="4EB37711"/>
    <w:rsid w:val="55B4724D"/>
    <w:rsid w:val="58792930"/>
    <w:rsid w:val="58A50A48"/>
    <w:rsid w:val="58DE60AE"/>
    <w:rsid w:val="5ED17F63"/>
    <w:rsid w:val="60AE531E"/>
    <w:rsid w:val="63D34AA7"/>
    <w:rsid w:val="63E6178E"/>
    <w:rsid w:val="65C456C1"/>
    <w:rsid w:val="66D903A9"/>
    <w:rsid w:val="679C12EB"/>
    <w:rsid w:val="67B96BEB"/>
    <w:rsid w:val="686C5208"/>
    <w:rsid w:val="6D657CA4"/>
    <w:rsid w:val="6E8168A4"/>
    <w:rsid w:val="79C6279B"/>
    <w:rsid w:val="7BF82606"/>
  </w:rsids>
  <w:docVars>
    <w:docVar w:name="commondata" w:val="eyJoZGlkIjoiMjk0YTgwN2QwNmU0MDI5MDg5NTZkN2MwMmU3MjJjN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toc 1" w:semiHidden="0" w:uiPriority="39" w:unhideWhenUsed="0"/>
    <w:lsdException w:name="toc 2" w:semiHidden="0" w:uiPriority="39"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nhideWhenUsed="0" w:qFormat="1"/>
    <w:lsdException w:name="footer" w:semiHidden="0" w:unhideWhenUsed="0" w:qFormat="1"/>
    <w:lsdException w:name="caption" w:semiHidden="0" w:uiPriority="0" w:unhideWhenUsed="0" w:qFormat="1"/>
    <w:lsdException w:name="table of figures" w:semiHidden="0" w:uiPriority="0" w:unhideWhenUsed="0"/>
    <w:lsdException w:name="footnote reference" w:semiHidden="0" w:uiPriority="0" w:unhideWhenUsed="0"/>
    <w:lsdException w:name="annotation reference" w:semiHidden="0" w:uiPriority="0" w:unhideWhenUsed="0"/>
    <w:lsdException w:name="page number" w:semiHidden="0" w:uiPriority="0" w:unhideWhenUsed="0"/>
    <w:lsdException w:name="toa heading"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Number 2" w:semiHidden="0" w:uiPriority="0" w:unhideWhenUsed="0"/>
    <w:lsdException w:name="List Number 3" w:semiHidden="0" w:uiPriority="0" w:unhideWhenUsed="0"/>
    <w:lsdException w:name="Title" w:semiHidden="0" w:uiPriority="0" w:unhideWhenUsed="0" w:qFormat="1"/>
    <w:lsdException w:name="Default Paragraph Font" w:semiHidden="0" w:uiPriority="0" w:unhideWhenUsed="0"/>
    <w:lsdException w:name="Body Text" w:semiHidden="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Subtitle" w:semiHidden="0" w:uiPriority="11" w:unhideWhenUsed="0" w:qFormat="1"/>
    <w:lsdException w:name="Date" w:semiHidden="0" w:uiPriority="0" w:unhideWhenUsed="0"/>
    <w:lsdException w:name="Body Text First Indent" w:semiHidden="0" w:unhideWhenUsed="0" w:qFormat="1"/>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Hyperlink" w:semiHidden="0" w:unhideWhenUsed="0" w:qFormat="1"/>
    <w:lsdException w:name="FollowedHyperlink" w:semiHidden="0" w:uiPriority="0" w:unhideWhenUsed="0"/>
    <w:lsdException w:name="Strong" w:semiHidden="0" w:uiPriority="22" w:unhideWhenUsed="0" w:qFormat="1"/>
    <w:lsdException w:name="Emphasis" w:semiHidden="0" w:uiPriority="0" w:unhideWhenUsed="0" w:qFormat="1"/>
    <w:lsdException w:name="Document Map" w:semiHidden="0" w:uiPriority="0" w:unhideWhenUsed="0"/>
    <w:lsdException w:name="Plain Text" w:semiHidden="0" w:uiPriority="0" w:unhideWhenUsed="0"/>
    <w:lsdException w:name="Normal (Web)" w:semiHidden="0" w:unhideWhenUsed="0" w:qFormat="1"/>
    <w:lsdException w:name="Normal Table" w:semiHidden="0" w:uiPriority="0" w:unhideWhenUsed="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semiHidden="0" w:uiPriority="0"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BodyTextFirstIndent"/>
    <w:qFormat/>
    <w:pPr>
      <w:widowControl w:val="0"/>
      <w:jc w:val="both"/>
    </w:pPr>
    <w:rPr>
      <w:kern w:val="2"/>
      <w:sz w:val="28"/>
      <w:lang w:val="en-US" w:eastAsia="zh-CN" w:bidi="ar-SA"/>
    </w:rPr>
  </w:style>
  <w:style w:type="paragraph" w:styleId="Heading1">
    <w:name w:val="heading 1"/>
    <w:basedOn w:val="Normal"/>
    <w:next w:val="Normal"/>
    <w:link w:val="11"/>
    <w:uiPriority w:val="9"/>
    <w:qFormat/>
    <w:pPr>
      <w:keepNext/>
      <w:tabs>
        <w:tab w:val="left" w:pos="3360"/>
      </w:tabs>
      <w:snapToGrid w:val="0"/>
      <w:spacing w:before="312" w:beforeLines="100" w:beforeAutospacing="0" w:after="156" w:afterLines="50" w:afterAutospacing="0" w:line="800" w:lineRule="atLeast"/>
      <w:jc w:val="center"/>
      <w:outlineLvl w:val="0"/>
    </w:pPr>
    <w:rPr>
      <w:rFonts w:eastAsia="黑体"/>
      <w:sz w:val="44"/>
    </w:rPr>
  </w:style>
  <w:style w:type="paragraph" w:styleId="Heading2">
    <w:name w:val="heading 2"/>
    <w:basedOn w:val="Normal"/>
    <w:next w:val="Normal"/>
    <w:link w:val="22"/>
    <w:qFormat/>
    <w:pPr>
      <w:keepNext/>
      <w:keepLines/>
      <w:adjustRightInd w:val="0"/>
      <w:snapToGrid w:val="0"/>
      <w:spacing w:line="360" w:lineRule="auto"/>
      <w:outlineLvl w:val="1"/>
    </w:pPr>
    <w:rPr>
      <w:rFonts w:ascii="宋体" w:hAnsi="宋体"/>
    </w:rPr>
  </w:style>
  <w:style w:type="paragraph" w:styleId="Heading3">
    <w:name w:val="heading 3"/>
    <w:basedOn w:val="Normal"/>
    <w:next w:val="Normal"/>
    <w:link w:val="31"/>
    <w:uiPriority w:val="9"/>
    <w:qFormat/>
    <w:pPr>
      <w:keepNext/>
      <w:keepLines/>
      <w:spacing w:before="260" w:beforeLines="0" w:beforeAutospacing="0" w:after="260" w:afterLines="0" w:afterAutospacing="0" w:line="413" w:lineRule="auto"/>
      <w:jc w:val="center"/>
      <w:outlineLvl w:val="2"/>
    </w:pPr>
    <w:rPr>
      <w:b/>
      <w:sz w:val="44"/>
    </w:rPr>
  </w:style>
  <w:style w:type="paragraph" w:styleId="Heading4">
    <w:name w:val="heading 4"/>
    <w:basedOn w:val="Normal"/>
    <w:next w:val="Normal"/>
    <w:link w:val="41"/>
    <w:qFormat/>
    <w:pPr>
      <w:keepNext/>
      <w:keepLines/>
      <w:numPr>
        <w:ilvl w:val="0"/>
        <w:numId w:val="1"/>
      </w:numPr>
      <w:tabs>
        <w:tab w:val="left" w:pos="720"/>
      </w:tabs>
      <w:spacing w:before="560" w:after="290" w:line="377" w:lineRule="auto"/>
      <w:outlineLvl w:val="3"/>
    </w:pPr>
    <w:rPr>
      <w:rFonts w:ascii="Arial" w:eastAsia="黑体" w:hAnsi="Arial"/>
      <w:b/>
    </w:rPr>
  </w:style>
  <w:style w:type="paragraph" w:styleId="Heading5">
    <w:name w:val="heading 5"/>
    <w:basedOn w:val="Normal"/>
    <w:next w:val="Normal"/>
    <w:qFormat/>
    <w:pPr>
      <w:keepNext/>
      <w:keepLines/>
      <w:tabs>
        <w:tab w:val="left" w:pos="2551"/>
      </w:tabs>
      <w:spacing w:before="280" w:beforeLines="0" w:beforeAutospacing="0" w:after="290" w:afterLines="0" w:afterAutospacing="0" w:line="372" w:lineRule="auto"/>
      <w:ind w:left="2551" w:hanging="850"/>
      <w:outlineLvl w:val="4"/>
    </w:pPr>
    <w:rPr>
      <w:rFonts w:ascii="Times New Roman" w:eastAsia="宋体" w:hAnsi="Times New Roman" w:cs="Times New Roman"/>
      <w:b/>
    </w:rPr>
  </w:style>
  <w:style w:type="paragraph" w:styleId="Heading6">
    <w:name w:val="heading 6"/>
    <w:basedOn w:val="Normal"/>
    <w:next w:val="Normal"/>
    <w:qFormat/>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eastAsia="黑体" w:hAnsi="Arial" w:cs="Times New Roman"/>
      <w:b/>
      <w:sz w:val="24"/>
    </w:rPr>
  </w:style>
  <w:style w:type="paragraph" w:styleId="Heading7">
    <w:name w:val="heading 7"/>
    <w:basedOn w:val="Normal"/>
    <w:next w:val="Normal"/>
    <w:qFormat/>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eastAsia="黑体" w:hAnsi="Arial" w:cs="Times New Roman"/>
      <w:b/>
      <w:sz w:val="24"/>
    </w:rPr>
  </w:style>
  <w:style w:type="paragraph" w:styleId="Heading8">
    <w:name w:val="heading 8"/>
    <w:basedOn w:val="Normal"/>
    <w:next w:val="Normal"/>
    <w:qFormat/>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eastAsia="黑体" w:hAnsi="Arial" w:cs="Times New Roman"/>
      <w:b/>
      <w:sz w:val="24"/>
    </w:rPr>
  </w:style>
  <w:style w:type="paragraph" w:styleId="Heading9">
    <w:name w:val="heading 9"/>
    <w:basedOn w:val="Normal"/>
    <w:next w:val="Normal"/>
    <w:qFormat/>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eastAsia="黑体" w:hAnsi="Arial" w:cs="Times New Roman"/>
      <w:b/>
      <w:sz w:val="24"/>
    </w:rPr>
  </w:style>
  <w:style w:type="character" w:default="1" w:styleId="DefaultParagraphFont">
    <w:name w:val="Default Paragraph Font"/>
    <w:rPr>
      <w:rFonts w:ascii="Times New Roman" w:eastAsia="宋体" w:hAnsi="Times New Roman" w:cs="Times New Roman"/>
    </w:rPr>
  </w:style>
  <w:style w:type="table" w:default="1" w:styleId="TableNormal">
    <w:name w:val="Normal Table"/>
    <w:tblPr>
      <w:tblCellMar>
        <w:top w:w="0" w:type="dxa"/>
        <w:left w:w="108" w:type="dxa"/>
        <w:bottom w:w="0" w:type="dxa"/>
        <w:right w:w="108" w:type="dxa"/>
      </w:tblCellMar>
    </w:tblPr>
  </w:style>
  <w:style w:type="paragraph" w:styleId="BodyTextFirstIndent">
    <w:name w:val="Body Text First Indent"/>
    <w:basedOn w:val="Normal"/>
    <w:next w:val="Normal"/>
    <w:link w:val="1"/>
    <w:uiPriority w:val="99"/>
    <w:qFormat/>
    <w:pPr>
      <w:spacing w:line="360" w:lineRule="auto"/>
      <w:ind w:firstLine="420"/>
    </w:pPr>
    <w:rPr>
      <w:rFonts w:ascii="宋体" w:hAnsi="宋体"/>
      <w:sz w:val="24"/>
    </w:rPr>
  </w:style>
  <w:style w:type="character" w:customStyle="1" w:styleId="1">
    <w:name w:val="正文文本首行缩进 字符1"/>
    <w:link w:val="BodyTextFirstIndent"/>
    <w:rPr>
      <w:rFonts w:ascii="宋体" w:eastAsia="宋体" w:hAnsi="宋体" w:cs="Times New Roman"/>
      <w:kern w:val="2"/>
      <w:sz w:val="24"/>
    </w:rPr>
  </w:style>
  <w:style w:type="character" w:customStyle="1" w:styleId="11">
    <w:name w:val="标题 1 字符1"/>
    <w:link w:val="Heading1"/>
    <w:rPr>
      <w:rFonts w:ascii="Times New Roman" w:eastAsia="黑体" w:hAnsi="Times New Roman" w:cs="Times New Roman"/>
      <w:kern w:val="2"/>
      <w:sz w:val="44"/>
    </w:rPr>
  </w:style>
  <w:style w:type="character" w:customStyle="1" w:styleId="22">
    <w:name w:val="标题 2 字符2"/>
    <w:link w:val="Heading2"/>
    <w:qFormat/>
    <w:rPr>
      <w:rFonts w:ascii="宋体" w:eastAsia="宋体" w:hAnsi="宋体" w:cs="Times New Roman"/>
      <w:kern w:val="2"/>
      <w:sz w:val="28"/>
    </w:rPr>
  </w:style>
  <w:style w:type="character" w:customStyle="1" w:styleId="31">
    <w:name w:val="标题 3 字符1"/>
    <w:link w:val="Heading3"/>
    <w:rPr>
      <w:rFonts w:ascii="Times New Roman" w:eastAsia="宋体" w:hAnsi="Times New Roman" w:cs="Times New Roman"/>
      <w:b/>
      <w:kern w:val="2"/>
      <w:sz w:val="44"/>
    </w:rPr>
  </w:style>
  <w:style w:type="character" w:customStyle="1" w:styleId="41">
    <w:name w:val="标题 4 字符1"/>
    <w:link w:val="Heading4"/>
    <w:rPr>
      <w:rFonts w:ascii="Arial" w:eastAsia="黑体" w:hAnsi="Arial"/>
      <w:b/>
      <w:kern w:val="2"/>
      <w:sz w:val="28"/>
    </w:rPr>
  </w:style>
  <w:style w:type="paragraph" w:styleId="List3">
    <w:name w:val="List 3"/>
    <w:basedOn w:val="Normal"/>
    <w:pPr>
      <w:adjustRightInd w:val="0"/>
      <w:snapToGrid w:val="0"/>
      <w:spacing w:line="360" w:lineRule="auto"/>
      <w:ind w:left="100" w:hanging="200" w:leftChars="400" w:hangingChars="200"/>
    </w:pPr>
    <w:rPr>
      <w:rFonts w:ascii="Times New Roman" w:eastAsia="宋体" w:hAnsi="Times New Roman" w:cs="Times New Roman"/>
      <w:sz w:val="24"/>
    </w:rPr>
  </w:style>
  <w:style w:type="paragraph" w:styleId="TOC7">
    <w:name w:val="toc 7"/>
    <w:basedOn w:val="Normal"/>
    <w:next w:val="Normal"/>
    <w:pPr>
      <w:ind w:left="2520" w:leftChars="1200"/>
    </w:pPr>
    <w:rPr>
      <w:rFonts w:ascii="Times New Roman" w:eastAsia="宋体" w:hAnsi="Times New Roman" w:cs="Times New Roman"/>
    </w:rPr>
  </w:style>
  <w:style w:type="paragraph" w:styleId="ListNumber2">
    <w:name w:val="List Number 2"/>
    <w:basedOn w:val="Normal"/>
    <w:pPr>
      <w:numPr>
        <w:ilvl w:val="0"/>
        <w:numId w:val="2"/>
      </w:numPr>
      <w:tabs>
        <w:tab w:val="left" w:pos="780"/>
        <w:tab w:val="left" w:pos="922"/>
      </w:tabs>
      <w:spacing w:line="360" w:lineRule="auto"/>
    </w:pPr>
    <w:rPr>
      <w:rFonts w:ascii="Times New Roman" w:eastAsia="宋体" w:hAnsi="Times New Roman" w:cs="Times New Roman"/>
      <w:sz w:val="24"/>
    </w:rPr>
  </w:style>
  <w:style w:type="paragraph" w:styleId="ListBullet4">
    <w:name w:val="List Bullet 4"/>
    <w:basedOn w:val="Normal"/>
    <w:pPr>
      <w:widowControl/>
      <w:numPr>
        <w:ilvl w:val="0"/>
        <w:numId w:val="3"/>
      </w:numPr>
      <w:tabs>
        <w:tab w:val="left" w:pos="1134"/>
        <w:tab w:val="clear" w:pos="1620"/>
      </w:tabs>
      <w:adjustRightInd w:val="0"/>
      <w:snapToGrid w:val="0"/>
      <w:spacing w:before="120" w:line="280" w:lineRule="atLeast"/>
      <w:ind w:left="1418" w:hanging="284"/>
      <w:jc w:val="left"/>
    </w:pPr>
    <w:rPr>
      <w:rFonts w:ascii="宋体" w:eastAsia="宋体" w:hAnsi="Times New Roman" w:cs="Times New Roman"/>
      <w:kern w:val="0"/>
      <w:sz w:val="22"/>
    </w:rPr>
  </w:style>
  <w:style w:type="paragraph" w:styleId="NormalIndent">
    <w:name w:val="Normal Indent"/>
    <w:basedOn w:val="Normal"/>
    <w:pPr>
      <w:adjustRightInd w:val="0"/>
      <w:snapToGrid w:val="0"/>
      <w:spacing w:line="360" w:lineRule="auto"/>
      <w:ind w:firstLine="420"/>
    </w:pPr>
    <w:rPr>
      <w:rFonts w:ascii="Times New Roman" w:eastAsia="宋体" w:hAnsi="Times New Roman" w:cs="Times New Roman"/>
      <w:sz w:val="24"/>
    </w:rPr>
  </w:style>
  <w:style w:type="paragraph" w:styleId="Caption">
    <w:name w:val="caption"/>
    <w:basedOn w:val="Normal"/>
    <w:next w:val="Normal"/>
    <w:qFormat/>
    <w:pPr>
      <w:widowControl/>
      <w:tabs>
        <w:tab w:val="left" w:pos="1134"/>
      </w:tabs>
      <w:adjustRightInd w:val="0"/>
      <w:snapToGrid w:val="0"/>
      <w:spacing w:line="280" w:lineRule="atLeast"/>
      <w:jc w:val="left"/>
    </w:pPr>
    <w:rPr>
      <w:rFonts w:ascii="Times New Roman" w:eastAsia="PMingLiU" w:hAnsi="Times New Roman" w:cs="Times New Roman"/>
      <w:b/>
      <w:kern w:val="0"/>
      <w:sz w:val="24"/>
      <w:lang w:eastAsia="zh-TW"/>
    </w:rPr>
  </w:style>
  <w:style w:type="paragraph" w:styleId="DocumentMap">
    <w:name w:val="Document Map"/>
    <w:basedOn w:val="Normal"/>
    <w:link w:val="a"/>
    <w:pPr>
      <w:shd w:val="clear" w:color="auto" w:fill="000080"/>
    </w:pPr>
  </w:style>
  <w:style w:type="character" w:customStyle="1" w:styleId="a">
    <w:name w:val="文档结构图 字符"/>
    <w:link w:val="DocumentMap"/>
    <w:rPr>
      <w:rFonts w:ascii="Times New Roman" w:eastAsia="宋体" w:hAnsi="Times New Roman" w:cs="Times New Roman"/>
      <w:kern w:val="2"/>
      <w:sz w:val="28"/>
      <w:shd w:val="clear" w:color="auto" w:fill="000080"/>
    </w:rPr>
  </w:style>
  <w:style w:type="paragraph" w:styleId="TOAHeading">
    <w:name w:val="toa heading"/>
    <w:basedOn w:val="Normal"/>
    <w:next w:val="Normal"/>
    <w:pPr>
      <w:spacing w:before="120" w:beforeLines="0" w:beforeAutospacing="0"/>
    </w:pPr>
    <w:rPr>
      <w:rFonts w:ascii="Arial" w:eastAsia="宋体" w:hAnsi="Arial" w:cs="Times New Roman"/>
      <w:sz w:val="24"/>
    </w:rPr>
  </w:style>
  <w:style w:type="paragraph" w:styleId="CommentText">
    <w:name w:val="annotation text"/>
    <w:basedOn w:val="Normal"/>
    <w:link w:val="10"/>
    <w:pPr>
      <w:widowControl/>
      <w:tabs>
        <w:tab w:val="left" w:pos="1134"/>
      </w:tabs>
      <w:adjustRightInd w:val="0"/>
      <w:snapToGrid w:val="0"/>
      <w:spacing w:line="280" w:lineRule="atLeast"/>
      <w:jc w:val="left"/>
    </w:pPr>
    <w:rPr>
      <w:rFonts w:eastAsia="PMingLiU"/>
      <w:kern w:val="0"/>
      <w:sz w:val="24"/>
      <w:lang w:eastAsia="zh-TW"/>
    </w:rPr>
  </w:style>
  <w:style w:type="character" w:customStyle="1" w:styleId="10">
    <w:name w:val="批注文字 字符1"/>
    <w:link w:val="CommentText"/>
    <w:rPr>
      <w:rFonts w:ascii="Times New Roman" w:eastAsia="PMingLiU" w:hAnsi="Times New Roman" w:cs="Times New Roman"/>
      <w:sz w:val="24"/>
      <w:lang w:eastAsia="zh-TW"/>
    </w:rPr>
  </w:style>
  <w:style w:type="paragraph" w:styleId="BodyText3">
    <w:name w:val="Body Text 3"/>
    <w:basedOn w:val="Normal"/>
    <w:pPr>
      <w:adjustRightInd w:val="0"/>
      <w:snapToGrid w:val="0"/>
      <w:spacing w:after="120" w:afterLines="0" w:afterAutospacing="0" w:line="360" w:lineRule="auto"/>
    </w:pPr>
    <w:rPr>
      <w:rFonts w:ascii="Times New Roman" w:eastAsia="宋体" w:hAnsi="Times New Roman" w:cs="Times New Roman"/>
      <w:sz w:val="16"/>
    </w:rPr>
  </w:style>
  <w:style w:type="paragraph" w:styleId="ListBullet3">
    <w:name w:val="List Bullet 3"/>
    <w:basedOn w:val="Normal"/>
    <w:pPr>
      <w:numPr>
        <w:ilvl w:val="0"/>
        <w:numId w:val="4"/>
      </w:numPr>
      <w:tabs>
        <w:tab w:val="left" w:pos="1200"/>
      </w:tabs>
      <w:adjustRightInd w:val="0"/>
      <w:snapToGrid w:val="0"/>
      <w:spacing w:line="360" w:lineRule="auto"/>
    </w:pPr>
    <w:rPr>
      <w:rFonts w:ascii="Times New Roman" w:eastAsia="宋体" w:hAnsi="Times New Roman" w:cs="Times New Roman"/>
      <w:sz w:val="24"/>
    </w:rPr>
  </w:style>
  <w:style w:type="paragraph" w:styleId="BodyText">
    <w:name w:val="Body Text"/>
    <w:basedOn w:val="Normal"/>
    <w:link w:val="12"/>
    <w:uiPriority w:val="99"/>
    <w:qFormat/>
    <w:rPr>
      <w:rFonts w:ascii="仿宋_GB2312" w:eastAsia="仿宋_GB2312"/>
      <w:sz w:val="32"/>
    </w:rPr>
  </w:style>
  <w:style w:type="character" w:customStyle="1" w:styleId="12">
    <w:name w:val="正文文本 字符1"/>
    <w:link w:val="BodyText"/>
    <w:rPr>
      <w:rFonts w:ascii="仿宋_GB2312" w:eastAsia="仿宋_GB2312" w:hAnsi="Times New Roman" w:cs="Times New Roman"/>
      <w:kern w:val="2"/>
      <w:sz w:val="32"/>
    </w:rPr>
  </w:style>
  <w:style w:type="paragraph" w:styleId="BodyTextIndent">
    <w:name w:val="Body Text Indent"/>
    <w:basedOn w:val="Normal"/>
    <w:link w:val="13"/>
    <w:pPr>
      <w:spacing w:line="700" w:lineRule="exact"/>
      <w:ind w:left="960"/>
    </w:pPr>
    <w:rPr>
      <w:sz w:val="44"/>
    </w:rPr>
  </w:style>
  <w:style w:type="character" w:customStyle="1" w:styleId="13">
    <w:name w:val="正文文本缩进 字符1"/>
    <w:link w:val="BodyTextIndent"/>
    <w:rPr>
      <w:rFonts w:ascii="Times New Roman" w:eastAsia="宋体" w:hAnsi="Times New Roman" w:cs="Times New Roman"/>
      <w:kern w:val="2"/>
      <w:sz w:val="44"/>
    </w:rPr>
  </w:style>
  <w:style w:type="paragraph" w:styleId="ListNumber3">
    <w:name w:val="List Number 3"/>
    <w:basedOn w:val="Normal"/>
    <w:pPr>
      <w:tabs>
        <w:tab w:val="left" w:pos="2120"/>
      </w:tabs>
      <w:adjustRightInd w:val="0"/>
      <w:snapToGrid w:val="0"/>
      <w:spacing w:line="360" w:lineRule="auto"/>
      <w:ind w:left="2120" w:hanging="720"/>
    </w:pPr>
    <w:rPr>
      <w:rFonts w:ascii="Times New Roman" w:eastAsia="宋体" w:hAnsi="Times New Roman" w:cs="Times New Roman"/>
      <w:sz w:val="24"/>
    </w:rPr>
  </w:style>
  <w:style w:type="paragraph" w:styleId="List2">
    <w:name w:val="List 2"/>
    <w:basedOn w:val="Normal"/>
    <w:pPr>
      <w:adjustRightInd w:val="0"/>
      <w:snapToGrid w:val="0"/>
      <w:spacing w:line="360" w:lineRule="auto"/>
      <w:ind w:left="100" w:hanging="200" w:leftChars="200" w:hangingChars="200"/>
    </w:pPr>
    <w:rPr>
      <w:rFonts w:ascii="Times New Roman" w:eastAsia="宋体" w:hAnsi="Times New Roman" w:cs="Times New Roman"/>
      <w:sz w:val="24"/>
    </w:rPr>
  </w:style>
  <w:style w:type="paragraph" w:styleId="ListContinue">
    <w:name w:val="List Continue"/>
    <w:basedOn w:val="Normal"/>
    <w:pPr>
      <w:adjustRightInd w:val="0"/>
      <w:snapToGrid w:val="0"/>
      <w:spacing w:after="120" w:afterLines="0" w:afterAutospacing="0" w:line="360" w:lineRule="auto"/>
      <w:ind w:left="420" w:leftChars="200"/>
    </w:pPr>
    <w:rPr>
      <w:rFonts w:ascii="Times New Roman" w:eastAsia="宋体" w:hAnsi="Times New Roman" w:cs="Times New Roman"/>
      <w:sz w:val="24"/>
    </w:rPr>
  </w:style>
  <w:style w:type="paragraph" w:styleId="ListBullet2">
    <w:name w:val="List Bullet 2"/>
    <w:basedOn w:val="Normal"/>
    <w:pPr>
      <w:numPr>
        <w:ilvl w:val="0"/>
        <w:numId w:val="5"/>
      </w:numPr>
      <w:tabs>
        <w:tab w:val="left" w:pos="780"/>
      </w:tabs>
      <w:adjustRightInd w:val="0"/>
      <w:snapToGrid w:val="0"/>
      <w:spacing w:line="360" w:lineRule="auto"/>
    </w:pPr>
    <w:rPr>
      <w:rFonts w:ascii="Times New Roman" w:eastAsia="宋体" w:hAnsi="Times New Roman" w:cs="Times New Roman"/>
      <w:sz w:val="24"/>
    </w:rPr>
  </w:style>
  <w:style w:type="paragraph" w:styleId="TOC5">
    <w:name w:val="toc 5"/>
    <w:basedOn w:val="Normal"/>
    <w:next w:val="Normal"/>
    <w:pPr>
      <w:ind w:left="1680" w:leftChars="800"/>
    </w:pPr>
    <w:rPr>
      <w:rFonts w:ascii="Times New Roman" w:eastAsia="宋体" w:hAnsi="Times New Roman" w:cs="Times New Roman"/>
    </w:rPr>
  </w:style>
  <w:style w:type="paragraph" w:styleId="TOC3">
    <w:name w:val="toc 3"/>
    <w:basedOn w:val="Normal"/>
    <w:next w:val="Normal"/>
    <w:pPr>
      <w:ind w:left="840" w:leftChars="400"/>
    </w:pPr>
    <w:rPr>
      <w:rFonts w:ascii="Times New Roman" w:eastAsia="宋体" w:hAnsi="Times New Roman" w:cs="Times New Roman"/>
    </w:rPr>
  </w:style>
  <w:style w:type="paragraph" w:styleId="PlainText">
    <w:name w:val="Plain Text"/>
    <w:basedOn w:val="Normal"/>
    <w:pPr>
      <w:adjustRightInd w:val="0"/>
      <w:snapToGrid w:val="0"/>
      <w:spacing w:line="360" w:lineRule="auto"/>
    </w:pPr>
    <w:rPr>
      <w:rFonts w:ascii="宋体" w:eastAsia="宋体" w:hAnsi="Courier New" w:cs="Times New Roman"/>
      <w:sz w:val="21"/>
    </w:rPr>
  </w:style>
  <w:style w:type="paragraph" w:styleId="TOC8">
    <w:name w:val="toc 8"/>
    <w:basedOn w:val="Normal"/>
    <w:next w:val="Normal"/>
    <w:pPr>
      <w:ind w:left="2940" w:leftChars="1400"/>
    </w:pPr>
    <w:rPr>
      <w:rFonts w:ascii="Times New Roman" w:eastAsia="宋体" w:hAnsi="Times New Roman" w:cs="Times New Roman"/>
    </w:rPr>
  </w:style>
  <w:style w:type="paragraph" w:styleId="Date">
    <w:name w:val="Date"/>
    <w:basedOn w:val="Normal"/>
    <w:next w:val="Normal"/>
    <w:link w:val="2"/>
  </w:style>
  <w:style w:type="character" w:customStyle="1" w:styleId="2">
    <w:name w:val="日期 字符2"/>
    <w:link w:val="Date"/>
    <w:rPr>
      <w:rFonts w:ascii="Times New Roman" w:eastAsia="宋体" w:hAnsi="Times New Roman" w:cs="Times New Roman"/>
      <w:kern w:val="2"/>
      <w:sz w:val="28"/>
    </w:rPr>
  </w:style>
  <w:style w:type="paragraph" w:styleId="BodyTextIndent2">
    <w:name w:val="Body Text Indent 2"/>
    <w:basedOn w:val="Normal"/>
    <w:link w:val="20"/>
    <w:pPr>
      <w:snapToGrid w:val="0"/>
      <w:spacing w:line="440" w:lineRule="atLeast"/>
      <w:ind w:firstLine="570"/>
    </w:pPr>
    <w:rPr>
      <w:rFonts w:ascii="宋体" w:eastAsia="宋体" w:hAnsi="Times New Roman" w:cs="Times New Roman"/>
    </w:rPr>
  </w:style>
  <w:style w:type="character" w:customStyle="1" w:styleId="20">
    <w:name w:val="正文文本缩进 2 字符"/>
    <w:link w:val="BodyTextIndent2"/>
    <w:rPr>
      <w:rFonts w:ascii="宋体"/>
      <w:kern w:val="2"/>
      <w:sz w:val="28"/>
    </w:rPr>
  </w:style>
  <w:style w:type="paragraph" w:styleId="BalloonText">
    <w:name w:val="Balloon Text"/>
    <w:basedOn w:val="Normal"/>
    <w:link w:val="a0"/>
    <w:rPr>
      <w:sz w:val="18"/>
    </w:rPr>
  </w:style>
  <w:style w:type="character" w:customStyle="1" w:styleId="a0">
    <w:name w:val="批注框文本 字符"/>
    <w:link w:val="BalloonText"/>
    <w:rPr>
      <w:rFonts w:ascii="Times New Roman" w:eastAsia="宋体" w:hAnsi="Times New Roman" w:cs="Times New Roman"/>
      <w:kern w:val="2"/>
      <w:sz w:val="18"/>
    </w:rPr>
  </w:style>
  <w:style w:type="paragraph" w:styleId="Footer">
    <w:name w:val="footer"/>
    <w:basedOn w:val="Normal"/>
    <w:link w:val="14"/>
    <w:uiPriority w:val="99"/>
    <w:qFormat/>
    <w:pPr>
      <w:tabs>
        <w:tab w:val="center" w:pos="4153"/>
        <w:tab w:val="right" w:pos="8306"/>
      </w:tabs>
      <w:snapToGrid w:val="0"/>
      <w:jc w:val="left"/>
    </w:pPr>
    <w:rPr>
      <w:sz w:val="18"/>
    </w:rPr>
  </w:style>
  <w:style w:type="character" w:customStyle="1" w:styleId="14">
    <w:name w:val="页脚 字符1"/>
    <w:link w:val="Footer"/>
    <w:rPr>
      <w:rFonts w:ascii="Times New Roman" w:eastAsia="宋体" w:hAnsi="Times New Roman" w:cs="Times New Roman"/>
      <w:kern w:val="2"/>
      <w:sz w:val="18"/>
    </w:rPr>
  </w:style>
  <w:style w:type="paragraph" w:styleId="Header">
    <w:name w:val="header"/>
    <w:basedOn w:val="Normal"/>
    <w:link w:val="15"/>
    <w:uiPriority w:val="99"/>
    <w:qFormat/>
    <w:pPr>
      <w:pBdr>
        <w:bottom w:val="single" w:sz="6" w:space="1" w:color="auto"/>
      </w:pBdr>
      <w:tabs>
        <w:tab w:val="center" w:pos="4153"/>
        <w:tab w:val="right" w:pos="8306"/>
      </w:tabs>
      <w:snapToGrid w:val="0"/>
      <w:jc w:val="center"/>
    </w:pPr>
    <w:rPr>
      <w:sz w:val="18"/>
    </w:rPr>
  </w:style>
  <w:style w:type="character" w:customStyle="1" w:styleId="15">
    <w:name w:val="页眉 字符1"/>
    <w:link w:val="Header"/>
    <w:rPr>
      <w:rFonts w:ascii="Times New Roman" w:eastAsia="宋体" w:hAnsi="Times New Roman" w:cs="Times New Roman"/>
      <w:kern w:val="2"/>
      <w:sz w:val="18"/>
    </w:rPr>
  </w:style>
  <w:style w:type="paragraph" w:styleId="TOC1">
    <w:name w:val="toc 1"/>
    <w:basedOn w:val="Normal"/>
    <w:next w:val="Normal"/>
    <w:uiPriority w:val="39"/>
    <w:pPr>
      <w:tabs>
        <w:tab w:val="left" w:pos="1260"/>
        <w:tab w:val="left" w:pos="1685"/>
        <w:tab w:val="right" w:leader="dot" w:pos="8400"/>
      </w:tabs>
      <w:spacing w:line="320" w:lineRule="exact"/>
      <w:ind w:firstLine="280" w:firstLineChars="100"/>
    </w:pPr>
    <w:rPr>
      <w:rFonts w:ascii="Times New Roman" w:eastAsia="宋体" w:hAnsi="Times New Roman" w:cs="Times New Roman"/>
    </w:rPr>
  </w:style>
  <w:style w:type="paragraph" w:styleId="ListContinue4">
    <w:name w:val="List Continue 4"/>
    <w:basedOn w:val="Normal"/>
    <w:pPr>
      <w:adjustRightInd w:val="0"/>
      <w:snapToGrid w:val="0"/>
      <w:spacing w:after="120" w:afterLines="0" w:afterAutospacing="0" w:line="360" w:lineRule="auto"/>
      <w:ind w:left="1680" w:leftChars="800"/>
    </w:pPr>
    <w:rPr>
      <w:rFonts w:ascii="Times New Roman" w:eastAsia="宋体" w:hAnsi="Times New Roman" w:cs="Times New Roman"/>
      <w:sz w:val="24"/>
    </w:rPr>
  </w:style>
  <w:style w:type="paragraph" w:styleId="TOC4">
    <w:name w:val="toc 4"/>
    <w:basedOn w:val="Normal"/>
    <w:next w:val="Normal"/>
    <w:pPr>
      <w:ind w:left="1260" w:leftChars="600"/>
    </w:pPr>
    <w:rPr>
      <w:rFonts w:ascii="Times New Roman" w:eastAsia="宋体" w:hAnsi="Times New Roman" w:cs="Times New Roman"/>
    </w:rPr>
  </w:style>
  <w:style w:type="paragraph" w:styleId="FootnoteText">
    <w:name w:val="footnote text"/>
    <w:basedOn w:val="Normal"/>
    <w:pPr>
      <w:spacing w:line="360" w:lineRule="auto"/>
    </w:pPr>
    <w:rPr>
      <w:rFonts w:ascii="Times New Roman" w:eastAsia="宋体" w:hAnsi="Times New Roman" w:cs="Times New Roman"/>
      <w:sz w:val="18"/>
    </w:rPr>
  </w:style>
  <w:style w:type="paragraph" w:styleId="TOC6">
    <w:name w:val="toc 6"/>
    <w:basedOn w:val="Normal"/>
    <w:next w:val="Normal"/>
    <w:pPr>
      <w:ind w:left="2100" w:leftChars="1000"/>
    </w:pPr>
    <w:rPr>
      <w:rFonts w:ascii="Times New Roman" w:eastAsia="宋体" w:hAnsi="Times New Roman" w:cs="Times New Roman"/>
    </w:rPr>
  </w:style>
  <w:style w:type="paragraph" w:styleId="List5">
    <w:name w:val="List 5"/>
    <w:basedOn w:val="Normal"/>
    <w:pPr>
      <w:adjustRightInd w:val="0"/>
      <w:snapToGrid w:val="0"/>
      <w:spacing w:line="360" w:lineRule="auto"/>
      <w:ind w:left="100" w:hanging="200" w:leftChars="800" w:hangingChars="200"/>
    </w:pPr>
    <w:rPr>
      <w:rFonts w:ascii="Times New Roman" w:eastAsia="宋体" w:hAnsi="Times New Roman" w:cs="Times New Roman"/>
      <w:sz w:val="24"/>
    </w:rPr>
  </w:style>
  <w:style w:type="paragraph" w:styleId="BodyTextIndent3">
    <w:name w:val="Body Text Indent 3"/>
    <w:basedOn w:val="Normal"/>
    <w:pPr>
      <w:spacing w:line="360" w:lineRule="auto"/>
      <w:ind w:firstLine="632"/>
    </w:pPr>
    <w:rPr>
      <w:rFonts w:ascii="黑体" w:eastAsia="黑体" w:hAnsi="Times New Roman" w:cs="Times New Roman"/>
    </w:rPr>
  </w:style>
  <w:style w:type="paragraph" w:styleId="TableofFigures">
    <w:name w:val="table of figures"/>
    <w:basedOn w:val="Normal"/>
    <w:next w:val="Normal"/>
    <w:pPr>
      <w:tabs>
        <w:tab w:val="right" w:leader="dot" w:pos="8640"/>
      </w:tabs>
      <w:spacing w:line="360" w:lineRule="auto"/>
      <w:ind w:left="400" w:hanging="400"/>
    </w:pPr>
    <w:rPr>
      <w:rFonts w:ascii="Times New Roman" w:eastAsia="宋体" w:hAnsi="Times New Roman" w:cs="Times New Roman"/>
      <w:sz w:val="24"/>
    </w:rPr>
  </w:style>
  <w:style w:type="paragraph" w:styleId="TOC2">
    <w:name w:val="toc 2"/>
    <w:basedOn w:val="Normal"/>
    <w:next w:val="Normal"/>
    <w:uiPriority w:val="39"/>
    <w:pPr>
      <w:tabs>
        <w:tab w:val="right" w:leader="dot" w:pos="8400"/>
      </w:tabs>
      <w:spacing w:line="440" w:lineRule="exact"/>
      <w:ind w:left="280" w:leftChars="100" w:rightChars="-91"/>
    </w:pPr>
    <w:rPr>
      <w:rFonts w:ascii="Times New Roman" w:eastAsia="宋体" w:hAnsi="Times New Roman" w:cs="Times New Roman"/>
    </w:rPr>
  </w:style>
  <w:style w:type="paragraph" w:styleId="TOC9">
    <w:name w:val="toc 9"/>
    <w:basedOn w:val="Normal"/>
    <w:next w:val="Normal"/>
    <w:pPr>
      <w:ind w:left="3360" w:leftChars="1600"/>
    </w:pPr>
    <w:rPr>
      <w:rFonts w:ascii="Times New Roman" w:eastAsia="宋体" w:hAnsi="Times New Roman" w:cs="Times New Roman"/>
    </w:rPr>
  </w:style>
  <w:style w:type="paragraph" w:styleId="BodyText2">
    <w:name w:val="Body Text 2"/>
    <w:basedOn w:val="Normal"/>
    <w:pPr>
      <w:adjustRightInd w:val="0"/>
      <w:snapToGrid w:val="0"/>
      <w:spacing w:after="120" w:afterLines="0" w:afterAutospacing="0" w:line="480" w:lineRule="auto"/>
    </w:pPr>
    <w:rPr>
      <w:rFonts w:ascii="Times New Roman" w:eastAsia="宋体" w:hAnsi="Times New Roman" w:cs="Times New Roman"/>
      <w:sz w:val="24"/>
    </w:rPr>
  </w:style>
  <w:style w:type="paragraph" w:styleId="List4">
    <w:name w:val="List 4"/>
    <w:basedOn w:val="Normal"/>
    <w:pPr>
      <w:adjustRightInd w:val="0"/>
      <w:snapToGrid w:val="0"/>
      <w:spacing w:line="360" w:lineRule="auto"/>
      <w:ind w:left="100" w:hanging="200" w:leftChars="600" w:hangingChars="200"/>
    </w:pPr>
    <w:rPr>
      <w:rFonts w:ascii="Times New Roman" w:eastAsia="宋体" w:hAnsi="Times New Roman" w:cs="Times New Roman"/>
      <w:sz w:val="24"/>
    </w:rPr>
  </w:style>
  <w:style w:type="paragraph" w:styleId="ListContinue2">
    <w:name w:val="List Continue 2"/>
    <w:basedOn w:val="Normal"/>
    <w:pPr>
      <w:adjustRightInd w:val="0"/>
      <w:snapToGrid w:val="0"/>
      <w:spacing w:after="120" w:afterLines="0" w:afterAutospacing="0" w:line="360" w:lineRule="auto"/>
      <w:ind w:left="840" w:leftChars="400"/>
    </w:pPr>
    <w:rPr>
      <w:rFonts w:ascii="Times New Roman" w:eastAsia="宋体" w:hAnsi="Times New Roman" w:cs="Times New Roman"/>
      <w:sz w:val="24"/>
    </w:rPr>
  </w:style>
  <w:style w:type="paragraph" w:styleId="NormalWeb">
    <w:name w:val="Normal (Web)"/>
    <w:basedOn w:val="Normal"/>
    <w:uiPriority w:val="99"/>
    <w:qFormat/>
    <w:pPr>
      <w:widowControl/>
      <w:spacing w:before="100" w:beforeLines="0" w:beforeAutospacing="1" w:after="100" w:afterLines="0" w:afterAutospacing="1"/>
      <w:jc w:val="left"/>
    </w:pPr>
    <w:rPr>
      <w:rFonts w:ascii="Arial Unicode MS" w:eastAsia="Arial Unicode MS" w:hAnsi="Arial Unicode MS" w:cs="Times New Roman"/>
      <w:kern w:val="0"/>
      <w:sz w:val="24"/>
    </w:rPr>
  </w:style>
  <w:style w:type="paragraph" w:styleId="ListContinue3">
    <w:name w:val="List Continue 3"/>
    <w:basedOn w:val="Normal"/>
    <w:pPr>
      <w:adjustRightInd w:val="0"/>
      <w:snapToGrid w:val="0"/>
      <w:spacing w:after="120" w:afterLines="0" w:afterAutospacing="0" w:line="360" w:lineRule="auto"/>
      <w:ind w:left="1260" w:leftChars="600"/>
    </w:pPr>
    <w:rPr>
      <w:rFonts w:ascii="Times New Roman" w:eastAsia="宋体" w:hAnsi="Times New Roman" w:cs="Times New Roman"/>
      <w:sz w:val="24"/>
    </w:rPr>
  </w:style>
  <w:style w:type="paragraph" w:styleId="Index1">
    <w:name w:val="index 1"/>
    <w:basedOn w:val="Normal"/>
    <w:next w:val="Normal"/>
    <w:pPr>
      <w:adjustRightInd w:val="0"/>
      <w:spacing w:line="240" w:lineRule="atLeast"/>
      <w:textAlignment w:val="baseline"/>
    </w:pPr>
    <w:rPr>
      <w:rFonts w:ascii="宋体" w:eastAsia="宋体" w:hAnsi="Times New Roman" w:cs="Times New Roman"/>
      <w:kern w:val="0"/>
      <w:sz w:val="21"/>
    </w:rPr>
  </w:style>
  <w:style w:type="paragraph" w:styleId="Title">
    <w:name w:val="Title"/>
    <w:basedOn w:val="Normal"/>
    <w:qFormat/>
    <w:pPr>
      <w:widowControl/>
      <w:spacing w:after="240" w:afterLines="0" w:afterAutospacing="0" w:line="360" w:lineRule="auto"/>
      <w:jc w:val="center"/>
    </w:pPr>
    <w:rPr>
      <w:rFonts w:ascii="Arial" w:eastAsia="宋体" w:hAnsi="Arial" w:cs="Times New Roman"/>
      <w:b/>
      <w:smallCaps/>
      <w:kern w:val="28"/>
      <w:sz w:val="36"/>
      <w:lang w:val="en-US" w:eastAsia="en-US"/>
    </w:rPr>
  </w:style>
  <w:style w:type="paragraph" w:styleId="CommentSubject">
    <w:name w:val="annotation subject"/>
    <w:basedOn w:val="CommentText"/>
    <w:next w:val="CommentText"/>
    <w:link w:val="a1"/>
    <w:pPr>
      <w:widowControl w:val="0"/>
      <w:tabs>
        <w:tab w:val="clear" w:pos="1134"/>
      </w:tabs>
      <w:adjustRightInd/>
      <w:snapToGrid/>
      <w:spacing w:line="240" w:lineRule="auto"/>
    </w:pPr>
    <w:rPr>
      <w:rFonts w:eastAsia="宋体"/>
      <w:b/>
      <w:kern w:val="2"/>
      <w:sz w:val="21"/>
    </w:rPr>
  </w:style>
  <w:style w:type="character" w:customStyle="1" w:styleId="a1">
    <w:name w:val="批注主题 字符"/>
    <w:link w:val="CommentSubject"/>
    <w:rPr>
      <w:rFonts w:ascii="Times New Roman" w:eastAsia="宋体" w:hAnsi="Times New Roman" w:cs="Times New Roman"/>
      <w:b/>
      <w:kern w:val="2"/>
      <w:sz w:val="21"/>
      <w:lang w:eastAsia="zh-TW"/>
    </w:rPr>
  </w:style>
  <w:style w:type="paragraph" w:styleId="BodyTextFirstIndent2">
    <w:name w:val="Body Text First Indent 2"/>
    <w:basedOn w:val="BodyTextIndent"/>
    <w:pPr>
      <w:spacing w:after="120" w:afterLines="0" w:afterAutospacing="0" w:line="240" w:lineRule="auto"/>
      <w:ind w:left="420" w:firstLine="420" w:leftChars="200" w:firstLineChars="200"/>
    </w:pPr>
    <w:rPr>
      <w:rFonts w:ascii="Times New Roman" w:eastAsia="宋体" w:hAnsi="Times New Roman" w:cs="Times New Roman"/>
      <w:sz w:val="21"/>
    </w:rPr>
  </w:style>
  <w:style w:type="table" w:styleId="TableGrid">
    <w:name w:val="Table Grid"/>
    <w:basedOn w:val="TableNormal"/>
    <w:uiPriority w:val="5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Pr>
      <w:rFonts w:ascii="Times New Roman" w:eastAsia="宋体" w:hAnsi="Times New Roman" w:cs="Times New Roman"/>
      <w:b/>
    </w:rPr>
  </w:style>
  <w:style w:type="character" w:styleId="PageNumber">
    <w:name w:val="page number"/>
    <w:rPr>
      <w:rFonts w:ascii="Times New Roman" w:eastAsia="宋体" w:hAnsi="Times New Roman" w:cs="Times New Roman"/>
    </w:rPr>
  </w:style>
  <w:style w:type="character" w:styleId="FollowedHyperlink">
    <w:name w:val="FollowedHyperlink"/>
    <w:rPr>
      <w:rFonts w:ascii="Times New Roman" w:eastAsia="宋体" w:hAnsi="Times New Roman" w:cs="Times New Roman"/>
      <w:color w:val="800080"/>
      <w:u w:val="single"/>
    </w:rPr>
  </w:style>
  <w:style w:type="character" w:styleId="Emphasis">
    <w:name w:val="Emphasis"/>
    <w:qFormat/>
    <w:rPr>
      <w:rFonts w:ascii="Times New Roman" w:eastAsia="宋体" w:hAnsi="Times New Roman" w:cs="Times New Roman"/>
      <w:i/>
    </w:rPr>
  </w:style>
  <w:style w:type="character" w:styleId="Hyperlink">
    <w:name w:val="Hyperlink"/>
    <w:uiPriority w:val="99"/>
    <w:qFormat/>
    <w:rPr>
      <w:rFonts w:ascii="Times New Roman" w:eastAsia="宋体" w:hAnsi="Times New Roman" w:cs="Times New Roman"/>
      <w:color w:val="0000FF"/>
      <w:u w:val="single"/>
    </w:rPr>
  </w:style>
  <w:style w:type="character" w:styleId="CommentReference">
    <w:name w:val="annotation reference"/>
    <w:rPr>
      <w:rFonts w:ascii="Times New Roman" w:eastAsia="宋体" w:hAnsi="Times New Roman" w:cs="Times New Roman"/>
      <w:sz w:val="21"/>
    </w:rPr>
  </w:style>
  <w:style w:type="character" w:styleId="FootnoteReference">
    <w:name w:val="footnote reference"/>
    <w:rPr>
      <w:rFonts w:ascii="Times New Roman" w:eastAsia="宋体" w:hAnsi="Times New Roman" w:cs="Times New Roman"/>
      <w:position w:val="6"/>
      <w:sz w:val="14"/>
      <w:vertAlign w:val="superscript"/>
    </w:rPr>
  </w:style>
  <w:style w:type="character" w:customStyle="1" w:styleId="a2">
    <w:name w:val="正文文本首行缩进 字符"/>
    <w:uiPriority w:val="99"/>
    <w:qFormat/>
    <w:rPr>
      <w:rFonts w:ascii="宋体" w:hAnsi="宋体"/>
      <w:kern w:val="2"/>
      <w:sz w:val="24"/>
    </w:rPr>
  </w:style>
  <w:style w:type="character" w:customStyle="1" w:styleId="crowed11">
    <w:name w:val="crowed11"/>
    <w:rPr>
      <w:rFonts w:ascii="" w:eastAsia="宋体" w:hAnsi="" w:cs="Times New Roman" w:hint="default"/>
      <w:sz w:val="24"/>
    </w:rPr>
  </w:style>
  <w:style w:type="character" w:customStyle="1" w:styleId="TableTextChar1Char">
    <w:name w:val="Table Text Char1 Char"/>
    <w:rPr>
      <w:rFonts w:ascii="Arial" w:eastAsia="宋体" w:hAnsi="Arial" w:cs="Times New Roman"/>
      <w:kern w:val="2"/>
      <w:sz w:val="18"/>
      <w:lang w:val="en-US" w:eastAsia="zh-CN" w:bidi="ar-SA"/>
    </w:rPr>
  </w:style>
  <w:style w:type="character" w:customStyle="1" w:styleId="Char1">
    <w:name w:val="日期 Char1"/>
    <w:rPr>
      <w:kern w:val="2"/>
      <w:sz w:val="28"/>
    </w:rPr>
  </w:style>
  <w:style w:type="character" w:customStyle="1" w:styleId="110">
    <w:name w:val="未命名11"/>
    <w:rPr>
      <w:rFonts w:ascii="Times New Roman" w:eastAsia="宋体" w:hAnsi="Times New Roman" w:cs="Times New Roman"/>
      <w:color w:val="77FFFF"/>
      <w:sz w:val="24"/>
    </w:rPr>
  </w:style>
  <w:style w:type="character" w:customStyle="1" w:styleId="074Char1">
    <w:name w:val="标书正文:  0.74 厘米 Char1"/>
    <w:rPr>
      <w:rFonts w:ascii="Times New Roman" w:eastAsia="宋体" w:hAnsi="Times New Roman" w:cs="Times New Roman"/>
      <w:kern w:val="2"/>
      <w:sz w:val="24"/>
      <w:lang w:val="en-US" w:eastAsia="zh-CN"/>
    </w:rPr>
  </w:style>
  <w:style w:type="character" w:customStyle="1" w:styleId="Char">
    <w:name w:val="正文首行缩进 Char"/>
    <w:qFormat/>
    <w:rPr>
      <w:rFonts w:ascii="Times New Roman" w:eastAsia="宋体" w:hAnsi="Times New Roman" w:cs="Times New Roman"/>
      <w:kern w:val="2"/>
      <w:sz w:val="21"/>
      <w:szCs w:val="22"/>
      <w:lang w:val="zh-CN" w:eastAsia="zh-CN"/>
    </w:rPr>
  </w:style>
  <w:style w:type="character" w:customStyle="1" w:styleId="a3">
    <w:name w:val="无"/>
    <w:rPr>
      <w:rFonts w:ascii="Times New Roman" w:eastAsia="宋体" w:hAnsi="Times New Roman" w:cs="Times New Roman"/>
    </w:rPr>
  </w:style>
  <w:style w:type="character" w:customStyle="1" w:styleId="CharChar2">
    <w:name w:val=" Char Char2"/>
    <w:rPr>
      <w:rFonts w:ascii="Times New Roman" w:eastAsia="宋体" w:hAnsi="Times New Roman" w:cs="Times New Roman"/>
      <w:kern w:val="2"/>
      <w:sz w:val="18"/>
      <w:lang w:val="en-US" w:eastAsia="zh-CN"/>
    </w:rPr>
  </w:style>
  <w:style w:type="character" w:customStyle="1" w:styleId="2CharChar">
    <w:name w:val="样式  + 首行缩进:  2 字符 Char Char"/>
    <w:link w:val="21"/>
    <w:rPr>
      <w:rFonts w:ascii="宋体" w:hAnsi="宋体"/>
      <w:spacing w:val="10"/>
      <w:sz w:val="24"/>
    </w:rPr>
  </w:style>
  <w:style w:type="paragraph" w:customStyle="1" w:styleId="21">
    <w:name w:val="样式  + 首行缩进:  2 字符"/>
    <w:basedOn w:val="Normal"/>
    <w:link w:val="2CharChar"/>
    <w:qFormat/>
    <w:pPr>
      <w:widowControl/>
      <w:adjustRightInd w:val="0"/>
      <w:snapToGrid w:val="0"/>
      <w:spacing w:line="360" w:lineRule="auto"/>
      <w:ind w:firstLine="480" w:firstLineChars="200"/>
      <w:jc w:val="left"/>
    </w:pPr>
    <w:rPr>
      <w:rFonts w:ascii="宋体" w:hAnsi="宋体"/>
      <w:spacing w:val="10"/>
      <w:kern w:val="0"/>
      <w:sz w:val="24"/>
    </w:rPr>
  </w:style>
  <w:style w:type="character" w:customStyle="1" w:styleId="font1">
    <w:name w:val="font1"/>
    <w:rPr>
      <w:rFonts w:ascii="Times New Roman" w:eastAsia="宋体" w:hAnsi="Times New Roman" w:cs="Times New Roman"/>
      <w:color w:val="000000"/>
      <w:sz w:val="18"/>
    </w:rPr>
  </w:style>
  <w:style w:type="character" w:customStyle="1" w:styleId="InfoBlueChar">
    <w:name w:val="InfoBlue Char"/>
    <w:link w:val="InfoBlue"/>
    <w:rPr>
      <w:rFonts w:ascii="宋体" w:eastAsia="宋体" w:hAnsi="宋体" w:cs="Times New Roman"/>
      <w:b/>
      <w:sz w:val="24"/>
      <w:szCs w:val="24"/>
    </w:rPr>
  </w:style>
  <w:style w:type="paragraph" w:customStyle="1" w:styleId="InfoBlue">
    <w:name w:val="InfoBlue"/>
    <w:basedOn w:val="Normal"/>
    <w:next w:val="BodyText"/>
    <w:link w:val="InfoBlueChar"/>
    <w:pPr>
      <w:tabs>
        <w:tab w:val="left" w:pos="540"/>
        <w:tab w:val="left" w:pos="1260"/>
      </w:tabs>
      <w:spacing w:line="360" w:lineRule="auto"/>
      <w:ind w:firstLine="482" w:firstLineChars="200"/>
    </w:pPr>
    <w:rPr>
      <w:rFonts w:ascii="宋体" w:hAnsi="宋体"/>
      <w:b/>
      <w:kern w:val="0"/>
      <w:sz w:val="24"/>
      <w:szCs w:val="24"/>
    </w:rPr>
  </w:style>
  <w:style w:type="character" w:customStyle="1" w:styleId="a4">
    <w:name w:val="批注文字 字符"/>
    <w:rPr>
      <w:sz w:val="24"/>
    </w:rPr>
  </w:style>
  <w:style w:type="character" w:customStyle="1" w:styleId="font01">
    <w:name w:val="font01"/>
    <w:uiPriority w:val="99"/>
    <w:qFormat/>
    <w:rPr>
      <w:rFonts w:ascii="宋体" w:eastAsia="宋体" w:hAnsi="宋体" w:cs="宋体"/>
      <w:color w:val="000000"/>
      <w:sz w:val="24"/>
      <w:szCs w:val="24"/>
      <w:u w:val="none"/>
    </w:rPr>
  </w:style>
  <w:style w:type="character" w:customStyle="1" w:styleId="SWIEECharChar">
    <w:name w:val="字母编号列项[SWIEE] Char Char"/>
    <w:link w:val="SWIEE"/>
    <w:rPr>
      <w:sz w:val="24"/>
    </w:rPr>
  </w:style>
  <w:style w:type="paragraph" w:customStyle="1" w:styleId="SWIEE">
    <w:name w:val="字母编号列项[SWIEE]"/>
    <w:link w:val="SWIEECharChar"/>
    <w:pPr>
      <w:widowControl w:val="0"/>
      <w:numPr>
        <w:ilvl w:val="0"/>
        <w:numId w:val="6"/>
      </w:numPr>
      <w:tabs>
        <w:tab w:val="left" w:pos="998"/>
      </w:tabs>
      <w:overflowPunct w:val="0"/>
      <w:adjustRightInd w:val="0"/>
      <w:snapToGrid w:val="0"/>
      <w:spacing w:line="360" w:lineRule="auto"/>
      <w:jc w:val="both"/>
    </w:pPr>
    <w:rPr>
      <w:sz w:val="24"/>
      <w:lang w:val="en-US" w:eastAsia="zh-CN" w:bidi="ar-SA"/>
    </w:rPr>
  </w:style>
  <w:style w:type="character" w:customStyle="1" w:styleId="a5">
    <w:name w:val="正文文本 字符"/>
    <w:uiPriority w:val="99"/>
    <w:qFormat/>
    <w:rPr>
      <w:rFonts w:ascii="仿宋_GB2312" w:eastAsia="仿宋_GB2312"/>
      <w:kern w:val="2"/>
      <w:sz w:val="32"/>
    </w:rPr>
  </w:style>
  <w:style w:type="character" w:customStyle="1" w:styleId="1858D7CFB-ED40-4347-BF05-701D383B685F">
    <w:name w:val="1{858D7CFB-ED40-4347-BF05-701D383B685F}"/>
    <w:link w:val="16"/>
    <w:rPr>
      <w:rFonts w:ascii="Tahoma" w:eastAsia="宋体" w:hAnsi="Tahoma" w:cs="Times New Roman"/>
      <w:kern w:val="2"/>
      <w:sz w:val="24"/>
    </w:rPr>
  </w:style>
  <w:style w:type="paragraph" w:customStyle="1" w:styleId="16">
    <w:name w:val="1"/>
    <w:basedOn w:val="Normal"/>
    <w:link w:val="1858D7CFB-ED40-4347-BF05-701D383B685F"/>
    <w:rPr>
      <w:rFonts w:ascii="Tahoma" w:hAnsi="Tahoma"/>
      <w:sz w:val="24"/>
    </w:rPr>
  </w:style>
  <w:style w:type="character" w:customStyle="1" w:styleId="3">
    <w:name w:val="标题 3 字符"/>
    <w:uiPriority w:val="9"/>
    <w:qFormat/>
    <w:rPr>
      <w:b/>
      <w:kern w:val="2"/>
      <w:sz w:val="44"/>
    </w:rPr>
  </w:style>
  <w:style w:type="character" w:customStyle="1" w:styleId="a6">
    <w:name w:val="页眉 字符"/>
    <w:uiPriority w:val="99"/>
    <w:qFormat/>
    <w:rPr>
      <w:kern w:val="2"/>
      <w:sz w:val="18"/>
    </w:rPr>
  </w:style>
  <w:style w:type="character" w:customStyle="1" w:styleId="Char2">
    <w:name w:val="批注文字 Char2"/>
    <w:uiPriority w:val="99"/>
    <w:qFormat/>
    <w:rPr>
      <w:kern w:val="2"/>
      <w:sz w:val="28"/>
    </w:rPr>
  </w:style>
  <w:style w:type="character" w:customStyle="1" w:styleId="fontstyle01">
    <w:name w:val="fontstyle01"/>
    <w:rPr>
      <w:rFonts w:ascii="宋体" w:eastAsia="宋体" w:hAnsi="宋体" w:cs="Times New Roman" w:hint="eastAsia"/>
      <w:color w:val="000000"/>
      <w:sz w:val="22"/>
      <w:szCs w:val="22"/>
    </w:rPr>
  </w:style>
  <w:style w:type="character" w:customStyle="1" w:styleId="Char0">
    <w:name w:val="字母编号列项 Char"/>
    <w:link w:val="a7"/>
    <w:qFormat/>
    <w:rPr>
      <w:color w:val="000000"/>
      <w:sz w:val="24"/>
    </w:rPr>
  </w:style>
  <w:style w:type="paragraph" w:customStyle="1" w:styleId="a7">
    <w:name w:val="字母编号列项"/>
    <w:link w:val="Char0"/>
    <w:qFormat/>
    <w:pPr>
      <w:numPr>
        <w:ilvl w:val="0"/>
        <w:numId w:val="7"/>
      </w:numPr>
      <w:tabs>
        <w:tab w:val="left" w:pos="907"/>
      </w:tabs>
      <w:adjustRightInd w:val="0"/>
      <w:snapToGrid w:val="0"/>
      <w:spacing w:line="360" w:lineRule="auto"/>
    </w:pPr>
    <w:rPr>
      <w:color w:val="000000"/>
      <w:sz w:val="24"/>
      <w:lang w:val="en-US" w:eastAsia="zh-CN" w:bidi="ar-SA"/>
    </w:rPr>
  </w:style>
  <w:style w:type="character" w:customStyle="1" w:styleId="17">
    <w:name w:val="日期 字符1"/>
    <w:rPr>
      <w:kern w:val="2"/>
      <w:sz w:val="28"/>
    </w:rPr>
  </w:style>
  <w:style w:type="character" w:customStyle="1" w:styleId="2Char">
    <w:name w:val="样式 正文缩进 + 首行缩进:  2 字符 Char"/>
    <w:link w:val="23"/>
    <w:rPr>
      <w:rFonts w:ascii="Times new man" w:eastAsia="宋体" w:hAnsi="Times new man" w:cs="Times New Roman"/>
      <w:kern w:val="2"/>
      <w:sz w:val="24"/>
      <w:szCs w:val="24"/>
    </w:rPr>
  </w:style>
  <w:style w:type="paragraph" w:customStyle="1" w:styleId="23">
    <w:name w:val="样式 正文缩进 + 首行缩进:  2 字符"/>
    <w:basedOn w:val="NormalIndent"/>
    <w:link w:val="2Char"/>
    <w:pPr>
      <w:adjustRightInd/>
      <w:snapToGrid/>
      <w:ind w:firstLine="200" w:firstLineChars="200"/>
    </w:pPr>
    <w:rPr>
      <w:rFonts w:ascii="Times new man" w:hAnsi="Times new man"/>
      <w:szCs w:val="24"/>
    </w:rPr>
  </w:style>
  <w:style w:type="character" w:customStyle="1" w:styleId="font21">
    <w:name w:val="font21"/>
    <w:rPr>
      <w:rFonts w:ascii="宋体" w:eastAsia="宋体" w:hAnsi="宋体" w:cs="Times New Roman" w:hint="eastAsia"/>
      <w:color w:val="000000"/>
      <w:sz w:val="20"/>
      <w:szCs w:val="20"/>
      <w:u w:val="none"/>
    </w:rPr>
  </w:style>
  <w:style w:type="character" w:customStyle="1" w:styleId="CharChar7">
    <w:name w:val=" Char Char7"/>
    <w:rPr>
      <w:rFonts w:ascii="宋体" w:eastAsia="宋体" w:hAnsi="宋体" w:cs="Times New Roman"/>
      <w:kern w:val="2"/>
      <w:sz w:val="28"/>
    </w:rPr>
  </w:style>
  <w:style w:type="character" w:customStyle="1" w:styleId="Char3">
    <w:name w:val="*正文 Char"/>
    <w:link w:val="a8"/>
    <w:qFormat/>
    <w:rPr>
      <w:rFonts w:ascii="仿宋_GB2312" w:eastAsia="仿宋_GB2312"/>
      <w:kern w:val="2"/>
      <w:sz w:val="24"/>
      <w:szCs w:val="28"/>
    </w:rPr>
  </w:style>
  <w:style w:type="paragraph" w:customStyle="1" w:styleId="a8">
    <w:name w:val="*正文"/>
    <w:basedOn w:val="Normal"/>
    <w:link w:val="Char3"/>
    <w:qFormat/>
    <w:pPr>
      <w:widowControl/>
      <w:ind w:firstLine="200" w:firstLineChars="200"/>
    </w:pPr>
    <w:rPr>
      <w:rFonts w:ascii="仿宋_GB2312" w:eastAsia="仿宋_GB2312"/>
      <w:sz w:val="24"/>
      <w:szCs w:val="28"/>
    </w:rPr>
  </w:style>
  <w:style w:type="character" w:customStyle="1" w:styleId="top-det1">
    <w:name w:val="top-det1"/>
    <w:rPr>
      <w:rFonts w:ascii="Times New Roman" w:eastAsia="宋体" w:hAnsi="Times New Roman" w:cs="Times New Roman"/>
      <w:b/>
      <w:color w:val="000000"/>
    </w:rPr>
  </w:style>
  <w:style w:type="character" w:customStyle="1" w:styleId="210">
    <w:name w:val="标题 2 字符1"/>
    <w:qFormat/>
    <w:rPr>
      <w:rFonts w:ascii="宋体" w:hAnsi="宋体"/>
      <w:kern w:val="2"/>
      <w:sz w:val="28"/>
    </w:rPr>
  </w:style>
  <w:style w:type="character" w:customStyle="1" w:styleId="CharChar6">
    <w:name w:val=" Char Char6"/>
    <w:rPr>
      <w:rFonts w:ascii="仿宋_GB2312" w:eastAsia="仿宋_GB2312" w:hAnsi="Times New Roman" w:cs="Times New Roman"/>
      <w:kern w:val="2"/>
      <w:sz w:val="32"/>
    </w:rPr>
  </w:style>
  <w:style w:type="character" w:customStyle="1" w:styleId="hei141">
    <w:name w:val="hei141"/>
    <w:rPr>
      <w:rFonts w:ascii="宋体" w:eastAsia="宋体" w:hAnsi="宋体" w:cs="Times New Roman" w:hint="eastAsia"/>
      <w:color w:val="000000"/>
      <w:sz w:val="21"/>
      <w:szCs w:val="21"/>
      <w:u w:val="none"/>
    </w:rPr>
  </w:style>
  <w:style w:type="character" w:customStyle="1" w:styleId="24">
    <w:name w:val="标题 2 字符"/>
    <w:qFormat/>
    <w:rPr>
      <w:rFonts w:ascii="宋体" w:eastAsia="宋体" w:hAnsi="宋体" w:cs="Times New Roman"/>
      <w:kern w:val="2"/>
      <w:sz w:val="28"/>
    </w:rPr>
  </w:style>
  <w:style w:type="character" w:customStyle="1" w:styleId="CharChar4">
    <w:name w:val=" Char Char4"/>
    <w:rPr>
      <w:rFonts w:ascii="Times New Roman" w:eastAsia="宋体" w:hAnsi="Times New Roman" w:cs="Times New Roman"/>
      <w:b/>
      <w:kern w:val="2"/>
      <w:sz w:val="21"/>
      <w:lang w:val="en-US" w:eastAsia="zh-CN"/>
    </w:rPr>
  </w:style>
  <w:style w:type="character" w:customStyle="1" w:styleId="Char4">
    <w:name w:val="文字 Char"/>
    <w:link w:val="a9"/>
    <w:rPr>
      <w:rFonts w:ascii="宋体" w:eastAsia="宋体" w:hAnsi="Times New Roman" w:cs="Times New Roman"/>
      <w:kern w:val="2"/>
      <w:sz w:val="28"/>
      <w:lang w:val="en-US" w:eastAsia="zh-CN" w:bidi="ar-SA"/>
    </w:rPr>
  </w:style>
  <w:style w:type="paragraph" w:customStyle="1" w:styleId="a9">
    <w:name w:val="文字"/>
    <w:basedOn w:val="Normal"/>
    <w:link w:val="Char4"/>
    <w:pPr>
      <w:tabs>
        <w:tab w:val="left" w:pos="8520"/>
      </w:tabs>
      <w:spacing w:line="312" w:lineRule="auto"/>
      <w:ind w:right="-210" w:firstLine="556"/>
    </w:pPr>
    <w:rPr>
      <w:rFonts w:ascii="宋体"/>
    </w:rPr>
  </w:style>
  <w:style w:type="character" w:customStyle="1" w:styleId="TableTextChar">
    <w:name w:val="Table Text Char"/>
    <w:rPr>
      <w:rFonts w:ascii="Arial" w:eastAsia="宋体" w:hAnsi="Arial" w:cs="Times New Roman"/>
      <w:kern w:val="2"/>
      <w:sz w:val="18"/>
      <w:lang w:val="en-US" w:eastAsia="zh-CN" w:bidi="ar-SA"/>
    </w:rPr>
  </w:style>
  <w:style w:type="character" w:customStyle="1" w:styleId="CharChar3">
    <w:name w:val=" Char Char3"/>
    <w:rPr>
      <w:rFonts w:ascii="Times New Roman" w:eastAsia="宋体" w:hAnsi="Times New Roman" w:cs="Times New Roman"/>
      <w:kern w:val="2"/>
      <w:sz w:val="18"/>
      <w:lang w:val="en-US" w:eastAsia="zh-CN"/>
    </w:rPr>
  </w:style>
  <w:style w:type="character" w:customStyle="1" w:styleId="CharChar5">
    <w:name w:val=" Char Char5"/>
    <w:rPr>
      <w:rFonts w:ascii="Arial" w:eastAsia="宋体" w:hAnsi="Arial" w:cs="Times New Roman"/>
      <w:b/>
      <w:smallCaps/>
      <w:kern w:val="28"/>
      <w:sz w:val="36"/>
      <w:lang w:val="en-US" w:eastAsia="en-US"/>
    </w:rPr>
  </w:style>
  <w:style w:type="character" w:customStyle="1" w:styleId="a10">
    <w:name w:val="正文文本缩进 字符"/>
    <w:locked/>
    <w:rPr>
      <w:kern w:val="2"/>
      <w:sz w:val="44"/>
    </w:rPr>
  </w:style>
  <w:style w:type="character" w:customStyle="1" w:styleId="Exact1">
    <w:name w:val="正文文本 Exact1"/>
    <w:rPr>
      <w:rFonts w:ascii="MingLiU" w:eastAsia="MingLiU" w:hAnsi="MingLiU" w:cs="MingLiU"/>
      <w:color w:val="000000"/>
      <w:spacing w:val="5"/>
      <w:w w:val="100"/>
      <w:position w:val="0"/>
      <w:sz w:val="16"/>
      <w:szCs w:val="16"/>
      <w:lang w:val="zh-TW"/>
    </w:rPr>
  </w:style>
  <w:style w:type="character" w:customStyle="1" w:styleId="TableTextCharCharCharChar">
    <w:name w:val="Table Text Char Char Char Char"/>
    <w:rPr>
      <w:rFonts w:ascii="Arial" w:eastAsia="宋体" w:hAnsi="Arial" w:cs="Times New Roman"/>
      <w:kern w:val="2"/>
      <w:sz w:val="18"/>
      <w:lang w:val="en-US" w:eastAsia="zh-CN" w:bidi="ar-SA"/>
    </w:rPr>
  </w:style>
  <w:style w:type="character" w:customStyle="1" w:styleId="CharChar">
    <w:name w:val=" Char Char"/>
    <w:rPr>
      <w:rFonts w:ascii="宋体" w:eastAsia="宋体" w:hAnsi="宋体" w:cs="Times New Roman"/>
      <w:kern w:val="2"/>
      <w:sz w:val="24"/>
      <w:lang w:val="en-US" w:eastAsia="zh-CN" w:bidi="ar-SA"/>
    </w:rPr>
  </w:style>
  <w:style w:type="character" w:customStyle="1" w:styleId="18">
    <w:name w:val="列表段落 字符1"/>
    <w:link w:val="ListParagraph"/>
    <w:qFormat/>
    <w:rPr>
      <w:rFonts w:ascii="Times New Roman" w:eastAsia="宋体" w:hAnsi="Times New Roman" w:cs="Times New Roman"/>
      <w:kern w:val="2"/>
      <w:sz w:val="28"/>
    </w:rPr>
  </w:style>
  <w:style w:type="paragraph" w:styleId="ListParagraph">
    <w:name w:val="List Paragraph"/>
    <w:basedOn w:val="Normal"/>
    <w:link w:val="18"/>
    <w:uiPriority w:val="34"/>
    <w:qFormat/>
    <w:pPr>
      <w:ind w:firstLine="420" w:firstLineChars="200"/>
    </w:pPr>
  </w:style>
  <w:style w:type="character" w:customStyle="1" w:styleId="content-white1">
    <w:name w:val="content-white1"/>
    <w:rPr>
      <w:rFonts w:ascii="" w:eastAsia="宋体" w:hAnsi="" w:cs="Times New Roman"/>
      <w:color w:val="auto"/>
      <w:sz w:val="18"/>
      <w:u w:val="none"/>
    </w:rPr>
  </w:style>
  <w:style w:type="character" w:customStyle="1" w:styleId="19">
    <w:name w:val="标题 1 字符"/>
    <w:uiPriority w:val="9"/>
    <w:qFormat/>
    <w:rPr>
      <w:rFonts w:eastAsia="黑体"/>
      <w:kern w:val="2"/>
      <w:sz w:val="44"/>
    </w:rPr>
  </w:style>
  <w:style w:type="character" w:customStyle="1" w:styleId="ffffChar">
    <w:name w:val="ffff Char"/>
    <w:link w:val="ffff"/>
    <w:rPr>
      <w:sz w:val="24"/>
      <w:szCs w:val="24"/>
    </w:rPr>
  </w:style>
  <w:style w:type="paragraph" w:customStyle="1" w:styleId="ffff">
    <w:name w:val="ffff"/>
    <w:basedOn w:val="Normal"/>
    <w:link w:val="ffffChar"/>
    <w:pPr>
      <w:numPr>
        <w:ilvl w:val="0"/>
        <w:numId w:val="8"/>
      </w:numPr>
      <w:tabs>
        <w:tab w:val="left" w:pos="0"/>
        <w:tab w:val="left" w:pos="540"/>
        <w:tab w:val="left" w:pos="720"/>
        <w:tab w:val="left" w:pos="1260"/>
      </w:tabs>
      <w:autoSpaceDE w:val="0"/>
      <w:autoSpaceDN w:val="0"/>
      <w:spacing w:after="100" w:afterAutospacing="1" w:line="360" w:lineRule="auto"/>
    </w:pPr>
    <w:rPr>
      <w:kern w:val="0"/>
      <w:sz w:val="24"/>
      <w:szCs w:val="24"/>
    </w:rPr>
  </w:style>
  <w:style w:type="character" w:customStyle="1" w:styleId="a11">
    <w:name w:val="列表段落 字符"/>
    <w:uiPriority w:val="34"/>
    <w:rPr>
      <w:kern w:val="2"/>
      <w:sz w:val="28"/>
    </w:rPr>
  </w:style>
  <w:style w:type="character" w:customStyle="1" w:styleId="Char5">
    <w:name w:val="小 Char"/>
    <w:aliases w:val="小 Char1,普通文字 Char Char Char,普通文字 Char Char1,普通文字 Char1,普通文字1 Char,普通文字11 Char,普通文字2 Char,普通文字21 Char,普通文字3 Char,普通文字31 Char,普通文字4 Char,普通文字41 Char,普通文字5 Char,普通文字6 Char,普通文字7 Char,正 文 1 Char,纯文本 Char Char Char1,纯文本 Char Char2,纯文本 Char1,表格文字 Char"/>
    <w:rPr>
      <w:rFonts w:ascii="宋体" w:eastAsia="宋体" w:hAnsi="Courier New" w:cs="Times New Roman"/>
      <w:kern w:val="2"/>
      <w:sz w:val="21"/>
      <w:lang w:val="en-US" w:eastAsia="zh-CN" w:bidi="ar-SA"/>
    </w:rPr>
  </w:style>
  <w:style w:type="character" w:customStyle="1" w:styleId="a12">
    <w:name w:val="样式 宋体"/>
    <w:rPr>
      <w:rFonts w:ascii="宋体" w:eastAsia="宋体" w:hAnsi="宋体" w:cs="Times New Roman"/>
      <w:sz w:val="28"/>
    </w:rPr>
  </w:style>
  <w:style w:type="character" w:customStyle="1" w:styleId="a13">
    <w:name w:val="页脚 字符"/>
    <w:uiPriority w:val="99"/>
    <w:qFormat/>
    <w:rPr>
      <w:kern w:val="2"/>
      <w:sz w:val="18"/>
    </w:rPr>
  </w:style>
  <w:style w:type="character" w:customStyle="1" w:styleId="Char7">
    <w:name w:val="正文 + 三号 Char"/>
    <w:aliases w:val="加粗 Char"/>
    <w:rPr>
      <w:rFonts w:ascii="Times New Roman" w:eastAsia="宋体" w:hAnsi="Times New Roman" w:cs="Times New Roman"/>
      <w:kern w:val="2"/>
      <w:sz w:val="21"/>
      <w:lang w:val="en-US" w:eastAsia="zh-CN"/>
    </w:rPr>
  </w:style>
  <w:style w:type="character" w:customStyle="1" w:styleId="TableHeadingCharChar">
    <w:name w:val="Table Heading Char Char"/>
    <w:rPr>
      <w:rFonts w:ascii="Arial" w:eastAsia="黑体" w:hAnsi="Arial" w:cs="Times New Roman"/>
      <w:kern w:val="2"/>
      <w:sz w:val="18"/>
      <w:lang w:val="en-US" w:eastAsia="zh-CN"/>
    </w:rPr>
  </w:style>
  <w:style w:type="character" w:customStyle="1" w:styleId="a14">
    <w:name w:val="日期 字符"/>
    <w:rPr>
      <w:rFonts w:ascii="Times New Roman" w:eastAsia="宋体" w:hAnsi="Times New Roman" w:cs="Times New Roman"/>
      <w:kern w:val="2"/>
      <w:sz w:val="28"/>
    </w:rPr>
  </w:style>
  <w:style w:type="character" w:customStyle="1" w:styleId="4">
    <w:name w:val="标题 4 字符"/>
    <w:qFormat/>
    <w:rPr>
      <w:rFonts w:ascii="Arial" w:eastAsia="黑体" w:hAnsi="Arial"/>
      <w:b/>
      <w:kern w:val="2"/>
      <w:sz w:val="28"/>
    </w:rPr>
  </w:style>
  <w:style w:type="character" w:customStyle="1" w:styleId="v151">
    <w:name w:val="v151"/>
    <w:rPr>
      <w:rFonts w:ascii="Times New Roman" w:eastAsia="宋体" w:hAnsi="Times New Roman" w:cs="Times New Roman"/>
      <w:sz w:val="18"/>
    </w:rPr>
  </w:style>
  <w:style w:type="character" w:customStyle="1" w:styleId="000Char">
    <w:name w:val="000 Char"/>
    <w:link w:val="000"/>
    <w:rPr>
      <w:rFonts w:ascii="Times New Roman" w:eastAsia="仿宋_GB2312" w:hAnsi="Times New Roman" w:cs="Times New Roman"/>
      <w:kern w:val="2"/>
      <w:sz w:val="28"/>
      <w:szCs w:val="28"/>
    </w:rPr>
  </w:style>
  <w:style w:type="paragraph" w:customStyle="1" w:styleId="000">
    <w:name w:val="000"/>
    <w:basedOn w:val="ListParagraph"/>
    <w:link w:val="000Char"/>
    <w:pPr>
      <w:spacing w:line="360" w:lineRule="auto"/>
      <w:ind w:firstLine="560"/>
      <w:jc w:val="left"/>
    </w:pPr>
    <w:rPr>
      <w:rFonts w:eastAsia="仿宋_GB2312"/>
      <w:szCs w:val="28"/>
    </w:rPr>
  </w:style>
  <w:style w:type="paragraph" w:customStyle="1" w:styleId="111">
    <w:name w:val="表格1"/>
    <w:basedOn w:val="Normal"/>
    <w:next w:val="Normal"/>
    <w:pPr>
      <w:kinsoku w:val="0"/>
      <w:wordWrap w:val="0"/>
      <w:overflowPunct w:val="0"/>
      <w:autoSpaceDE w:val="0"/>
      <w:autoSpaceDN w:val="0"/>
      <w:adjustRightInd w:val="0"/>
      <w:spacing w:line="288" w:lineRule="auto"/>
      <w:jc w:val="center"/>
      <w:textAlignment w:val="baseline"/>
    </w:pPr>
    <w:rPr>
      <w:rFonts w:ascii="宋体" w:eastAsia="宋体" w:hAnsi="Times New Roman" w:cs="Times New Roman"/>
      <w:kern w:val="0"/>
      <w:sz w:val="18"/>
    </w:rPr>
  </w:style>
  <w:style w:type="paragraph" w:customStyle="1" w:styleId="40">
    <w:name w:val="正文4"/>
    <w:basedOn w:val="Normal"/>
    <w:pPr>
      <w:tabs>
        <w:tab w:val="left" w:pos="1275"/>
      </w:tabs>
      <w:spacing w:before="60" w:beforeLines="0" w:beforeAutospacing="0" w:after="60" w:afterLines="0" w:afterAutospacing="0" w:line="360" w:lineRule="auto"/>
      <w:ind w:left="820" w:hanging="705" w:leftChars="400"/>
    </w:pPr>
    <w:rPr>
      <w:rFonts w:ascii="Times New Roman" w:eastAsia="宋体" w:hAnsi="Times New Roman" w:cs="Times New Roman"/>
      <w:sz w:val="24"/>
    </w:rPr>
  </w:style>
  <w:style w:type="paragraph" w:customStyle="1" w:styleId="BodyText20">
    <w:name w:val="Body Text 2"/>
    <w:basedOn w:val="Normal"/>
    <w:pPr>
      <w:adjustRightInd w:val="0"/>
      <w:spacing w:before="120" w:beforeLines="0" w:beforeAutospacing="0" w:line="360" w:lineRule="auto"/>
      <w:ind w:firstLine="480"/>
      <w:textAlignment w:val="baseline"/>
    </w:pPr>
    <w:rPr>
      <w:rFonts w:ascii="Times New Roman" w:eastAsia="宋体" w:hAnsi="Times New Roman" w:cs="Times New Roman"/>
      <w:sz w:val="24"/>
    </w:rPr>
  </w:style>
  <w:style w:type="paragraph" w:customStyle="1" w:styleId="a15">
    <w:name w:val="列表项目"/>
    <w:basedOn w:val="Normal"/>
    <w:pPr>
      <w:numPr>
        <w:ilvl w:val="0"/>
        <w:numId w:val="9"/>
      </w:numPr>
      <w:tabs>
        <w:tab w:val="left" w:pos="420"/>
        <w:tab w:val="clear" w:pos="980"/>
      </w:tabs>
      <w:spacing w:line="288" w:lineRule="auto"/>
      <w:ind w:left="840" w:hanging="420" w:leftChars="200" w:hangingChars="200"/>
    </w:pPr>
    <w:rPr>
      <w:rFonts w:ascii="Times New Roman" w:eastAsia="宋体" w:hAnsi="Times New Roman" w:cs="Times New Roman"/>
      <w:sz w:val="21"/>
    </w:rPr>
  </w:style>
  <w:style w:type="paragraph" w:customStyle="1" w:styleId="StyleHeading3h3Heading3-oldLevel3HeadH3level3PIM3se">
    <w:name w:val="Style Heading 3h3Heading 3 - oldLevel 3 HeadH3level_3PIM 3se..."/>
    <w:basedOn w:val="Heading3"/>
    <w:pPr>
      <w:numPr>
        <w:ilvl w:val="2"/>
        <w:numId w:val="10"/>
      </w:numPr>
      <w:tabs>
        <w:tab w:val="left" w:pos="709"/>
      </w:tabs>
      <w:jc w:val="both"/>
    </w:pPr>
    <w:rPr>
      <w:rFonts w:ascii="Times New Roman" w:eastAsia="宋体" w:hAnsi="Times New Roman" w:cs="Times New Roman"/>
      <w:sz w:val="32"/>
    </w:rPr>
  </w:style>
  <w:style w:type="paragraph" w:customStyle="1" w:styleId="25">
    <w:name w:val="正文字缩2字"/>
    <w:basedOn w:val="Normal"/>
    <w:pPr>
      <w:spacing w:before="60" w:beforeLines="0" w:beforeAutospacing="0" w:after="60" w:afterLines="0" w:afterAutospacing="0" w:line="360" w:lineRule="auto"/>
      <w:ind w:left="200" w:firstLine="200" w:leftChars="200" w:firstLineChars="200"/>
    </w:pPr>
    <w:rPr>
      <w:rFonts w:ascii="Times New Roman" w:eastAsia="宋体" w:hAnsi="Times New Roman" w:cs="Times New Roman"/>
      <w:sz w:val="24"/>
    </w:rPr>
  </w:style>
  <w:style w:type="paragraph" w:customStyle="1" w:styleId="xl23">
    <w:name w:val="xl23"/>
    <w:basedOn w:val="Normal"/>
    <w:pPr>
      <w:widowControl/>
      <w:spacing w:before="100" w:beforeLines="0" w:beforeAutospacing="1" w:after="100" w:afterLines="0" w:afterAutospacing="1" w:line="360" w:lineRule="auto"/>
      <w:textAlignment w:val="top"/>
    </w:pPr>
    <w:rPr>
      <w:rFonts w:ascii="Times New Roman" w:eastAsia="宋体" w:hAnsi="Times New Roman" w:cs="Times New Roman"/>
      <w:kern w:val="0"/>
      <w:sz w:val="24"/>
    </w:rPr>
  </w:style>
  <w:style w:type="paragraph" w:customStyle="1" w:styleId="112">
    <w:name w:val="样式1"/>
    <w:basedOn w:val="Heading4"/>
    <w:pPr>
      <w:tabs>
        <w:tab w:val="left" w:pos="720"/>
      </w:tabs>
      <w:spacing w:before="500" w:after="260" w:line="560" w:lineRule="atLeast"/>
    </w:pPr>
    <w:rPr>
      <w:rFonts w:ascii="Times New Roman" w:eastAsia="宋体" w:hAnsi="Times New Roman" w:cs="Times New Roman"/>
    </w:rPr>
  </w:style>
  <w:style w:type="paragraph" w:customStyle="1" w:styleId="a16">
    <w:name w:val="内容标题"/>
    <w:basedOn w:val="DocumentMap"/>
    <w:rPr>
      <w:rFonts w:ascii="Tahoma" w:eastAsia="宋体" w:hAnsi="Tahoma" w:cs="Times New Roman"/>
      <w:sz w:val="24"/>
    </w:rPr>
  </w:style>
  <w:style w:type="paragraph" w:customStyle="1" w:styleId="a17">
    <w:name w:val="表头样式"/>
    <w:basedOn w:val="Normal"/>
    <w:pPr>
      <w:autoSpaceDE w:val="0"/>
      <w:autoSpaceDN w:val="0"/>
      <w:adjustRightInd w:val="0"/>
      <w:spacing w:line="360" w:lineRule="auto"/>
      <w:jc w:val="left"/>
    </w:pPr>
    <w:rPr>
      <w:rFonts w:ascii="Times New Roman" w:eastAsia="宋体" w:hAnsi="Times New Roman" w:cs="Times New Roman"/>
      <w:b/>
      <w:kern w:val="0"/>
      <w:sz w:val="21"/>
    </w:rPr>
  </w:style>
  <w:style w:type="paragraph" w:customStyle="1" w:styleId="a18">
    <w:name w:val="正文 + 三号"/>
    <w:basedOn w:val="Normal"/>
    <w:rPr>
      <w:rFonts w:ascii="Times New Roman" w:eastAsia="宋体" w:hAnsi="Times New Roman" w:cs="Times New Roman"/>
      <w:kern w:val="2"/>
      <w:sz w:val="21"/>
      <w:lang w:val="en-US" w:eastAsia="zh-CN"/>
    </w:rPr>
  </w:style>
  <w:style w:type="paragraph" w:customStyle="1" w:styleId="Char13">
    <w:name w:val=" Char1"/>
    <w:basedOn w:val="Normal"/>
    <w:rPr>
      <w:rFonts w:ascii="Times New Roman" w:eastAsia="宋体" w:hAnsi="Times New Roman" w:cs="Times New Roman"/>
      <w:sz w:val="21"/>
    </w:rPr>
  </w:style>
  <w:style w:type="paragraph" w:customStyle="1" w:styleId="Title-Revision">
    <w:name w:val="Title - Revision"/>
    <w:basedOn w:val="Title"/>
    <w:pPr>
      <w:spacing w:before="720" w:beforeLines="0" w:beforeAutospacing="0"/>
    </w:pPr>
    <w:rPr>
      <w:rFonts w:ascii="Times New Roman" w:eastAsia="宋体" w:hAnsi="Times New Roman" w:cs="Times New Roman"/>
    </w:rPr>
  </w:style>
  <w:style w:type="paragraph" w:customStyle="1" w:styleId="CharChar1CharCharCharCharCharCharCharCharCharCharCharCharCharChar">
    <w:name w:val=" Char Char1 Char Char Char Char Char Char Char Char Char Char Char Char Char Char"/>
    <w:basedOn w:val="Normal"/>
    <w:pPr>
      <w:widowControl/>
      <w:spacing w:after="160" w:afterLines="0" w:afterAutospacing="0" w:line="240" w:lineRule="exact"/>
      <w:jc w:val="left"/>
    </w:pPr>
    <w:rPr>
      <w:rFonts w:ascii="Verdana" w:eastAsia="宋体" w:hAnsi="Verdana" w:cs="Times New Roman"/>
      <w:kern w:val="0"/>
      <w:sz w:val="20"/>
      <w:lang w:eastAsia="en-US"/>
    </w:rPr>
  </w:style>
  <w:style w:type="paragraph" w:customStyle="1" w:styleId="A19">
    <w:name w:val="正文 A"/>
    <w:pPr>
      <w:widowControl w:val="0"/>
      <w:jc w:val="both"/>
    </w:pPr>
    <w:rPr>
      <w:rFonts w:eastAsia="Times New Roman"/>
      <w:color w:val="000000"/>
      <w:kern w:val="2"/>
      <w:sz w:val="28"/>
      <w:szCs w:val="28"/>
      <w:u w:color="000000"/>
      <w:lang w:val="en-US" w:eastAsia="zh-CN" w:bidi="ar-SA"/>
    </w:rPr>
  </w:style>
  <w:style w:type="paragraph" w:customStyle="1" w:styleId="a20">
    <w:name w:val="表格内容"/>
    <w:basedOn w:val="Normal"/>
    <w:qFormat/>
    <w:pPr>
      <w:widowControl/>
      <w:spacing w:line="300" w:lineRule="exact"/>
      <w:ind w:firstLine="560" w:firstLineChars="200"/>
      <w:jc w:val="center"/>
    </w:pPr>
    <w:rPr>
      <w:rFonts w:ascii="Times New Roman" w:eastAsia="宋体" w:hAnsi="Times New Roman" w:cs="Times New Roman"/>
      <w:kern w:val="0"/>
      <w:sz w:val="21"/>
      <w:szCs w:val="24"/>
    </w:rPr>
  </w:style>
  <w:style w:type="paragraph" w:customStyle="1" w:styleId="a21">
    <w:name w:val="图例"/>
    <w:basedOn w:val="Normal"/>
    <w:qFormat/>
    <w:pPr>
      <w:spacing w:before="120" w:beforeLines="0" w:beforeAutospacing="0" w:after="120" w:afterLines="0" w:afterAutospacing="0" w:line="360" w:lineRule="auto"/>
      <w:jc w:val="center"/>
    </w:pPr>
    <w:rPr>
      <w:rFonts w:ascii="Times New Roman" w:eastAsia="仿宋_GB2312" w:hAnsi="Times New Roman" w:cs="Times New Roman"/>
      <w:b/>
      <w:sz w:val="24"/>
    </w:rPr>
  </w:style>
  <w:style w:type="paragraph" w:customStyle="1" w:styleId="CharCharCharCharCharCharChar">
    <w:name w:val="Char Char Char Char Char Char Char"/>
    <w:basedOn w:val="DocumentMap"/>
    <w:rPr>
      <w:rFonts w:ascii="宋体" w:eastAsia="宋体" w:hAnsi="Tahoma" w:cs="Times New Roman"/>
    </w:rPr>
  </w:style>
  <w:style w:type="paragraph" w:customStyle="1" w:styleId="42">
    <w:name w:val="附录4"/>
    <w:basedOn w:val="Normal"/>
    <w:next w:val="Normal"/>
    <w:pPr>
      <w:widowControl/>
      <w:numPr>
        <w:ilvl w:val="3"/>
        <w:numId w:val="0"/>
      </w:numPr>
      <w:tabs>
        <w:tab w:val="left" w:pos="1134"/>
      </w:tabs>
      <w:spacing w:line="300" w:lineRule="auto"/>
      <w:ind w:left="1361" w:hanging="1361"/>
      <w:outlineLvl w:val="3"/>
    </w:pPr>
    <w:rPr>
      <w:rFonts w:ascii="Arial" w:eastAsia="黑体" w:hAnsi="Arial" w:cs="Times New Roman"/>
      <w:kern w:val="0"/>
    </w:rPr>
  </w:style>
  <w:style w:type="paragraph" w:customStyle="1" w:styleId="CharCharCharCharCharCharCharCharCharCharCharCharChar">
    <w:name w:val=" Char Char Char Char Char Char Char Char Char Char Char Char Char"/>
    <w:basedOn w:val="Normal"/>
    <w:pPr>
      <w:widowControl/>
      <w:spacing w:after="160" w:afterLines="0" w:afterAutospacing="0" w:line="240" w:lineRule="exact"/>
      <w:jc w:val="left"/>
    </w:pPr>
    <w:rPr>
      <w:rFonts w:ascii="Verdana" w:eastAsia="仿宋_GB2312" w:hAnsi="Verdana" w:cs="Times New Roman"/>
      <w:kern w:val="0"/>
      <w:sz w:val="24"/>
      <w:lang w:eastAsia="en-US"/>
    </w:rPr>
  </w:style>
  <w:style w:type="paragraph" w:customStyle="1" w:styleId="a22">
    <w:name w:val="表格内文字"/>
    <w:basedOn w:val="PlainText"/>
    <w:pPr>
      <w:snapToGrid/>
      <w:spacing w:line="240" w:lineRule="auto"/>
    </w:pPr>
    <w:rPr>
      <w:rFonts w:ascii="Times New Roman" w:eastAsia="宋体" w:hAnsi="Times New Roman" w:cs="Times New Roman"/>
      <w:color w:val="000000"/>
      <w:lang w:val="en-GB"/>
    </w:rPr>
  </w:style>
  <w:style w:type="paragraph" w:customStyle="1" w:styleId="5">
    <w:name w:val="标题5"/>
    <w:basedOn w:val="Normal"/>
    <w:pPr>
      <w:tabs>
        <w:tab w:val="left" w:pos="0"/>
      </w:tabs>
      <w:autoSpaceDE w:val="0"/>
      <w:autoSpaceDN w:val="0"/>
      <w:adjustRightInd w:val="0"/>
      <w:snapToGrid w:val="0"/>
      <w:spacing w:line="320" w:lineRule="atLeast"/>
    </w:pPr>
    <w:rPr>
      <w:rFonts w:ascii="宋体" w:eastAsia="宋体" w:hAnsi="Times New Roman" w:cs="Times New Roman"/>
      <w:kern w:val="0"/>
      <w:sz w:val="21"/>
    </w:rPr>
  </w:style>
  <w:style w:type="paragraph" w:customStyle="1" w:styleId="Style35">
    <w:name w:val="_Style 35"/>
    <w:basedOn w:val="Normal"/>
    <w:next w:val="Normal"/>
    <w:qFormat/>
    <w:pPr>
      <w:widowControl/>
      <w:spacing w:line="360" w:lineRule="auto"/>
      <w:ind w:firstLine="420" w:firstLineChars="200"/>
      <w:jc w:val="left"/>
    </w:pPr>
    <w:rPr>
      <w:rFonts w:ascii="宋体" w:eastAsia="仿宋" w:hAnsi="宋体" w:cs="宋体"/>
      <w:kern w:val="0"/>
      <w:sz w:val="24"/>
      <w:szCs w:val="24"/>
    </w:rPr>
  </w:style>
  <w:style w:type="paragraph" w:customStyle="1" w:styleId="113">
    <w:name w:val="列出段落1"/>
    <w:basedOn w:val="Normal"/>
    <w:uiPriority w:val="34"/>
    <w:qFormat/>
    <w:pPr>
      <w:ind w:firstLine="420" w:firstLineChars="200"/>
    </w:pPr>
    <w:rPr>
      <w:rFonts w:ascii="Times New Roman" w:eastAsia="宋体" w:hAnsi="Times New Roman" w:cs="Times New Roman"/>
      <w:sz w:val="21"/>
    </w:rPr>
  </w:style>
  <w:style w:type="paragraph" w:customStyle="1" w:styleId="CSS1Char">
    <w:name w:val="CSS1级正文 Char"/>
    <w:basedOn w:val="BodyText"/>
    <w:pPr>
      <w:adjustRightInd w:val="0"/>
      <w:snapToGrid w:val="0"/>
      <w:spacing w:line="360" w:lineRule="auto"/>
      <w:ind w:firstLine="480"/>
    </w:pPr>
    <w:rPr>
      <w:rFonts w:ascii="Times New Roman" w:eastAsia="宋体" w:hAnsi="Times New Roman" w:cs="Times New Roman"/>
      <w:sz w:val="24"/>
    </w:rPr>
  </w:style>
  <w:style w:type="paragraph" w:customStyle="1" w:styleId="a23">
    <w:name w:val="È±Ê¡ÎÄ±¾"/>
    <w:basedOn w:val="Normal"/>
    <w:pPr>
      <w:widowControl/>
      <w:overflowPunct w:val="0"/>
      <w:autoSpaceDE w:val="0"/>
      <w:autoSpaceDN w:val="0"/>
      <w:adjustRightInd w:val="0"/>
      <w:jc w:val="left"/>
      <w:textAlignment w:val="baseline"/>
    </w:pPr>
    <w:rPr>
      <w:rFonts w:ascii="Times New Roman" w:eastAsia="宋体" w:hAnsi="Times New Roman" w:cs="Times New Roman"/>
      <w:kern w:val="0"/>
      <w:sz w:val="24"/>
    </w:rPr>
  </w:style>
  <w:style w:type="paragraph" w:customStyle="1" w:styleId="a24">
    <w:name w:val="二级条标题"/>
    <w:basedOn w:val="a25"/>
    <w:next w:val="a26"/>
    <w:pPr>
      <w:spacing w:before="50" w:after="50"/>
      <w:outlineLvl w:val="3"/>
    </w:pPr>
    <w:rPr>
      <w:rFonts w:ascii="Times New Roman" w:eastAsia="宋体" w:hAnsi="Times New Roman" w:cs="Times New Roman"/>
    </w:rPr>
  </w:style>
  <w:style w:type="paragraph" w:customStyle="1" w:styleId="a25">
    <w:name w:val="一级条标题"/>
    <w:next w:val="a26"/>
    <w:pPr>
      <w:spacing w:before="156" w:beforeLines="50" w:after="156" w:afterLines="50"/>
      <w:outlineLvl w:val="2"/>
    </w:pPr>
    <w:rPr>
      <w:rFonts w:ascii="黑体" w:eastAsia="黑体"/>
      <w:sz w:val="21"/>
      <w:szCs w:val="21"/>
      <w:lang w:val="en-US" w:eastAsia="zh-CN" w:bidi="ar-SA"/>
    </w:rPr>
  </w:style>
  <w:style w:type="paragraph" w:customStyle="1" w:styleId="a26">
    <w:name w:val="段"/>
    <w:uiPriority w:val="99"/>
    <w:qFormat/>
    <w:pPr>
      <w:autoSpaceDE w:val="0"/>
      <w:autoSpaceDN w:val="0"/>
      <w:ind w:firstLine="200" w:firstLineChars="200"/>
      <w:jc w:val="both"/>
    </w:pPr>
    <w:rPr>
      <w:rFonts w:ascii="宋体"/>
      <w:sz w:val="21"/>
      <w:lang w:val="en-US" w:eastAsia="zh-CN" w:bidi="ar-SA"/>
    </w:rPr>
  </w:style>
  <w:style w:type="paragraph" w:customStyle="1" w:styleId="26">
    <w:name w:val="样式2"/>
    <w:basedOn w:val="Heading4"/>
    <w:pPr>
      <w:numPr>
        <w:ilvl w:val="0"/>
        <w:numId w:val="11"/>
      </w:numPr>
      <w:tabs>
        <w:tab w:val="left" w:pos="720"/>
      </w:tabs>
      <w:spacing w:line="400" w:lineRule="exact"/>
      <w:jc w:val="center"/>
      <w:outlineLvl w:val="0"/>
    </w:pPr>
    <w:rPr>
      <w:rFonts w:ascii="Times New Roman" w:eastAsia="宋体" w:hAnsi="Times New Roman" w:cs="Times New Roman"/>
      <w:b w:val="0"/>
      <w:sz w:val="44"/>
    </w:rPr>
  </w:style>
  <w:style w:type="paragraph" w:customStyle="1" w:styleId="CharCharCharCharCharChar">
    <w:name w:val=" Char Char 字元 字元 字元 Char Char Char Char"/>
    <w:basedOn w:val="Normal"/>
    <w:pPr>
      <w:adjustRightInd w:val="0"/>
      <w:spacing w:line="360" w:lineRule="auto"/>
    </w:pPr>
    <w:rPr>
      <w:rFonts w:ascii="Times New Roman" w:eastAsia="宋体" w:hAnsi="Times New Roman" w:cs="Times New Roman"/>
      <w:kern w:val="0"/>
      <w:sz w:val="24"/>
    </w:rPr>
  </w:style>
  <w:style w:type="paragraph" w:customStyle="1" w:styleId="ParaCharCharCharCharCharCharChar">
    <w:name w:val="默认段落字体 Para Char Char Char Char Char Char Char"/>
    <w:basedOn w:val="Normal"/>
    <w:rPr>
      <w:rFonts w:ascii="Tahoma" w:eastAsia="宋体" w:hAnsi="Tahoma" w:cs="Times New Roman"/>
      <w:sz w:val="24"/>
    </w:rPr>
  </w:style>
  <w:style w:type="paragraph" w:customStyle="1" w:styleId="AANumbering">
    <w:name w:val="AA Numbering"/>
    <w:basedOn w:val="Normal"/>
    <w:pPr>
      <w:widowControl/>
      <w:tabs>
        <w:tab w:val="left" w:pos="1134"/>
        <w:tab w:val="left" w:pos="1280"/>
      </w:tabs>
      <w:adjustRightInd w:val="0"/>
      <w:snapToGrid w:val="0"/>
      <w:spacing w:line="280" w:lineRule="atLeast"/>
      <w:jc w:val="left"/>
    </w:pPr>
    <w:rPr>
      <w:rFonts w:ascii="Times New Roman" w:eastAsia="PMingLiU" w:hAnsi="Times New Roman" w:cs="Times New Roman"/>
      <w:kern w:val="0"/>
      <w:sz w:val="24"/>
      <w:lang w:eastAsia="zh-TW"/>
    </w:rPr>
  </w:style>
  <w:style w:type="paragraph" w:customStyle="1" w:styleId="a27">
    <w:name w:val="五级条标题"/>
    <w:basedOn w:val="a28"/>
    <w:next w:val="a26"/>
    <w:pPr>
      <w:outlineLvl w:val="6"/>
    </w:pPr>
    <w:rPr>
      <w:rFonts w:ascii="Times New Roman" w:eastAsia="宋体" w:hAnsi="Times New Roman" w:cs="Times New Roman"/>
    </w:rPr>
  </w:style>
  <w:style w:type="paragraph" w:customStyle="1" w:styleId="a28">
    <w:name w:val="四级条标题"/>
    <w:basedOn w:val="Normal"/>
    <w:next w:val="a26"/>
    <w:pPr>
      <w:widowControl/>
      <w:spacing w:before="50" w:beforeLines="50" w:after="50" w:afterLines="50"/>
      <w:jc w:val="left"/>
      <w:outlineLvl w:val="5"/>
    </w:pPr>
    <w:rPr>
      <w:rFonts w:ascii="黑体" w:eastAsia="黑体" w:hAnsi="Times New Roman" w:cs="Times New Roman"/>
      <w:kern w:val="0"/>
      <w:sz w:val="21"/>
      <w:szCs w:val="21"/>
    </w:rPr>
  </w:style>
  <w:style w:type="paragraph" w:customStyle="1" w:styleId="INFeature">
    <w:name w:val="IN Feature"/>
    <w:next w:val="INStep"/>
    <w:pPr>
      <w:keepNext/>
      <w:keepLines/>
      <w:spacing w:before="240" w:after="240"/>
      <w:outlineLvl w:val="7"/>
    </w:pPr>
    <w:rPr>
      <w:rFonts w:ascii="Arial" w:eastAsia="黑体" w:hAnsi="Arial"/>
      <w:sz w:val="21"/>
      <w:lang w:val="en-US" w:eastAsia="zh-CN" w:bidi="ar-SA"/>
    </w:rPr>
  </w:style>
  <w:style w:type="paragraph" w:customStyle="1" w:styleId="INStep">
    <w:name w:val="IN Step"/>
    <w:basedOn w:val="Normal"/>
    <w:pPr>
      <w:keepLines/>
      <w:widowControl/>
      <w:tabs>
        <w:tab w:val="left" w:pos="1134"/>
      </w:tabs>
      <w:spacing w:before="80" w:beforeLines="0" w:beforeAutospacing="0" w:after="80" w:afterLines="0" w:afterAutospacing="0" w:line="300" w:lineRule="auto"/>
      <w:ind w:left="1134" w:hanging="907"/>
      <w:outlineLvl w:val="8"/>
    </w:pPr>
    <w:rPr>
      <w:rFonts w:ascii="Arial" w:eastAsia="宋体" w:hAnsi="Arial" w:cs="Times New Roman"/>
      <w:kern w:val="0"/>
      <w:sz w:val="21"/>
    </w:rPr>
  </w:style>
  <w:style w:type="paragraph" w:customStyle="1" w:styleId="xl27">
    <w:name w:val="xl27"/>
    <w:basedOn w:val="Normal"/>
    <w:pPr>
      <w:widowControl/>
      <w:pBdr>
        <w:left w:val="single" w:sz="8" w:space="0" w:color="auto"/>
        <w:bottom w:val="single" w:sz="4" w:space="0" w:color="auto"/>
        <w:right w:val="single" w:sz="4" w:space="0" w:color="auto"/>
      </w:pBdr>
      <w:spacing w:before="100" w:beforeLines="0" w:beforeAutospacing="1" w:after="100" w:afterLines="0" w:afterAutospacing="1"/>
      <w:jc w:val="center"/>
      <w:textAlignment w:val="center"/>
    </w:pPr>
    <w:rPr>
      <w:rFonts w:ascii="宋体" w:eastAsia="宋体" w:hAnsi="宋体" w:cs="Times New Roman"/>
      <w:kern w:val="0"/>
      <w:sz w:val="21"/>
    </w:rPr>
  </w:style>
  <w:style w:type="paragraph" w:customStyle="1" w:styleId="1Heading0SectionHeadPIM1H1h11stlevell11H1">
    <w:name w:val="样式 标题 1章标题Heading 0Section HeadPIM 1H1h11st levell11H1..."/>
    <w:basedOn w:val="Heading1"/>
    <w:pPr>
      <w:keepLines/>
      <w:pageBreakBefore/>
      <w:tabs>
        <w:tab w:val="left" w:pos="432"/>
        <w:tab w:val="clear" w:pos="3360"/>
      </w:tabs>
      <w:autoSpaceDE w:val="0"/>
      <w:autoSpaceDN w:val="0"/>
      <w:adjustRightInd w:val="0"/>
      <w:spacing w:before="340" w:beforeLines="0" w:beforeAutospacing="0" w:after="330" w:afterLines="0" w:afterAutospacing="0" w:line="578" w:lineRule="atLeast"/>
      <w:jc w:val="both"/>
      <w:textAlignment w:val="bottom"/>
    </w:pPr>
    <w:rPr>
      <w:rFonts w:ascii="宋体" w:eastAsia="宋体" w:hAnsi="宋体" w:cs="Times New Roman"/>
      <w:b/>
      <w:kern w:val="44"/>
      <w:sz w:val="36"/>
    </w:rPr>
  </w:style>
  <w:style w:type="paragraph" w:customStyle="1" w:styleId="a29">
    <w:name w:val="文章正文"/>
    <w:basedOn w:val="Normal"/>
    <w:pPr>
      <w:ind w:firstLine="560" w:firstLineChars="200"/>
    </w:pPr>
    <w:rPr>
      <w:rFonts w:ascii="仿宋_GB2312" w:eastAsia="仿宋_GB2312" w:hAnsi="宋体" w:cs="Times New Roman"/>
      <w:color w:val="000000"/>
    </w:rPr>
  </w:style>
  <w:style w:type="paragraph" w:customStyle="1" w:styleId="114">
    <w:name w:val="附录1"/>
    <w:basedOn w:val="Normal"/>
    <w:next w:val="Normal"/>
    <w:pPr>
      <w:tabs>
        <w:tab w:val="left" w:pos="1304"/>
      </w:tabs>
      <w:ind w:left="425" w:hanging="425"/>
      <w:outlineLvl w:val="0"/>
    </w:pPr>
    <w:rPr>
      <w:rFonts w:ascii="黑体" w:eastAsia="黑体" w:hAnsi="黑体" w:cs="Times New Roman"/>
      <w:b/>
      <w:sz w:val="44"/>
    </w:rPr>
  </w:style>
  <w:style w:type="paragraph" w:customStyle="1" w:styleId="a30">
    <w:name w:val="_"/>
    <w:basedOn w:val="Normal"/>
    <w:pPr>
      <w:adjustRightInd w:val="0"/>
      <w:spacing w:line="360" w:lineRule="auto"/>
      <w:ind w:left="480" w:firstLine="200" w:firstLineChars="200"/>
      <w:textAlignment w:val="baseline"/>
    </w:pPr>
    <w:rPr>
      <w:rFonts w:ascii="Times New Roman" w:eastAsia="宋体" w:hAnsi="Times New Roman" w:cs="Times New Roman"/>
      <w:kern w:val="0"/>
      <w:sz w:val="24"/>
    </w:rPr>
  </w:style>
  <w:style w:type="paragraph" w:customStyle="1" w:styleId="a31">
    <w:name w:val="缺省文本"/>
    <w:basedOn w:val="Normal"/>
    <w:pPr>
      <w:tabs>
        <w:tab w:val="left" w:pos="1260"/>
      </w:tabs>
      <w:autoSpaceDE w:val="0"/>
      <w:autoSpaceDN w:val="0"/>
      <w:adjustRightInd w:val="0"/>
      <w:spacing w:line="360" w:lineRule="auto"/>
      <w:jc w:val="left"/>
    </w:pPr>
    <w:rPr>
      <w:rFonts w:ascii="Times New Roman" w:eastAsia="宋体" w:hAnsi="Times New Roman" w:cs="Times New Roman"/>
      <w:kern w:val="0"/>
      <w:sz w:val="24"/>
    </w:rPr>
  </w:style>
  <w:style w:type="paragraph" w:customStyle="1" w:styleId="115">
    <w:name w:val="正文1"/>
    <w:basedOn w:val="Normal"/>
    <w:qFormat/>
    <w:pPr>
      <w:spacing w:line="300" w:lineRule="auto"/>
      <w:ind w:firstLine="200" w:firstLineChars="200"/>
    </w:pPr>
    <w:rPr>
      <w:rFonts w:ascii="Times New Roman" w:eastAsia="宋体" w:hAnsi="Times New Roman" w:cs="Times New Roman"/>
      <w:sz w:val="24"/>
    </w:rPr>
  </w:style>
  <w:style w:type="paragraph" w:customStyle="1" w:styleId="116">
    <w:name w:val="文本框样式1"/>
    <w:basedOn w:val="Normal"/>
    <w:pPr>
      <w:adjustRightInd w:val="0"/>
      <w:snapToGrid w:val="0"/>
      <w:spacing w:before="60" w:beforeLines="0" w:beforeAutospacing="0" w:line="180" w:lineRule="exact"/>
      <w:jc w:val="center"/>
    </w:pPr>
    <w:rPr>
      <w:rFonts w:ascii="Times New Roman" w:eastAsia="宋体" w:hAnsi="Times New Roman" w:cs="Times New Roman"/>
      <w:sz w:val="21"/>
    </w:rPr>
  </w:style>
  <w:style w:type="paragraph" w:customStyle="1" w:styleId="a32">
    <w:name w:val="样式 宋体 五号 行距: 单倍行距"/>
    <w:basedOn w:val="Normal"/>
    <w:pPr>
      <w:adjustRightInd w:val="0"/>
      <w:jc w:val="left"/>
    </w:pPr>
    <w:rPr>
      <w:rFonts w:ascii="宋体" w:eastAsia="宋体" w:hAnsi="宋体" w:cs="Times New Roman"/>
      <w:kern w:val="0"/>
      <w:sz w:val="21"/>
    </w:rPr>
  </w:style>
  <w:style w:type="paragraph" w:customStyle="1" w:styleId="CharCharChar0">
    <w:name w:val=" Char Char Char"/>
    <w:basedOn w:val="Normal"/>
    <w:rPr>
      <w:rFonts w:ascii="Tahoma" w:eastAsia="宋体" w:hAnsi="Tahoma" w:cs="Times New Roman"/>
      <w:sz w:val="24"/>
    </w:rPr>
  </w:style>
  <w:style w:type="paragraph" w:customStyle="1" w:styleId="a33">
    <w:name w:val="表格文本"/>
    <w:pPr>
      <w:tabs>
        <w:tab w:val="decimal" w:pos="0"/>
      </w:tabs>
    </w:pPr>
    <w:rPr>
      <w:rFonts w:ascii="Arial" w:hAnsi="Arial"/>
      <w:sz w:val="21"/>
      <w:lang w:val="en-US" w:eastAsia="zh-CN" w:bidi="ar-SA"/>
    </w:rPr>
  </w:style>
  <w:style w:type="paragraph" w:customStyle="1" w:styleId="20257">
    <w:name w:val="样式 样式 正文首行缩进 2 + 左  0 字符 + 首行缩进:  2.57 字符"/>
    <w:basedOn w:val="Normal"/>
    <w:next w:val="Normal"/>
    <w:pPr>
      <w:adjustRightInd w:val="0"/>
      <w:snapToGrid w:val="0"/>
      <w:spacing w:after="120" w:afterLines="0" w:afterAutospacing="0"/>
      <w:ind w:firstLine="540" w:firstLineChars="257"/>
    </w:pPr>
    <w:rPr>
      <w:rFonts w:ascii="Times New Roman" w:eastAsia="宋体" w:hAnsi="Times New Roman" w:cs="Times New Roman"/>
      <w:sz w:val="21"/>
    </w:rPr>
  </w:style>
  <w:style w:type="paragraph" w:customStyle="1" w:styleId="30">
    <w:name w:val="列表段落3"/>
    <w:basedOn w:val="Normal"/>
    <w:uiPriority w:val="34"/>
    <w:qFormat/>
    <w:pPr>
      <w:widowControl/>
      <w:ind w:firstLine="420" w:firstLineChars="200"/>
      <w:jc w:val="left"/>
    </w:pPr>
    <w:rPr>
      <w:rFonts w:ascii="Calibri" w:hAnsi="Calibri"/>
      <w:kern w:val="0"/>
      <w:sz w:val="21"/>
      <w:szCs w:val="22"/>
    </w:rPr>
  </w:style>
  <w:style w:type="paragraph" w:customStyle="1" w:styleId="style1">
    <w:name w:val="style1"/>
    <w:basedOn w:val="Normal"/>
    <w:pPr>
      <w:widowControl/>
      <w:spacing w:before="100" w:beforeLines="0" w:beforeAutospacing="1" w:after="100" w:afterLines="0" w:afterAutospacing="1"/>
      <w:jc w:val="left"/>
    </w:pPr>
    <w:rPr>
      <w:rFonts w:ascii="宋体" w:eastAsia="宋体" w:hAnsi="宋体" w:cs="Times New Roman"/>
      <w:kern w:val="0"/>
      <w:sz w:val="21"/>
    </w:rPr>
  </w:style>
  <w:style w:type="paragraph" w:customStyle="1" w:styleId="CharCharCharChar">
    <w:name w:val="文档正文 Char Char Char Char"/>
    <w:basedOn w:val="Normal"/>
    <w:pPr>
      <w:adjustRightInd w:val="0"/>
      <w:spacing w:line="440" w:lineRule="exact"/>
      <w:ind w:firstLine="420"/>
      <w:textAlignment w:val="baseline"/>
    </w:pPr>
    <w:rPr>
      <w:rFonts w:ascii="Arial Narrow" w:eastAsia="宋体" w:hAnsi="Arial Narrow" w:cs="Times New Roman"/>
      <w:kern w:val="0"/>
      <w:sz w:val="24"/>
    </w:rPr>
  </w:style>
  <w:style w:type="paragraph" w:styleId="Revision">
    <w:name w:val="Revision"/>
    <w:rPr>
      <w:kern w:val="2"/>
      <w:sz w:val="21"/>
      <w:lang w:val="en-US" w:eastAsia="zh-CN" w:bidi="ar-SA"/>
    </w:rPr>
  </w:style>
  <w:style w:type="paragraph" w:customStyle="1" w:styleId="27">
    <w:name w:val="附录2"/>
    <w:basedOn w:val="Normal"/>
    <w:next w:val="Normal"/>
    <w:pPr>
      <w:tabs>
        <w:tab w:val="left" w:pos="420"/>
        <w:tab w:val="left" w:pos="624"/>
      </w:tabs>
      <w:ind w:left="420" w:hanging="420"/>
      <w:outlineLvl w:val="1"/>
    </w:pPr>
    <w:rPr>
      <w:rFonts w:ascii="黑体" w:eastAsia="黑体" w:hAnsi="黑体" w:cs="Times New Roman"/>
      <w:b/>
      <w:sz w:val="32"/>
    </w:rPr>
  </w:style>
  <w:style w:type="paragraph" w:customStyle="1" w:styleId="CharChar10">
    <w:name w:val=" Char Char1"/>
    <w:basedOn w:val="Normal"/>
    <w:pPr>
      <w:widowControl/>
      <w:spacing w:after="160" w:afterLines="0" w:afterAutospacing="0" w:line="240" w:lineRule="exact"/>
      <w:jc w:val="left"/>
    </w:pPr>
    <w:rPr>
      <w:rFonts w:ascii="Verdana" w:eastAsia="宋体" w:hAnsi="Verdana" w:cs="Times New Roman"/>
      <w:kern w:val="0"/>
      <w:sz w:val="20"/>
      <w:lang w:eastAsia="en-US"/>
    </w:rPr>
  </w:style>
  <w:style w:type="paragraph" w:customStyle="1" w:styleId="p">
    <w:name w:val="p"/>
    <w:basedOn w:val="Normal"/>
    <w:pPr>
      <w:widowControl/>
      <w:spacing w:before="100" w:beforeAutospacing="1" w:after="100" w:afterAutospacing="1"/>
      <w:jc w:val="left"/>
    </w:pPr>
    <w:rPr>
      <w:rFonts w:ascii="宋体" w:eastAsia="宋体" w:hAnsi="宋体" w:cs="宋体"/>
      <w:kern w:val="0"/>
      <w:sz w:val="24"/>
      <w:szCs w:val="24"/>
    </w:rPr>
  </w:style>
  <w:style w:type="paragraph" w:customStyle="1" w:styleId="CharCharCharCharChar">
    <w:name w:val=" Char Char Char Char Char"/>
    <w:basedOn w:val="Normal"/>
    <w:pPr>
      <w:numPr>
        <w:ilvl w:val="0"/>
        <w:numId w:val="10"/>
      </w:numPr>
      <w:tabs>
        <w:tab w:val="left" w:pos="425"/>
      </w:tabs>
    </w:pPr>
    <w:rPr>
      <w:rFonts w:ascii="Tahoma" w:eastAsia="宋体" w:hAnsi="Tahoma" w:cs="Times New Roman"/>
      <w:sz w:val="24"/>
    </w:rPr>
  </w:style>
  <w:style w:type="paragraph" w:customStyle="1" w:styleId="xl40">
    <w:name w:val="xl40"/>
    <w:basedOn w:val="Normal"/>
    <w:qFormat/>
    <w:pPr>
      <w:widowControl/>
      <w:pBdr>
        <w:left w:val="single" w:sz="4" w:space="0" w:color="auto"/>
        <w:right w:val="single" w:sz="4" w:space="0" w:color="auto"/>
      </w:pBdr>
      <w:spacing w:before="100" w:beforeLines="0" w:beforeAutospacing="1" w:after="100" w:afterLines="0" w:afterAutospacing="1"/>
      <w:jc w:val="center"/>
    </w:pPr>
    <w:rPr>
      <w:rFonts w:ascii="宋体" w:eastAsia="宋体" w:hAnsi="宋体" w:cs="Times New Roman"/>
      <w:kern w:val="0"/>
      <w:sz w:val="24"/>
    </w:rPr>
  </w:style>
  <w:style w:type="paragraph" w:customStyle="1" w:styleId="CharCharCharCharChar0">
    <w:name w:val="文档正文 Char Char Char Char Char"/>
    <w:basedOn w:val="Normal"/>
    <w:pPr>
      <w:adjustRightInd w:val="0"/>
      <w:spacing w:line="440" w:lineRule="exact"/>
      <w:ind w:firstLine="420"/>
      <w:textAlignment w:val="baseline"/>
    </w:pPr>
    <w:rPr>
      <w:rFonts w:ascii="Arial Narrow" w:eastAsia="宋体" w:hAnsi="Arial Narrow" w:cs="Times New Roman"/>
      <w:kern w:val="0"/>
      <w:sz w:val="24"/>
    </w:rPr>
  </w:style>
  <w:style w:type="paragraph" w:customStyle="1" w:styleId="117">
    <w:name w:val="首行缩进 1"/>
    <w:basedOn w:val="Normal"/>
    <w:pPr>
      <w:spacing w:after="120" w:afterLines="0" w:afterAutospacing="0" w:line="360" w:lineRule="auto"/>
      <w:ind w:firstLine="200" w:firstLineChars="200"/>
    </w:pPr>
    <w:rPr>
      <w:rFonts w:ascii="Times New Roman" w:eastAsia="宋体" w:hAnsi="Times New Roman" w:cs="Times New Roman"/>
      <w:sz w:val="24"/>
    </w:rPr>
  </w:style>
  <w:style w:type="paragraph" w:customStyle="1" w:styleId="a34">
    <w:name w:val="编号正文"/>
    <w:basedOn w:val="a35"/>
    <w:pPr>
      <w:snapToGrid/>
      <w:spacing w:line="360" w:lineRule="auto"/>
      <w:ind w:left="1407" w:hanging="1047"/>
      <w:jc w:val="left"/>
    </w:pPr>
    <w:rPr>
      <w:rFonts w:ascii="Times New Roman" w:eastAsia="仿宋_GB2312" w:hAnsi="Times New Roman" w:cs="Times New Roman"/>
    </w:rPr>
  </w:style>
  <w:style w:type="paragraph" w:customStyle="1" w:styleId="a35">
    <w:name w:val="文档正文"/>
    <w:basedOn w:val="Normal"/>
    <w:pPr>
      <w:adjustRightInd w:val="0"/>
      <w:snapToGrid w:val="0"/>
      <w:spacing w:line="440" w:lineRule="exact"/>
      <w:ind w:firstLine="567"/>
      <w:textAlignment w:val="baseline"/>
    </w:pPr>
    <w:rPr>
      <w:rFonts w:ascii="Arial Narrow" w:eastAsia="宋体" w:hAnsi="Arial Narrow" w:cs="Times New Roman"/>
      <w:kern w:val="0"/>
      <w:sz w:val="24"/>
    </w:rPr>
  </w:style>
  <w:style w:type="paragraph" w:customStyle="1" w:styleId="BD">
    <w:name w:val="BD正文"/>
    <w:basedOn w:val="Normal"/>
    <w:qFormat/>
    <w:pPr>
      <w:snapToGrid w:val="0"/>
      <w:spacing w:line="300" w:lineRule="auto"/>
      <w:ind w:firstLine="480" w:firstLineChars="200"/>
    </w:pPr>
    <w:rPr>
      <w:rFonts w:eastAsia="仿宋_GB2312"/>
      <w:sz w:val="24"/>
      <w:szCs w:val="24"/>
    </w:rPr>
  </w:style>
  <w:style w:type="paragraph" w:customStyle="1" w:styleId="32">
    <w:name w:val="标题3——2"/>
    <w:basedOn w:val="Heading3"/>
    <w:next w:val="BodyTextFirstIndent"/>
    <w:pPr>
      <w:tabs>
        <w:tab w:val="left" w:pos="1280"/>
        <w:tab w:val="right" w:leader="dot" w:pos="8777"/>
      </w:tabs>
      <w:spacing w:before="312" w:beforeLines="100" w:beforeAutospacing="0" w:after="0" w:afterLines="0" w:afterAutospacing="0" w:line="240" w:lineRule="auto"/>
      <w:ind w:left="851" w:hanging="851"/>
      <w:jc w:val="both"/>
      <w:outlineLvl w:val="9"/>
    </w:pPr>
    <w:rPr>
      <w:rFonts w:ascii="黑体" w:eastAsia="黑体" w:hAnsi="宋体" w:cs="Times New Roman"/>
      <w:sz w:val="30"/>
    </w:rPr>
  </w:style>
  <w:style w:type="paragraph" w:customStyle="1" w:styleId="a36">
    <w:name w:val="表头文本"/>
    <w:pPr>
      <w:jc w:val="center"/>
    </w:pPr>
    <w:rPr>
      <w:rFonts w:ascii="Arial" w:hAnsi="Arial"/>
      <w:b/>
      <w:sz w:val="21"/>
      <w:lang w:val="en-US" w:eastAsia="zh-CN" w:bidi="ar-SA"/>
    </w:rPr>
  </w:style>
  <w:style w:type="paragraph" w:customStyle="1" w:styleId="Title-Date">
    <w:name w:val="Title - Date"/>
    <w:basedOn w:val="Title"/>
    <w:next w:val="Normal"/>
    <w:pPr>
      <w:spacing w:before="240" w:beforeLines="0" w:beforeAutospacing="0" w:after="720" w:afterLines="0" w:afterAutospacing="0"/>
    </w:pPr>
    <w:rPr>
      <w:rFonts w:ascii="Times New Roman" w:eastAsia="宋体" w:hAnsi="Times New Roman" w:cs="Times New Roman"/>
      <w:sz w:val="28"/>
    </w:rPr>
  </w:style>
  <w:style w:type="paragraph" w:customStyle="1" w:styleId="a37">
    <w:name w:val="正文表格"/>
    <w:basedOn w:val="Normal"/>
    <w:pPr>
      <w:adjustRightInd w:val="0"/>
      <w:spacing w:before="40" w:beforeLines="0" w:beforeAutospacing="0" w:after="40" w:afterLines="0" w:afterAutospacing="0"/>
    </w:pPr>
    <w:rPr>
      <w:rFonts w:ascii="Times New Roman" w:eastAsia="宋体" w:hAnsi="Times New Roman" w:cs="Times New Roman"/>
      <w:sz w:val="24"/>
    </w:rPr>
  </w:style>
  <w:style w:type="paragraph" w:customStyle="1" w:styleId="TableTextCharCharChar">
    <w:name w:val="Table Text Char Char Char"/>
    <w:pPr>
      <w:snapToGrid w:val="0"/>
      <w:spacing w:before="80" w:after="80"/>
    </w:pPr>
    <w:rPr>
      <w:rFonts w:ascii="Arial" w:hAnsi="Arial"/>
      <w:kern w:val="2"/>
      <w:sz w:val="18"/>
      <w:lang w:val="en-US" w:eastAsia="zh-CN" w:bidi="ar-SA"/>
    </w:rPr>
  </w:style>
  <w:style w:type="paragraph" w:customStyle="1" w:styleId="BodyTextIndent20">
    <w:name w:val="Body Text Indent 2"/>
    <w:basedOn w:val="Normal"/>
    <w:pPr>
      <w:adjustRightInd w:val="0"/>
      <w:spacing w:before="120" w:beforeLines="0" w:beforeAutospacing="0"/>
      <w:ind w:firstLine="420"/>
      <w:textAlignment w:val="baseline"/>
    </w:pPr>
    <w:rPr>
      <w:rFonts w:ascii="Times New Roman" w:eastAsia="宋体" w:hAnsi="Times New Roman" w:cs="Times New Roman"/>
      <w:sz w:val="24"/>
    </w:rPr>
  </w:style>
  <w:style w:type="paragraph" w:customStyle="1" w:styleId="220">
    <w:name w:val="样式 样式 首行缩进:  2 字符 + 首行缩进:  2 字符"/>
    <w:basedOn w:val="Normal"/>
    <w:pPr>
      <w:numPr>
        <w:ilvl w:val="0"/>
        <w:numId w:val="12"/>
      </w:numPr>
      <w:tabs>
        <w:tab w:val="clear" w:pos="1230"/>
      </w:tabs>
      <w:spacing w:line="360" w:lineRule="auto"/>
      <w:ind w:firstLine="480" w:firstLineChars="200"/>
    </w:pPr>
    <w:rPr>
      <w:rFonts w:ascii="Times New Roman" w:eastAsia="宋体" w:hAnsi="Times New Roman" w:cs="Times New Roman"/>
      <w:sz w:val="24"/>
    </w:rPr>
  </w:style>
  <w:style w:type="paragraph" w:customStyle="1" w:styleId="Style186">
    <w:name w:val="_Style 186"/>
    <w:basedOn w:val="Normal"/>
    <w:next w:val="ListParagraph"/>
    <w:uiPriority w:val="34"/>
    <w:qFormat/>
    <w:pPr>
      <w:ind w:firstLine="420" w:firstLineChars="200"/>
    </w:pPr>
    <w:rPr>
      <w:rFonts w:ascii="Calibri" w:eastAsia="宋体" w:hAnsi="Calibri" w:cs="Times New Roman"/>
      <w:sz w:val="21"/>
      <w:szCs w:val="22"/>
    </w:rPr>
  </w:style>
  <w:style w:type="paragraph" w:customStyle="1" w:styleId="605">
    <w:name w:val="样式 标题 6第五层条 + 三号 段前: 0.5 行"/>
    <w:basedOn w:val="Heading6"/>
    <w:pPr>
      <w:widowControl/>
      <w:numPr>
        <w:ilvl w:val="5"/>
        <w:numId w:val="0"/>
      </w:numPr>
      <w:tabs>
        <w:tab w:val="left" w:pos="1152"/>
      </w:tabs>
      <w:adjustRightInd/>
      <w:snapToGrid/>
      <w:spacing w:before="156" w:beforeLines="50" w:beforeAutospacing="0"/>
      <w:ind w:left="1152" w:hanging="1152"/>
      <w:jc w:val="left"/>
    </w:pPr>
    <w:rPr>
      <w:rFonts w:ascii="Times New Roman" w:eastAsia="宋体" w:hAnsi="Times New Roman" w:cs="Times New Roman"/>
      <w:snapToGrid w:val="0"/>
      <w:kern w:val="24"/>
      <w:sz w:val="28"/>
    </w:rPr>
  </w:style>
  <w:style w:type="paragraph" w:customStyle="1" w:styleId="1xz">
    <w:name w:val="样式1xz"/>
    <w:basedOn w:val="Normal"/>
    <w:pPr>
      <w:tabs>
        <w:tab w:val="left" w:pos="1050"/>
        <w:tab w:val="right" w:leader="dot" w:pos="8296"/>
      </w:tabs>
    </w:pPr>
    <w:rPr>
      <w:rFonts w:ascii="Times New Roman" w:eastAsia="宋体" w:hAnsi="Times New Roman" w:cs="Times New Roman"/>
      <w:caps/>
      <w:spacing w:val="20"/>
      <w:sz w:val="24"/>
    </w:rPr>
  </w:style>
  <w:style w:type="paragraph" w:customStyle="1" w:styleId="CharChar1Char">
    <w:name w:val=" Char Char1 Char"/>
    <w:basedOn w:val="Normal"/>
    <w:rPr>
      <w:rFonts w:ascii="Tahoma" w:eastAsia="宋体" w:hAnsi="Tahoma" w:cs="Times New Roman"/>
      <w:sz w:val="24"/>
      <w:szCs w:val="24"/>
    </w:rPr>
  </w:style>
  <w:style w:type="paragraph" w:customStyle="1" w:styleId="074">
    <w:name w:val="标书正文:  0.74 厘米"/>
    <w:basedOn w:val="Normal"/>
    <w:pPr>
      <w:snapToGrid w:val="0"/>
      <w:spacing w:line="360" w:lineRule="auto"/>
      <w:ind w:firstLine="420"/>
    </w:pPr>
    <w:rPr>
      <w:rFonts w:ascii="Times New Roman" w:eastAsia="宋体" w:hAnsi="Times New Roman" w:cs="Times New Roman"/>
      <w:kern w:val="2"/>
      <w:sz w:val="24"/>
      <w:lang w:val="en-US" w:eastAsia="zh-CN"/>
    </w:rPr>
  </w:style>
  <w:style w:type="paragraph" w:customStyle="1" w:styleId="221">
    <w:name w:val="样式 正文首行缩进 2 + 首行缩进:  2 字符"/>
    <w:basedOn w:val="Normal"/>
    <w:pPr>
      <w:numPr>
        <w:ilvl w:val="0"/>
        <w:numId w:val="13"/>
      </w:numPr>
      <w:tabs>
        <w:tab w:val="left" w:pos="987"/>
      </w:tabs>
      <w:adjustRightInd w:val="0"/>
      <w:snapToGrid w:val="0"/>
      <w:spacing w:line="360" w:lineRule="auto"/>
    </w:pPr>
    <w:rPr>
      <w:rFonts w:ascii="Arial" w:eastAsia="宋体" w:hAnsi="Arial" w:cs="Times New Roman"/>
      <w:b/>
      <w:sz w:val="24"/>
    </w:rPr>
  </w:style>
  <w:style w:type="paragraph" w:customStyle="1" w:styleId="xl53">
    <w:name w:val="xl53"/>
    <w:basedOn w:val="Normal"/>
    <w:pPr>
      <w:widowControl/>
      <w:pBdr>
        <w:left w:val="single" w:sz="4" w:space="0" w:color="auto"/>
        <w:bottom w:val="single" w:sz="4" w:space="0" w:color="auto"/>
      </w:pBdr>
      <w:spacing w:before="100" w:beforeLines="0" w:beforeAutospacing="1" w:after="100" w:afterLines="0" w:afterAutospacing="1"/>
      <w:jc w:val="center"/>
      <w:textAlignment w:val="center"/>
    </w:pPr>
    <w:rPr>
      <w:rFonts w:ascii="宋体" w:eastAsia="宋体" w:hAnsi="宋体" w:cs="Times New Roman"/>
      <w:kern w:val="0"/>
      <w:sz w:val="24"/>
    </w:rPr>
  </w:style>
  <w:style w:type="paragraph" w:customStyle="1" w:styleId="a38">
    <w:name w:val="操作步骤"/>
    <w:basedOn w:val="Normal"/>
    <w:pPr>
      <w:numPr>
        <w:ilvl w:val="0"/>
        <w:numId w:val="14"/>
      </w:numPr>
      <w:tabs>
        <w:tab w:val="left" w:pos="425"/>
      </w:tabs>
      <w:autoSpaceDE w:val="0"/>
      <w:autoSpaceDN w:val="0"/>
      <w:adjustRightInd w:val="0"/>
      <w:snapToGrid w:val="0"/>
      <w:spacing w:line="40" w:lineRule="atLeast"/>
      <w:textAlignment w:val="bottom"/>
    </w:pPr>
    <w:rPr>
      <w:rFonts w:ascii="昆仑楷体" w:eastAsia="楷体_GB2312" w:hAnsi="Times New Roman" w:cs="Times New Roman"/>
      <w:kern w:val="0"/>
      <w:sz w:val="21"/>
    </w:rPr>
  </w:style>
  <w:style w:type="paragraph" w:customStyle="1" w:styleId="a39">
    <w:name w:val="普通正文"/>
    <w:basedOn w:val="Normal"/>
    <w:pPr>
      <w:adjustRightInd w:val="0"/>
      <w:spacing w:before="120" w:beforeLines="0" w:beforeAutospacing="0" w:after="120" w:afterLines="0" w:afterAutospacing="0" w:line="360" w:lineRule="auto"/>
      <w:ind w:firstLine="480"/>
      <w:jc w:val="left"/>
      <w:textAlignment w:val="baseline"/>
    </w:pPr>
    <w:rPr>
      <w:rFonts w:ascii="Arial" w:eastAsia="宋体" w:hAnsi="Arial" w:cs="Times New Roman"/>
      <w:kern w:val="0"/>
      <w:sz w:val="24"/>
    </w:rPr>
  </w:style>
  <w:style w:type="paragraph" w:customStyle="1" w:styleId="a40">
    <w:name w:val="项目"/>
    <w:basedOn w:val="Normal"/>
    <w:pPr>
      <w:tabs>
        <w:tab w:val="left" w:pos="1280"/>
      </w:tabs>
      <w:spacing w:before="120" w:beforeLines="0" w:beforeAutospacing="0" w:after="120" w:afterLines="0" w:afterAutospacing="0" w:line="360" w:lineRule="auto"/>
      <w:ind w:left="-7" w:firstLine="567"/>
      <w:jc w:val="left"/>
      <w:textAlignment w:val="baseline"/>
    </w:pPr>
    <w:rPr>
      <w:rFonts w:ascii="宋体" w:eastAsia="宋体" w:hAnsi="Times New Roman" w:cs="Times New Roman"/>
      <w:kern w:val="0"/>
      <w:sz w:val="24"/>
    </w:rPr>
  </w:style>
  <w:style w:type="paragraph" w:customStyle="1" w:styleId="Char1CharCharChar">
    <w:name w:val="Char1 Char Char Char"/>
    <w:basedOn w:val="Normal"/>
    <w:rPr>
      <w:rFonts w:ascii="Tahoma" w:eastAsia="宋体" w:hAnsi="Tahoma" w:cs="Times New Roman"/>
      <w:sz w:val="21"/>
    </w:rPr>
  </w:style>
  <w:style w:type="paragraph" w:customStyle="1" w:styleId="33">
    <w:name w:val="样式3"/>
    <w:basedOn w:val="Heading1"/>
    <w:next w:val="Heading1"/>
    <w:pPr>
      <w:keepLines/>
      <w:tabs>
        <w:tab w:val="clear" w:pos="3360"/>
      </w:tabs>
      <w:adjustRightInd w:val="0"/>
      <w:spacing w:before="340" w:beforeLines="0" w:beforeAutospacing="0" w:after="330" w:afterLines="0" w:afterAutospacing="0" w:line="576" w:lineRule="auto"/>
      <w:jc w:val="both"/>
    </w:pPr>
    <w:rPr>
      <w:rFonts w:ascii="Times New Roman" w:eastAsia="宋体" w:hAnsi="Times New Roman" w:cs="Times New Roman"/>
      <w:b/>
      <w:kern w:val="44"/>
    </w:rPr>
  </w:style>
  <w:style w:type="paragraph" w:customStyle="1" w:styleId="reader-word-layer">
    <w:name w:val="reader-word-layer"/>
    <w:basedOn w:val="Normal"/>
    <w:qFormat/>
    <w:pPr>
      <w:widowControl/>
      <w:spacing w:before="100" w:beforeAutospacing="1" w:after="100" w:afterAutospacing="1"/>
      <w:jc w:val="left"/>
    </w:pPr>
    <w:rPr>
      <w:rFonts w:ascii="宋体" w:eastAsia="宋体" w:hAnsi="宋体" w:cs="宋体"/>
      <w:kern w:val="0"/>
      <w:sz w:val="24"/>
      <w:szCs w:val="24"/>
    </w:rPr>
  </w:style>
  <w:style w:type="paragraph" w:customStyle="1" w:styleId="ItemList">
    <w:name w:val="Item List"/>
    <w:pPr>
      <w:numPr>
        <w:ilvl w:val="0"/>
        <w:numId w:val="15"/>
      </w:numPr>
      <w:tabs>
        <w:tab w:val="left" w:pos="1644"/>
      </w:tabs>
      <w:spacing w:line="300" w:lineRule="auto"/>
      <w:jc w:val="both"/>
    </w:pPr>
    <w:rPr>
      <w:rFonts w:ascii="Arial" w:hAnsi="Arial"/>
      <w:sz w:val="21"/>
      <w:lang w:val="en-US" w:eastAsia="zh-CN" w:bidi="ar-SA"/>
    </w:rPr>
  </w:style>
  <w:style w:type="paragraph" w:customStyle="1" w:styleId="ParaCharCharCharCharCharCharCharCharChar1CharCharCharChar">
    <w:name w:val="默认段落字体 Para Char Char Char Char Char Char Char Char Char1 Char Char Char Char"/>
    <w:basedOn w:val="Normal"/>
    <w:rPr>
      <w:rFonts w:ascii="Tahoma" w:eastAsia="宋体" w:hAnsi="Tahoma" w:cs="Times New Roman"/>
      <w:sz w:val="24"/>
    </w:rPr>
  </w:style>
  <w:style w:type="paragraph" w:customStyle="1" w:styleId="p0">
    <w:name w:val="p0"/>
    <w:basedOn w:val="Normal"/>
    <w:pPr>
      <w:widowControl/>
    </w:pPr>
    <w:rPr>
      <w:rFonts w:ascii="Times New Roman" w:eastAsia="宋体" w:hAnsi="Times New Roman" w:cs="Times New Roman"/>
      <w:kern w:val="0"/>
      <w:sz w:val="21"/>
      <w:szCs w:val="21"/>
    </w:rPr>
  </w:style>
  <w:style w:type="paragraph" w:customStyle="1" w:styleId="a41">
    <w:name w:val="标准正文"/>
    <w:basedOn w:val="BodyTextIndent"/>
    <w:pPr>
      <w:spacing w:before="60" w:beforeLines="0" w:beforeAutospacing="0" w:after="60" w:afterLines="0" w:afterAutospacing="0" w:line="360" w:lineRule="auto"/>
      <w:ind w:left="0" w:firstLine="482"/>
    </w:pPr>
    <w:rPr>
      <w:rFonts w:ascii="Arial" w:eastAsia="宋体" w:hAnsi="Arial" w:cs="Times New Roman"/>
      <w:sz w:val="24"/>
    </w:rPr>
  </w:style>
  <w:style w:type="paragraph" w:customStyle="1" w:styleId="ItemStepinTable">
    <w:name w:val="Item Step in Table"/>
    <w:pPr>
      <w:numPr>
        <w:ilvl w:val="0"/>
        <w:numId w:val="16"/>
      </w:numPr>
      <w:tabs>
        <w:tab w:val="left" w:pos="397"/>
      </w:tabs>
      <w:spacing w:before="40" w:after="40"/>
      <w:jc w:val="both"/>
    </w:pPr>
    <w:rPr>
      <w:rFonts w:ascii="Arial" w:hAnsi="Arial"/>
      <w:sz w:val="18"/>
      <w:lang w:val="en-US" w:eastAsia="zh-CN" w:bidi="ar-SA"/>
    </w:rPr>
  </w:style>
  <w:style w:type="paragraph" w:customStyle="1" w:styleId="118">
    <w:name w:val="列表段落1"/>
    <w:basedOn w:val="Normal"/>
    <w:uiPriority w:val="34"/>
    <w:qFormat/>
    <w:pPr>
      <w:widowControl/>
      <w:spacing w:after="180"/>
      <w:ind w:left="720" w:hanging="288"/>
      <w:contextualSpacing/>
      <w:jc w:val="left"/>
    </w:pPr>
    <w:rPr>
      <w:rFonts w:ascii="Calibri" w:hAnsi="Calibri"/>
      <w:color w:val="44546A"/>
      <w:kern w:val="0"/>
      <w:sz w:val="24"/>
      <w:szCs w:val="22"/>
    </w:rPr>
  </w:style>
  <w:style w:type="paragraph" w:customStyle="1" w:styleId="a42">
    <w:name w:val="可研正文"/>
    <w:basedOn w:val="BodyText"/>
    <w:pPr>
      <w:adjustRightInd w:val="0"/>
      <w:snapToGrid w:val="0"/>
      <w:spacing w:line="440" w:lineRule="exact"/>
      <w:ind w:firstLine="567"/>
    </w:pPr>
    <w:rPr>
      <w:rFonts w:ascii="Times New Roman" w:eastAsia="宋体" w:hAnsi="Times New Roman" w:cs="Times New Roman"/>
      <w:sz w:val="28"/>
    </w:rPr>
  </w:style>
  <w:style w:type="paragraph" w:customStyle="1" w:styleId="a43">
    <w:name w:val="简单回函地址"/>
    <w:basedOn w:val="Normal"/>
    <w:pPr>
      <w:adjustRightInd w:val="0"/>
      <w:snapToGrid w:val="0"/>
      <w:spacing w:line="360" w:lineRule="auto"/>
    </w:pPr>
    <w:rPr>
      <w:rFonts w:ascii="Times New Roman" w:eastAsia="宋体" w:hAnsi="Times New Roman" w:cs="Times New Roman"/>
      <w:sz w:val="24"/>
    </w:rPr>
  </w:style>
  <w:style w:type="paragraph" w:customStyle="1" w:styleId="Char9">
    <w:name w:val="Char"/>
    <w:basedOn w:val="Normal"/>
    <w:pPr>
      <w:widowControl/>
      <w:spacing w:line="400" w:lineRule="exact"/>
      <w:jc w:val="center"/>
    </w:pPr>
    <w:rPr>
      <w:rFonts w:ascii="Times New Roman" w:eastAsia="宋体" w:hAnsi="Times New Roman" w:cs="Times New Roman"/>
      <w:sz w:val="24"/>
    </w:rPr>
  </w:style>
  <w:style w:type="paragraph" w:customStyle="1" w:styleId="a44">
    <w:name w:val="首行缩进"/>
    <w:basedOn w:val="Normal"/>
    <w:pPr>
      <w:spacing w:line="360" w:lineRule="auto"/>
      <w:ind w:firstLine="420" w:firstLineChars="200"/>
    </w:pPr>
    <w:rPr>
      <w:rFonts w:ascii="Times New Roman" w:eastAsia="宋体" w:hAnsi="Times New Roman" w:cs="Times New Roman"/>
      <w:sz w:val="21"/>
    </w:rPr>
  </w:style>
  <w:style w:type="paragraph" w:customStyle="1" w:styleId="content">
    <w:name w:val="content"/>
    <w:basedOn w:val="Normal"/>
    <w:pPr>
      <w:widowControl/>
      <w:spacing w:before="100" w:beforeLines="0" w:beforeAutospacing="1" w:after="100" w:afterLines="0" w:afterAutospacing="1" w:line="280" w:lineRule="atLeast"/>
      <w:ind w:firstLine="375"/>
      <w:jc w:val="left"/>
    </w:pPr>
    <w:rPr>
      <w:rFonts w:ascii="宋体" w:eastAsia="宋体" w:hAnsi="宋体" w:cs="Times New Roman"/>
      <w:color w:val="000000"/>
      <w:kern w:val="0"/>
      <w:sz w:val="18"/>
    </w:rPr>
  </w:style>
  <w:style w:type="paragraph" w:customStyle="1" w:styleId="a45">
    <w:name w:val="摘要"/>
    <w:basedOn w:val="Normal"/>
    <w:next w:val="Heading2"/>
    <w:pPr>
      <w:spacing w:line="360" w:lineRule="auto"/>
    </w:pPr>
    <w:rPr>
      <w:rFonts w:ascii="Times New Roman" w:eastAsia="黑体" w:hAnsi="Times New Roman" w:cs="Times New Roman"/>
      <w:sz w:val="20"/>
    </w:rPr>
  </w:style>
  <w:style w:type="paragraph" w:customStyle="1" w:styleId="34">
    <w:name w:val="附录3"/>
    <w:basedOn w:val="Normal"/>
    <w:next w:val="Normal"/>
    <w:pPr>
      <w:numPr>
        <w:ilvl w:val="2"/>
        <w:numId w:val="0"/>
      </w:numPr>
      <w:tabs>
        <w:tab w:val="left" w:pos="851"/>
      </w:tabs>
      <w:ind w:left="425" w:hanging="425"/>
      <w:outlineLvl w:val="2"/>
    </w:pPr>
    <w:rPr>
      <w:rFonts w:ascii="Times New Roman" w:eastAsia="黑体" w:hAnsi="Times New Roman" w:cs="Times New Roman"/>
      <w:b/>
      <w:sz w:val="32"/>
    </w:rPr>
  </w:style>
  <w:style w:type="paragraph" w:customStyle="1" w:styleId="151">
    <w:name w:val="样式 行距: 1.5 倍行距1"/>
    <w:basedOn w:val="Normal"/>
    <w:pPr>
      <w:snapToGrid w:val="0"/>
    </w:pPr>
    <w:rPr>
      <w:rFonts w:ascii="Times New Roman" w:eastAsia="宋体" w:hAnsi="Times New Roman" w:cs="Times New Roman"/>
      <w:sz w:val="21"/>
    </w:rPr>
  </w:style>
  <w:style w:type="paragraph" w:customStyle="1" w:styleId="TableTextChar1">
    <w:name w:val="Table Text Char1"/>
    <w:pPr>
      <w:snapToGrid w:val="0"/>
      <w:spacing w:before="80" w:after="80"/>
    </w:pPr>
    <w:rPr>
      <w:rFonts w:ascii="Arial" w:hAnsi="Arial"/>
      <w:kern w:val="2"/>
      <w:sz w:val="18"/>
      <w:lang w:val="en-US" w:eastAsia="zh-CN" w:bidi="ar-SA"/>
    </w:rPr>
  </w:style>
  <w:style w:type="paragraph" w:customStyle="1" w:styleId="CharCharCharChar0">
    <w:name w:val="Char Char Char Char"/>
    <w:basedOn w:val="Normal"/>
    <w:pPr>
      <w:pageBreakBefore/>
      <w:widowControl/>
      <w:spacing w:after="160" w:afterLines="0" w:line="240" w:lineRule="exact"/>
      <w:jc w:val="left"/>
    </w:pPr>
    <w:rPr>
      <w:rFonts w:ascii="Verdana" w:eastAsia="宋体" w:hAnsi="Verdana" w:cs="Times New Roman"/>
      <w:kern w:val="0"/>
      <w:sz w:val="20"/>
      <w:lang w:eastAsia="en-US"/>
    </w:rPr>
  </w:style>
  <w:style w:type="paragraph" w:customStyle="1" w:styleId="PullQuote">
    <w:name w:val="Pull Quote"/>
    <w:basedOn w:val="Normal"/>
    <w:pPr>
      <w:pBdr>
        <w:top w:val="single" w:sz="18" w:space="12" w:color="auto"/>
        <w:left w:val="single" w:sz="6" w:space="12" w:color="FFFFFF"/>
        <w:bottom w:val="single" w:sz="6" w:space="12" w:color="auto"/>
        <w:right w:val="single" w:sz="6" w:space="12" w:color="FFFFFF"/>
      </w:pBdr>
      <w:shd w:val="pct10" w:color="auto" w:fill="auto"/>
      <w:spacing w:before="120" w:beforeLines="0" w:beforeAutospacing="0" w:after="240" w:afterLines="0" w:afterAutospacing="0" w:line="288" w:lineRule="auto"/>
      <w:ind w:left="144" w:right="144"/>
      <w:jc w:val="center"/>
    </w:pPr>
    <w:rPr>
      <w:rFonts w:ascii="Times New Roman" w:eastAsia="宋体" w:hAnsi="Times New Roman" w:cs="Times New Roman"/>
      <w:b/>
      <w:i/>
      <w:sz w:val="24"/>
    </w:rPr>
  </w:style>
  <w:style w:type="paragraph" w:customStyle="1" w:styleId="0740">
    <w:name w:val="样式 首行缩进:  0.74 厘米"/>
    <w:basedOn w:val="Normal"/>
    <w:pPr>
      <w:spacing w:line="360" w:lineRule="auto"/>
      <w:ind w:firstLine="420"/>
    </w:pPr>
    <w:rPr>
      <w:rFonts w:ascii="Times New Roman" w:eastAsia="宋体" w:hAnsi="Times New Roman" w:cs="Times New Roman"/>
      <w:sz w:val="24"/>
    </w:rPr>
  </w:style>
  <w:style w:type="paragraph" w:customStyle="1" w:styleId="a46">
    <w:name w:val="图标"/>
    <w:basedOn w:val="Normal"/>
    <w:next w:val="Normal"/>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ascii="Times New Roman" w:eastAsia="仿宋_GB2312" w:hAnsi="Times New Roman" w:cs="Times New Roman"/>
      <w:kern w:val="0"/>
      <w:sz w:val="24"/>
    </w:rPr>
  </w:style>
  <w:style w:type="paragraph" w:customStyle="1" w:styleId="43">
    <w:name w:val="样式4"/>
    <w:basedOn w:val="Heading4"/>
    <w:pPr>
      <w:numPr>
        <w:ilvl w:val="0"/>
        <w:numId w:val="0"/>
      </w:numPr>
      <w:tabs>
        <w:tab w:val="left" w:pos="720"/>
      </w:tabs>
      <w:adjustRightInd w:val="0"/>
      <w:snapToGrid w:val="0"/>
      <w:spacing w:before="280" w:beforeLines="0" w:beforeAutospacing="0" w:line="372" w:lineRule="auto"/>
    </w:pPr>
    <w:rPr>
      <w:rFonts w:ascii="Times New Roman" w:eastAsia="宋体" w:hAnsi="Times New Roman" w:cs="Times New Roman"/>
    </w:rPr>
  </w:style>
  <w:style w:type="paragraph" w:customStyle="1" w:styleId="a47">
    <w:name w:val="二级列表"/>
    <w:basedOn w:val="a48"/>
    <w:next w:val="a48"/>
    <w:pPr>
      <w:tabs>
        <w:tab w:val="left" w:pos="2120"/>
      </w:tabs>
      <w:ind w:firstLine="0" w:firstLineChars="0"/>
    </w:pPr>
    <w:rPr>
      <w:rFonts w:ascii="Times New Roman" w:eastAsia="宋体" w:hAnsi="Times New Roman" w:cs="Times New Roman"/>
      <w:b/>
    </w:rPr>
  </w:style>
  <w:style w:type="paragraph" w:customStyle="1" w:styleId="a48">
    <w:name w:val="段落正文"/>
    <w:basedOn w:val="Normal"/>
    <w:pPr>
      <w:spacing w:before="156" w:beforeLines="50" w:beforeAutospacing="0" w:line="360" w:lineRule="auto"/>
      <w:ind w:firstLine="200" w:firstLineChars="200"/>
    </w:pPr>
    <w:rPr>
      <w:rFonts w:ascii="Times New Roman" w:eastAsia="宋体" w:hAnsi="Times New Roman" w:cs="Times New Roman"/>
      <w:spacing w:val="2"/>
      <w:sz w:val="24"/>
    </w:rPr>
  </w:style>
  <w:style w:type="paragraph" w:customStyle="1" w:styleId="119">
    <w:name w:val="小标题 1"/>
    <w:basedOn w:val="Normal"/>
    <w:pPr>
      <w:autoSpaceDE w:val="0"/>
      <w:autoSpaceDN w:val="0"/>
      <w:adjustRightInd w:val="0"/>
      <w:spacing w:line="360" w:lineRule="atLeast"/>
    </w:pPr>
    <w:rPr>
      <w:rFonts w:ascii="文鼎粗黑" w:eastAsia="文鼎粗黑" w:hAnsi="Times New Roman" w:cs="Times New Roman"/>
      <w:kern w:val="0"/>
      <w:sz w:val="22"/>
    </w:rPr>
  </w:style>
  <w:style w:type="paragraph" w:customStyle="1" w:styleId="a49">
    <w:name w:val="关键词"/>
    <w:basedOn w:val="Normal"/>
    <w:next w:val="Normal"/>
    <w:pPr>
      <w:spacing w:line="360" w:lineRule="auto"/>
    </w:pPr>
    <w:rPr>
      <w:rFonts w:ascii="Times New Roman" w:eastAsia="黑体" w:hAnsi="Times New Roman" w:cs="Times New Roman"/>
      <w:sz w:val="20"/>
    </w:rPr>
  </w:style>
  <w:style w:type="paragraph" w:customStyle="1" w:styleId="bt">
    <w:name w:val="bt"/>
    <w:basedOn w:val="Normal"/>
    <w:next w:val="BodyText"/>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eastAsia="宋体" w:hAnsi="Times New Roman" w:cs="Times New Roman"/>
      <w:kern w:val="0"/>
      <w:sz w:val="20"/>
    </w:rPr>
  </w:style>
  <w:style w:type="paragraph" w:customStyle="1" w:styleId="Style10">
    <w:name w:val="_Style 1"/>
    <w:basedOn w:val="Normal"/>
    <w:qFormat/>
    <w:pPr>
      <w:ind w:firstLine="420" w:firstLineChars="200"/>
    </w:pPr>
  </w:style>
  <w:style w:type="paragraph" w:customStyle="1" w:styleId="a50">
    <w:name w:val="样式 宋体 五号 两端对齐 行距: 单倍行距"/>
    <w:basedOn w:val="Normal"/>
    <w:pPr>
      <w:adjustRightInd w:val="0"/>
      <w:textAlignment w:val="baseline"/>
    </w:pPr>
    <w:rPr>
      <w:rFonts w:ascii="宋体" w:eastAsia="宋体" w:hAnsi="宋体" w:cs="Times New Roman"/>
      <w:kern w:val="0"/>
      <w:sz w:val="21"/>
    </w:rPr>
  </w:style>
  <w:style w:type="paragraph" w:customStyle="1" w:styleId="CharChar11CharCharCharCharCharCharCharCharCharCharCharCharCharCharChar">
    <w:name w:val="Char Char11 Char Char Char Char Char Char Char Char Char Char Char Char Char Char Char"/>
    <w:basedOn w:val="Normal"/>
    <w:pPr>
      <w:widowControl/>
      <w:snapToGrid w:val="0"/>
      <w:spacing w:line="360" w:lineRule="auto"/>
      <w:jc w:val="left"/>
    </w:pPr>
    <w:rPr>
      <w:rFonts w:ascii="Arial" w:eastAsia="黑体" w:hAnsi="Arial" w:cs="Courier New"/>
      <w:snapToGrid w:val="0"/>
      <w:color w:val="000000"/>
      <w:kern w:val="0"/>
      <w:sz w:val="20"/>
      <w:szCs w:val="21"/>
    </w:rPr>
  </w:style>
  <w:style w:type="paragraph" w:customStyle="1" w:styleId="a51">
    <w:name w:val="图片文字"/>
    <w:basedOn w:val="Normal"/>
    <w:pPr>
      <w:spacing w:line="240" w:lineRule="atLeast"/>
      <w:jc w:val="center"/>
    </w:pPr>
    <w:rPr>
      <w:rFonts w:ascii="Times New Roman" w:eastAsia="宋体" w:hAnsi="Times New Roman" w:cs="Times New Roman"/>
      <w:sz w:val="21"/>
    </w:rPr>
  </w:style>
  <w:style w:type="paragraph" w:customStyle="1" w:styleId="CharChar1CharCharCharCharCharCharCharChar">
    <w:name w:val="Char Char1 Char Char Char Char Char Char Char Char"/>
    <w:basedOn w:val="Normal"/>
    <w:pPr>
      <w:widowControl/>
      <w:spacing w:after="160" w:afterLines="0" w:line="240" w:lineRule="exact"/>
      <w:jc w:val="left"/>
    </w:pPr>
    <w:rPr>
      <w:rFonts w:ascii="Verdana" w:eastAsia="宋体" w:hAnsi="Verdana" w:cs="Times New Roman"/>
      <w:kern w:val="0"/>
      <w:sz w:val="20"/>
      <w:lang w:eastAsia="en-US"/>
    </w:rPr>
  </w:style>
  <w:style w:type="paragraph" w:customStyle="1" w:styleId="16615">
    <w:name w:val="样式 标题 1 + 居中 段前: 6 磅 段后: 6 磅 行距: 1.5 倍行距"/>
    <w:basedOn w:val="Heading1"/>
    <w:pPr>
      <w:keepLines/>
      <w:tabs>
        <w:tab w:val="clear" w:pos="3360"/>
      </w:tabs>
      <w:adjustRightInd w:val="0"/>
      <w:spacing w:before="120" w:beforeLines="0" w:beforeAutospacing="0" w:line="360" w:lineRule="auto"/>
    </w:pPr>
    <w:rPr>
      <w:rFonts w:ascii="Times New Roman" w:eastAsia="宋体" w:hAnsi="Times New Roman" w:cs="Times New Roman"/>
      <w:b/>
      <w:kern w:val="44"/>
      <w:sz w:val="32"/>
    </w:rPr>
  </w:style>
  <w:style w:type="paragraph" w:customStyle="1" w:styleId="0">
    <w:name w:val="正文_0"/>
    <w:qFormat/>
    <w:pPr>
      <w:widowControl w:val="0"/>
      <w:jc w:val="both"/>
    </w:pPr>
    <w:rPr>
      <w:rFonts w:ascii="Calibri" w:hAnsi="Calibri"/>
      <w:kern w:val="2"/>
      <w:sz w:val="21"/>
      <w:szCs w:val="22"/>
      <w:lang w:val="en-US" w:eastAsia="zh-CN" w:bidi="ar-SA"/>
    </w:rPr>
  </w:style>
  <w:style w:type="paragraph" w:customStyle="1" w:styleId="a52">
    <w:name w:val="表号"/>
    <w:basedOn w:val="Normal"/>
    <w:pPr>
      <w:numPr>
        <w:ilvl w:val="0"/>
        <w:numId w:val="17"/>
      </w:numPr>
      <w:tabs>
        <w:tab w:val="clear" w:pos="360"/>
        <w:tab w:val="left" w:pos="648"/>
      </w:tabs>
      <w:autoSpaceDE w:val="0"/>
      <w:autoSpaceDN w:val="0"/>
      <w:adjustRightInd w:val="0"/>
      <w:spacing w:before="210" w:after="210"/>
      <w:ind w:left="425" w:hanging="137"/>
      <w:jc w:val="center"/>
    </w:pPr>
    <w:rPr>
      <w:rFonts w:ascii="Times New Roman" w:eastAsia="宋体" w:hAnsi="Times New Roman" w:cs="Times New Roman"/>
      <w:kern w:val="0"/>
      <w:sz w:val="21"/>
      <w:lang w:eastAsia="en-US"/>
    </w:rPr>
  </w:style>
  <w:style w:type="paragraph" w:customStyle="1" w:styleId="Default">
    <w:name w:val="Default"/>
    <w:qFormat/>
    <w:pPr>
      <w:widowControl w:val="0"/>
      <w:autoSpaceDE w:val="0"/>
      <w:autoSpaceDN w:val="0"/>
      <w:adjustRightInd w:val="0"/>
    </w:pPr>
    <w:rPr>
      <w:rFonts w:ascii="宋体" w:hAnsi="宋体" w:cs="宋体"/>
      <w:color w:val="000000"/>
      <w:sz w:val="24"/>
      <w:szCs w:val="24"/>
      <w:lang w:val="en-US" w:eastAsia="zh-CN" w:bidi="ar-SA"/>
    </w:rPr>
  </w:style>
  <w:style w:type="paragraph" w:customStyle="1" w:styleId="412">
    <w:name w:val="样式 正文缩进正文（首行缩进两字）表正文正文非缩进特点标题4段1 + 首行缩进:  2 字符"/>
    <w:basedOn w:val="NormalIndent"/>
    <w:pPr>
      <w:ind w:firstLine="480" w:firstLineChars="200"/>
    </w:pPr>
    <w:rPr>
      <w:rFonts w:ascii="Times New Roman" w:eastAsia="宋体" w:hAnsi="Times New Roman" w:cs="Times New Roman"/>
    </w:rPr>
  </w:style>
  <w:style w:type="paragraph" w:customStyle="1" w:styleId="28">
    <w:name w:val="列出段落2"/>
    <w:basedOn w:val="Normal"/>
    <w:uiPriority w:val="34"/>
    <w:qFormat/>
    <w:pPr>
      <w:ind w:firstLine="420" w:firstLineChars="200"/>
    </w:pPr>
    <w:rPr>
      <w:rFonts w:ascii="Times New Roman" w:eastAsia="宋体" w:hAnsi="Times New Roman" w:cs="Times New Roman"/>
      <w:sz w:val="21"/>
      <w:szCs w:val="24"/>
    </w:rPr>
  </w:style>
  <w:style w:type="paragraph" w:customStyle="1" w:styleId="120">
    <w:name w:val="文本1"/>
    <w:basedOn w:val="Normal"/>
    <w:pPr>
      <w:adjustRightInd w:val="0"/>
      <w:spacing w:line="312" w:lineRule="atLeast"/>
      <w:jc w:val="center"/>
      <w:textAlignment w:val="baseline"/>
    </w:pPr>
    <w:rPr>
      <w:rFonts w:ascii="Times New Roman" w:eastAsia="宋体" w:hAnsi="Times New Roman" w:cs="Times New Roman"/>
      <w:kern w:val="0"/>
      <w:sz w:val="18"/>
    </w:rPr>
  </w:style>
  <w:style w:type="paragraph" w:customStyle="1" w:styleId="Char14">
    <w:name w:val=" Char"/>
    <w:basedOn w:val="Normal"/>
    <w:pPr>
      <w:spacing w:line="240" w:lineRule="atLeast"/>
      <w:ind w:left="420" w:firstLine="420"/>
    </w:pPr>
    <w:rPr>
      <w:rFonts w:ascii="Times New Roman" w:eastAsia="宋体" w:hAnsi="Times New Roman" w:cs="Times New Roman"/>
      <w:kern w:val="0"/>
      <w:sz w:val="21"/>
    </w:rPr>
  </w:style>
  <w:style w:type="paragraph" w:customStyle="1" w:styleId="ItemStep">
    <w:name w:val="Item Step"/>
    <w:pPr>
      <w:tabs>
        <w:tab w:val="left" w:pos="1644"/>
      </w:tabs>
      <w:ind w:left="1644" w:hanging="510"/>
      <w:outlineLvl w:val="4"/>
    </w:pPr>
    <w:rPr>
      <w:rFonts w:ascii="Arial" w:hAnsi="Arial"/>
      <w:sz w:val="21"/>
      <w:lang w:val="en-US" w:eastAsia="zh-CN" w:bidi="ar-SA"/>
    </w:rPr>
  </w:style>
  <w:style w:type="paragraph" w:customStyle="1" w:styleId="TableDescription">
    <w:name w:val="Table Description"/>
    <w:next w:val="Normal"/>
    <w:pPr>
      <w:keepNext/>
      <w:snapToGrid w:val="0"/>
      <w:spacing w:before="160" w:after="80"/>
      <w:ind w:left="1134"/>
      <w:jc w:val="center"/>
    </w:pPr>
    <w:rPr>
      <w:rFonts w:ascii="Arial" w:eastAsia="黑体" w:hAnsi="Arial"/>
      <w:sz w:val="18"/>
      <w:lang w:val="en-US" w:eastAsia="zh-CN" w:bidi="ar-SA"/>
    </w:rPr>
  </w:style>
  <w:style w:type="paragraph" w:customStyle="1" w:styleId="a53">
    <w:name w:val="标题无"/>
    <w:basedOn w:val="Normal"/>
    <w:pPr>
      <w:spacing w:line="360" w:lineRule="auto"/>
    </w:pPr>
    <w:rPr>
      <w:rFonts w:ascii="Times New Roman" w:eastAsia="宋体" w:hAnsi="Times New Roman" w:cs="Times New Roman"/>
      <w:sz w:val="24"/>
    </w:rPr>
  </w:style>
  <w:style w:type="paragraph" w:customStyle="1" w:styleId="TableTextCharChar">
    <w:name w:val="Table Text Char Char"/>
    <w:pPr>
      <w:snapToGrid w:val="0"/>
      <w:spacing w:before="80" w:after="80"/>
    </w:pPr>
    <w:rPr>
      <w:rFonts w:ascii="Arial" w:hAnsi="Arial"/>
      <w:kern w:val="2"/>
      <w:sz w:val="18"/>
      <w:lang w:val="en-US" w:eastAsia="zh-CN" w:bidi="ar-SA"/>
    </w:rPr>
  </w:style>
  <w:style w:type="paragraph" w:customStyle="1" w:styleId="TableHeading">
    <w:name w:val="Table Heading"/>
    <w:pPr>
      <w:keepNext/>
      <w:snapToGrid w:val="0"/>
      <w:spacing w:before="80" w:after="80"/>
      <w:jc w:val="center"/>
    </w:pPr>
    <w:rPr>
      <w:rFonts w:ascii="Arial" w:eastAsia="黑体" w:hAnsi="Arial"/>
      <w:sz w:val="18"/>
      <w:lang w:val="en-US" w:eastAsia="zh-CN" w:bidi="ar-SA"/>
    </w:rPr>
  </w:style>
  <w:style w:type="paragraph" w:customStyle="1" w:styleId="Style3">
    <w:name w:val="_Style 3"/>
    <w:basedOn w:val="Normal"/>
    <w:qFormat/>
    <w:pPr>
      <w:ind w:firstLine="420" w:firstLineChars="200"/>
    </w:pPr>
  </w:style>
  <w:style w:type="paragraph" w:customStyle="1" w:styleId="FigureDescription">
    <w:name w:val="Figure Description"/>
    <w:next w:val="Normal"/>
    <w:pPr>
      <w:snapToGrid w:val="0"/>
      <w:spacing w:before="80" w:after="320"/>
      <w:ind w:left="1134"/>
      <w:jc w:val="center"/>
    </w:pPr>
    <w:rPr>
      <w:rFonts w:ascii="Arial" w:eastAsia="黑体" w:hAnsi="Arial"/>
      <w:sz w:val="18"/>
      <w:lang w:val="en-US" w:eastAsia="zh-CN" w:bidi="ar-SA"/>
    </w:rPr>
  </w:style>
  <w:style w:type="paragraph" w:customStyle="1" w:styleId="a54">
    <w:name w:val="表文字"/>
    <w:rPr>
      <w:rFonts w:ascii="宋体"/>
      <w:kern w:val="2"/>
      <w:lang w:val="en-US" w:eastAsia="zh-CN" w:bidi="ar-SA"/>
    </w:rPr>
  </w:style>
  <w:style w:type="paragraph" w:customStyle="1" w:styleId="TableContents">
    <w:name w:val="Table Contents"/>
    <w:basedOn w:val="BodyText"/>
    <w:pPr>
      <w:suppressAutoHyphens/>
      <w:jc w:val="left"/>
    </w:pPr>
    <w:rPr>
      <w:rFonts w:ascii="Times New Roman" w:eastAsia="Times New Roman" w:hAnsi="Times New Roman" w:cs="Times New Roman"/>
      <w:kern w:val="0"/>
      <w:sz w:val="24"/>
    </w:rPr>
  </w:style>
  <w:style w:type="paragraph" w:customStyle="1" w:styleId="00">
    <w:name w:val="00"/>
    <w:basedOn w:val="Normal"/>
    <w:pPr>
      <w:autoSpaceDE w:val="0"/>
      <w:autoSpaceDN w:val="0"/>
      <w:adjustRightInd w:val="0"/>
      <w:jc w:val="left"/>
    </w:pPr>
    <w:rPr>
      <w:rFonts w:ascii="黑体" w:eastAsia="黑体" w:hAnsi="Times New Roman" w:cs="Times New Roman"/>
      <w:b/>
      <w:kern w:val="0"/>
      <w:sz w:val="20"/>
    </w:rPr>
  </w:style>
  <w:style w:type="paragraph" w:customStyle="1" w:styleId="a55">
    <w:name w:val="章标题"/>
    <w:next w:val="Normal"/>
    <w:pPr>
      <w:numPr>
        <w:ilvl w:val="1"/>
        <w:numId w:val="18"/>
      </w:numPr>
      <w:spacing w:before="156" w:beforeLines="50" w:after="156" w:afterLines="50"/>
      <w:ind w:left="0"/>
      <w:jc w:val="both"/>
      <w:outlineLvl w:val="1"/>
    </w:pPr>
    <w:rPr>
      <w:rFonts w:ascii="黑体" w:eastAsia="黑体"/>
      <w:sz w:val="24"/>
      <w:lang w:val="en-US" w:eastAsia="zh-CN" w:bidi="ar-SA"/>
    </w:rPr>
  </w:style>
  <w:style w:type="paragraph" w:customStyle="1" w:styleId="01">
    <w:name w:val="正文缩进_0"/>
    <w:basedOn w:val="Normal"/>
    <w:qFormat/>
    <w:pPr>
      <w:ind w:firstLine="420"/>
    </w:pPr>
    <w:rPr>
      <w:rFonts w:ascii="Times New Roman" w:eastAsia="Times New Roman" w:hAnsi="Times New Roman" w:cs="Times New Roman"/>
      <w:kern w:val="0"/>
      <w:sz w:val="24"/>
      <w:szCs w:val="24"/>
    </w:rPr>
  </w:style>
  <w:style w:type="paragraph" w:customStyle="1" w:styleId="a56">
    <w:name w:val="正文（首行不缩进）"/>
    <w:basedOn w:val="Normal"/>
    <w:pPr>
      <w:autoSpaceDE w:val="0"/>
      <w:autoSpaceDN w:val="0"/>
      <w:adjustRightInd w:val="0"/>
      <w:spacing w:line="360" w:lineRule="auto"/>
      <w:jc w:val="left"/>
    </w:pPr>
    <w:rPr>
      <w:rFonts w:ascii="Times New Roman" w:eastAsia="宋体" w:hAnsi="Times New Roman" w:cs="Times New Roman"/>
      <w:kern w:val="0"/>
      <w:sz w:val="21"/>
    </w:rPr>
  </w:style>
  <w:style w:type="paragraph" w:customStyle="1" w:styleId="35">
    <w:name w:val="3级标题"/>
    <w:basedOn w:val="Normal"/>
    <w:qFormat/>
    <w:pPr>
      <w:widowControl/>
      <w:spacing w:beforeLines="50" w:afterLines="50" w:line="360" w:lineRule="auto"/>
      <w:jc w:val="left"/>
      <w:outlineLvl w:val="2"/>
    </w:pPr>
    <w:rPr>
      <w:rFonts w:ascii="宋体" w:eastAsia="仿宋" w:hAnsi="宋体" w:cs="宋体"/>
      <w:b/>
      <w:kern w:val="0"/>
      <w:sz w:val="30"/>
      <w:szCs w:val="22"/>
    </w:rPr>
  </w:style>
  <w:style w:type="paragraph" w:customStyle="1" w:styleId="TableText">
    <w:name w:val="Table Text"/>
    <w:pPr>
      <w:snapToGrid w:val="0"/>
      <w:spacing w:before="80" w:after="80"/>
    </w:pPr>
    <w:rPr>
      <w:rFonts w:ascii="Arial" w:hAnsi="Arial"/>
      <w:kern w:val="2"/>
      <w:sz w:val="18"/>
      <w:lang w:val="en-US" w:eastAsia="zh-CN" w:bidi="ar-SA"/>
    </w:rPr>
  </w:style>
  <w:style w:type="paragraph" w:customStyle="1" w:styleId="29">
    <w:name w:val="标题2"/>
    <w:basedOn w:val="Heading2"/>
    <w:pPr>
      <w:keepNext w:val="0"/>
      <w:keepLines w:val="0"/>
      <w:snapToGrid w:val="0"/>
      <w:spacing w:before="0" w:beforeLines="0" w:beforeAutospacing="0" w:after="0" w:afterLines="0" w:afterAutospacing="0"/>
      <w:ind w:firstLine="574" w:firstLineChars="196"/>
      <w:outlineLvl w:val="9"/>
    </w:pPr>
    <w:rPr>
      <w:rFonts w:ascii="Times New Roman" w:eastAsia="宋体" w:hAnsi="Times New Roman" w:cs="Times New Roman"/>
      <w:b/>
      <w:spacing w:val="6"/>
      <w:u w:val="single"/>
    </w:rPr>
  </w:style>
  <w:style w:type="paragraph" w:customStyle="1" w:styleId="CharCharCharCharCharCharChar0">
    <w:name w:val=" Char Char Char Char Char Char Char"/>
    <w:basedOn w:val="Normal"/>
    <w:pPr>
      <w:widowControl/>
      <w:spacing w:after="160" w:afterLines="0" w:line="240" w:lineRule="exact"/>
      <w:jc w:val="left"/>
    </w:pPr>
    <w:rPr>
      <w:rFonts w:ascii="Verdana" w:eastAsia="仿宋_GB2312" w:hAnsi="Verdana" w:cs="Times New Roman"/>
      <w:kern w:val="0"/>
      <w:sz w:val="24"/>
      <w:lang w:eastAsia="en-US"/>
    </w:rPr>
  </w:style>
  <w:style w:type="paragraph" w:customStyle="1" w:styleId="CharCharCharCharCharChar1Char">
    <w:name w:val=" Char Char Char Char Char Char1 Char"/>
    <w:basedOn w:val="Normal"/>
    <w:pPr>
      <w:widowControl/>
      <w:spacing w:after="160" w:afterLines="0" w:afterAutospacing="0" w:line="240" w:lineRule="exact"/>
      <w:jc w:val="left"/>
    </w:pPr>
    <w:rPr>
      <w:rFonts w:ascii="Verdana" w:eastAsia="宋体" w:hAnsi="Verdana" w:cs="Times New Roman"/>
      <w:kern w:val="0"/>
      <w:sz w:val="21"/>
      <w:lang w:eastAsia="en-US"/>
    </w:rPr>
  </w:style>
  <w:style w:type="paragraph" w:customStyle="1" w:styleId="Bullets">
    <w:name w:val="Bullets"/>
    <w:basedOn w:val="Normal"/>
    <w:pPr>
      <w:widowControl/>
      <w:adjustRightInd w:val="0"/>
      <w:snapToGrid w:val="0"/>
      <w:spacing w:before="60" w:after="60"/>
    </w:pPr>
    <w:rPr>
      <w:rFonts w:ascii="Times New Roman" w:eastAsia="宋体" w:hAnsi="Times New Roman" w:cs="Times New Roman"/>
      <w:kern w:val="0"/>
      <w:sz w:val="24"/>
      <w:lang w:val="en-GB"/>
    </w:rPr>
  </w:style>
  <w:style w:type="paragraph" w:customStyle="1" w:styleId="121">
    <w:name w:val="1.正文"/>
    <w:basedOn w:val="Normal"/>
    <w:pPr>
      <w:spacing w:line="360" w:lineRule="auto"/>
      <w:ind w:left="540" w:firstLine="540" w:leftChars="225" w:firstLineChars="225"/>
    </w:pPr>
    <w:rPr>
      <w:rFonts w:ascii="Times New Roman" w:eastAsia="宋体" w:hAnsi="Times New Roman" w:cs="Times New Roman"/>
      <w:sz w:val="24"/>
    </w:rPr>
  </w:style>
  <w:style w:type="paragraph" w:customStyle="1" w:styleId="Char15">
    <w:name w:val="正文格式 Char"/>
    <w:basedOn w:val="Normal"/>
    <w:pPr>
      <w:widowControl/>
      <w:adjustRightInd w:val="0"/>
      <w:spacing w:line="440" w:lineRule="atLeast"/>
      <w:ind w:firstLine="510"/>
      <w:textAlignment w:val="baseline"/>
    </w:pPr>
    <w:rPr>
      <w:rFonts w:ascii="Times New Roman" w:eastAsia="宋体" w:hAnsi="Times New Roman" w:cs="Times New Roman"/>
      <w:kern w:val="0"/>
      <w:sz w:val="24"/>
    </w:rPr>
  </w:style>
  <w:style w:type="paragraph" w:customStyle="1" w:styleId="tabletext0">
    <w:name w:val="tabletext"/>
    <w:basedOn w:val="Normal"/>
    <w:pPr>
      <w:widowControl/>
      <w:spacing w:before="100" w:beforeLines="0" w:beforeAutospacing="1" w:after="100" w:afterLines="0" w:afterAutospacing="1"/>
      <w:jc w:val="left"/>
    </w:pPr>
    <w:rPr>
      <w:rFonts w:ascii="宋体" w:eastAsia="宋体" w:hAnsi="宋体" w:cs="宋体"/>
      <w:kern w:val="0"/>
      <w:sz w:val="24"/>
      <w:szCs w:val="24"/>
    </w:rPr>
  </w:style>
  <w:style w:type="paragraph" w:customStyle="1" w:styleId="44">
    <w:name w:val="标题4"/>
    <w:basedOn w:val="Heading4"/>
    <w:next w:val="Normal"/>
    <w:uiPriority w:val="99"/>
    <w:qFormat/>
    <w:pPr>
      <w:numPr>
        <w:ilvl w:val="0"/>
        <w:numId w:val="0"/>
      </w:numPr>
      <w:tabs>
        <w:tab w:val="clear" w:pos="720"/>
        <w:tab w:val="left" w:pos="1060"/>
      </w:tabs>
      <w:spacing w:before="240" w:after="60" w:line="440" w:lineRule="exact"/>
    </w:pPr>
    <w:rPr>
      <w:rFonts w:ascii="Times New Roman" w:eastAsia="宋体" w:hAnsi="Times New Roman" w:cs="Times New Roman"/>
      <w:b w:val="0"/>
      <w:bCs/>
      <w:sz w:val="21"/>
      <w:szCs w:val="21"/>
      <w:lang w:val="zh-CN"/>
    </w:rPr>
  </w:style>
  <w:style w:type="paragraph" w:customStyle="1" w:styleId="a57">
    <w:name w:val="没有缩进（为图形使用）"/>
    <w:basedOn w:val="Normal"/>
    <w:pPr>
      <w:spacing w:before="120" w:beforeLines="0" w:beforeAutospacing="0" w:after="120" w:afterLines="0" w:afterAutospacing="0" w:line="360" w:lineRule="auto"/>
    </w:pPr>
    <w:rPr>
      <w:rFonts w:ascii="Times New Roman" w:eastAsia="宋体" w:hAnsi="Times New Roman" w:cs="Times New Roman"/>
      <w:sz w:val="24"/>
    </w:rPr>
  </w:style>
  <w:style w:type="paragraph" w:customStyle="1" w:styleId="Char1CharCharChar0">
    <w:name w:val=" Char1 Char Char Char"/>
    <w:basedOn w:val="Normal"/>
    <w:rPr>
      <w:rFonts w:ascii="Tahoma" w:eastAsia="宋体" w:hAnsi="Tahoma" w:cs="Times New Roman"/>
      <w:sz w:val="24"/>
    </w:rPr>
  </w:style>
  <w:style w:type="paragraph" w:customStyle="1" w:styleId="Note">
    <w:name w:val="Note"/>
    <w:basedOn w:val="Normal"/>
    <w:pPr>
      <w:pBdr>
        <w:top w:val="single" w:sz="12" w:space="3" w:color="auto"/>
        <w:bottom w:val="single" w:sz="12" w:space="3" w:color="auto"/>
      </w:pBdr>
      <w:spacing w:line="360" w:lineRule="auto"/>
    </w:pPr>
    <w:rPr>
      <w:rFonts w:ascii="Times New Roman" w:eastAsia="宋体" w:hAnsi="Times New Roman" w:cs="Times New Roman"/>
      <w:sz w:val="24"/>
    </w:rPr>
  </w:style>
  <w:style w:type="table" w:customStyle="1" w:styleId="TableNormal0">
    <w:name w:val="Table Normal"/>
    <w:rPr>
      <w:rFonts w:eastAsia="Arial Unicode MS"/>
      <w:lang w:val="en-US" w:eastAsia="zh-CN" w:bidi="ar-SA"/>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header" Target="header6.xml" /><Relationship Id="rId16" Type="http://schemas.openxmlformats.org/officeDocument/2006/relationships/hyperlink" Target="https://pay.zcygov.cn/purchaseplan_front/" TargetMode="Externa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header" Target="header10.xml" /><Relationship Id="rId25" Type="http://schemas.openxmlformats.org/officeDocument/2006/relationships/header" Target="header11.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header" Target="head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footer" Target="footer16.xml" /><Relationship Id="rId36" Type="http://schemas.openxmlformats.org/officeDocument/2006/relationships/header" Target="header16.xm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footer" Target="footer22.xml" /><Relationship Id="rId48" Type="http://schemas.openxmlformats.org/officeDocument/2006/relationships/header" Target="head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footer" Target="footer24.xml" /><Relationship Id="rId52" Type="http://schemas.openxmlformats.org/officeDocument/2006/relationships/header" Target="head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footer" Target="footer28.xml" /><Relationship Id="rId6" Type="http://schemas.openxmlformats.org/officeDocument/2006/relationships/footer" Target="footer2.xml" /><Relationship Id="rId60" Type="http://schemas.openxmlformats.org/officeDocument/2006/relationships/header" Target="head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footer" Target="footer30.xml" /><Relationship Id="rId64" Type="http://schemas.openxmlformats.org/officeDocument/2006/relationships/header" Target="head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2.xml" /><Relationship Id="rId69" Type="http://schemas.openxmlformats.org/officeDocument/2006/relationships/header" Target="header33.xml" /><Relationship Id="rId7" Type="http://schemas.openxmlformats.org/officeDocument/2006/relationships/header" Target="header2.xml" /><Relationship Id="rId70" Type="http://schemas.openxmlformats.org/officeDocument/2006/relationships/footer" Target="footer33.xml" /><Relationship Id="rId71" Type="http://schemas.openxmlformats.org/officeDocument/2006/relationships/footer" Target="footer34.xml" /><Relationship Id="rId72" Type="http://schemas.openxmlformats.org/officeDocument/2006/relationships/header" Target="head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footer" Target="footer36.xml" /><Relationship Id="rId76" Type="http://schemas.openxmlformats.org/officeDocument/2006/relationships/header" Target="header36.xml" /><Relationship Id="rId77" Type="http://schemas.openxmlformats.org/officeDocument/2006/relationships/hyperlink" Target="https://d.book118.com/626225030200010103" TargetMode="External" /><Relationship Id="rId78" Type="http://schemas.openxmlformats.org/officeDocument/2006/relationships/header" Target="header37.xml" /><Relationship Id="rId79" Type="http://schemas.openxmlformats.org/officeDocument/2006/relationships/footer" Target="footer37.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8.xml" /><Relationship Id="rId82" Type="http://schemas.openxmlformats.org/officeDocument/2006/relationships/theme" Target="theme/theme1.xml" /><Relationship Id="rId83" Type="http://schemas.openxmlformats.org/officeDocument/2006/relationships/numbering" Target="numbering.xml" /><Relationship Id="rId84" Type="http://schemas.openxmlformats.org/officeDocument/2006/relationships/styles" Target="styles.xml" /><Relationship Id="rId9" Type="http://schemas.openxmlformats.org/officeDocument/2006/relationships/footer" Target="footer3.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22618</Words>
  <Characters>23767</Characters>
  <Application>Microsoft Office Word</Application>
  <DocSecurity>0</DocSecurity>
  <Lines>211</Lines>
  <Paragraphs>59</Paragraphs>
  <ScaleCrop>false</ScaleCrop>
  <Company>Microsoft</Company>
  <LinksUpToDate>false</LinksUpToDate>
  <CharactersWithSpaces>25693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货物</dc:title>
  <dc:creator>admin</dc:creator>
  <cp:lastModifiedBy>周菲童</cp:lastModifiedBy>
  <cp:revision>46</cp:revision>
  <cp:lastPrinted>2022-01-19T23:21:00Z</cp:lastPrinted>
  <dcterms:created xsi:type="dcterms:W3CDTF">2021-12-29T03:05:00Z</dcterms:created>
  <dcterms:modified xsi:type="dcterms:W3CDTF">2023-06-07T01:14:35Z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0B74DA00F5AA4AB1A27A879B5D539A72</vt:lpwstr>
  </property>
  <property fmtid="{D5CDD505-2E9C-101B-9397-08002B2CF9AE}" pid="3" name="KSOProductBuildVer">
    <vt:lpwstr>2052-11.1.0.14036</vt:lpwstr>
  </property>
</Properties>
</file>