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F2ACC" w:rsidP="00FF2ACC" w14:paraId="158EE07B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F2ACC">
        <w:rPr>
          <w:rFonts w:ascii="华文中宋" w:eastAsia="华文中宋" w:hAnsi="华文中宋"/>
          <w:b/>
          <w:sz w:val="30"/>
        </w:rPr>
        <w:t>2023</w:t>
      </w:r>
      <w:r w:rsidRPr="00FF2ACC">
        <w:rPr>
          <w:rFonts w:ascii="华文中宋" w:eastAsia="华文中宋" w:hAnsi="华文中宋"/>
          <w:b/>
          <w:sz w:val="30"/>
        </w:rPr>
        <w:t>广东韶关市乐昌市教师发展中心招聘编外汽车驾驶员</w:t>
      </w:r>
      <w:r w:rsidRPr="00FF2ACC">
        <w:rPr>
          <w:rFonts w:ascii="华文中宋" w:eastAsia="华文中宋" w:hAnsi="华文中宋"/>
          <w:b/>
          <w:sz w:val="30"/>
        </w:rPr>
        <w:t>1</w:t>
      </w:r>
      <w:r w:rsidRPr="00FF2ACC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25468AA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E4101F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3EF4C1B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李某是民族自治地方干部，负责拟订所在单位关于引进人才的决定，则下列表述正确的是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EB8355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、文字的颜色只能为黑色</w:t>
      </w:r>
    </w:p>
    <w:p w:rsidR="006D34C4" w14:paraId="0BE221D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、只能使用汉字</w:t>
      </w:r>
    </w:p>
    <w:p w:rsidR="006D34C4" w14:paraId="7D3A196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、文字只能使用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号仿宋字</w:t>
      </w:r>
    </w:p>
    <w:p w:rsidR="006D34C4" w14:paraId="38ECDFB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、文字可按其地方习惯排版</w:t>
      </w:r>
    </w:p>
    <w:p w:rsidR="006D34C4" w14:paraId="724ED63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557D671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项错误，发文机关标志即人们通常所说的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红头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。根据《党政机关公文格式》</w:t>
      </w:r>
      <w:r w:rsidRPr="006D34C4">
        <w:rPr>
          <w:rFonts w:ascii="微软雅黑" w:eastAsia="微软雅黑" w:cs="微软雅黑"/>
          <w:szCs w:val="14"/>
        </w:rPr>
        <w:t>7.2.4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发文机关标志居中排布，上边缘至版心上边缘为</w:t>
      </w:r>
      <w:r w:rsidRPr="006D34C4">
        <w:rPr>
          <w:rFonts w:ascii="微软雅黑" w:eastAsia="微软雅黑" w:cs="微软雅黑"/>
          <w:szCs w:val="14"/>
        </w:rPr>
        <w:t>35mm</w:t>
      </w:r>
      <w:r w:rsidRPr="006D34C4">
        <w:rPr>
          <w:rFonts w:ascii="微软雅黑" w:eastAsia="微软雅黑" w:cs="微软雅黑"/>
          <w:szCs w:val="14"/>
        </w:rPr>
        <w:t>，推荐使用小标宋体字，颜色为红色，以醒目、美观、庄重为原则。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公文使用的汉字、数字、外文字符、计量单位和标点符号等，按照有关国家标准和规定执行，民族自治地方的公文可以并用汉字和当地通用的少数民族文字。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项错误，根据《党政机关公文格式》</w:t>
      </w:r>
      <w:r w:rsidRPr="006D34C4">
        <w:rPr>
          <w:rFonts w:ascii="微软雅黑" w:eastAsia="微软雅黑" w:cs="微软雅黑"/>
          <w:szCs w:val="14"/>
        </w:rPr>
        <w:t>5.2.2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如无特殊说明，公文格式各要素一般用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号仿宋体字。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而根据《党政机关公文格式》第</w:t>
      </w:r>
      <w:r w:rsidRPr="006D34C4">
        <w:rPr>
          <w:rFonts w:ascii="微软雅黑" w:eastAsia="微软雅黑" w:cs="微软雅黑"/>
          <w:szCs w:val="14"/>
        </w:rPr>
        <w:t>7.4.3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印发机关和印发日期一般使用</w:t>
      </w:r>
      <w:r w:rsidRPr="006D34C4">
        <w:rPr>
          <w:rFonts w:ascii="微软雅黑" w:eastAsia="微软雅黑" w:cs="微软雅黑"/>
          <w:szCs w:val="14"/>
        </w:rPr>
        <w:t>4</w:t>
      </w:r>
    </w:p>
    <w:p w:rsidR="006D34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号仿宋体字，编排在末条分割线之上，</w:t>
      </w:r>
      <w:r w:rsidRPr="006D34C4">
        <w:rPr>
          <w:rFonts w:ascii="微软雅黑" w:eastAsia="微软雅黑" w:cs="微软雅黑"/>
          <w:szCs w:val="14"/>
        </w:rPr>
        <w:t>印发机关左空一字，印发日期右空一字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，可知文字并非只能使用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号仿宋字。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项正确，根据《党政机关公文处理工作条例》第十一条规定：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在民族自治地方，可以并用汉字和通用的少数民族文字。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即可按其地方习惯书写、排版。故选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6E9505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甲深夜下班回家经过一条小巷时遭遇歹徒持刀抢劫，甲趁歹徒不注意捡起地上的砖头砸中歹徒头部，导致歹徒当场死亡。甲的行为属于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FBC427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、正当防卫，不需负法律责任</w:t>
      </w:r>
    </w:p>
    <w:p w:rsidR="006D34C4" w14:paraId="744FC5A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、防卫过当，需负法律责任</w:t>
      </w:r>
    </w:p>
    <w:p w:rsidR="006D34C4" w14:paraId="335E3E1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、过失杀人，要负法律责任</w:t>
      </w:r>
    </w:p>
    <w:p w:rsidR="006D34C4" w14:paraId="418172B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、故意杀人，要负法律责任</w:t>
      </w:r>
    </w:p>
    <w:p w:rsidR="006D34C4" w14:paraId="1E19C4D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5DA081E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《中华人民共和国刑法》规定，对正在进行行凶、杀人、抢劫、强奸、绑架以及其他严重危及人身安全的暴力犯罪，采取防卫行为，造成不法侵害人伤亡的，不属于防卫过当，不负刑事责任。故选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1A578E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下列关于恐龙的说法正确的是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41C0FE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、主要活跃在中生代时期</w:t>
      </w:r>
    </w:p>
    <w:p w:rsidR="006D34C4" w14:paraId="739B16F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、霸王龙和剑龙都是肉食性动物</w:t>
      </w:r>
    </w:p>
    <w:p w:rsidR="006D34C4" w14:paraId="1FCCD9E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、属于脊椎亚门类动物中的哺乳纲</w:t>
      </w:r>
    </w:p>
    <w:p w:rsidR="006D34C4" w14:paraId="10D104A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、可通过某个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片段克隆出恐龙</w:t>
      </w:r>
    </w:p>
    <w:p w:rsidR="006D34C4" w14:paraId="3DAB82C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77C51AE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恐龙是出现于中生代多样化优势陆栖脊椎动物。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项正确。霸王龙属暴龙科中体型最大的一种，是史上最庞大的陆地肉食性动物之一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剑龙，是一种生存在侏罗纪晚期的食草性动物。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项错误。恐龙主要是群生存于陆地上的主龙类爬行动物，并不是哺乳纲动物。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项错误。理论上只要将完整的基因序列提取出来，就可以进行克隆，但是只通过某个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片段是无法克隆的。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项错误。因此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项当选。</w:t>
      </w:r>
    </w:p>
    <w:p w:rsidR="006D34C4" w14:paraId="5FA51CF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所蕴含的哲理是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C558AB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、意识对物质具有能动的反作用</w:t>
      </w:r>
    </w:p>
    <w:p w:rsidR="006D34C4" w14:paraId="58B898C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、意识活动本身可以改变客观世界</w:t>
      </w:r>
    </w:p>
    <w:p w:rsidR="006D34C4" w14:paraId="3CC8F60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、人们的精神活动依赖于物质活动</w:t>
      </w:r>
    </w:p>
    <w:p w:rsidR="006D34C4" w14:paraId="0492990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、社会意识决定社会存在</w:t>
      </w:r>
    </w:p>
    <w:p w:rsidR="006D34C4" w14:paraId="07053D0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6F039BD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物质决定意识，意识对物质具有能动的反作用。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两项说法错误。题干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强调的是意识对物质具有能动的反作用，而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项是在强调物质决定意识。故选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87FA1C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对监察机关移送的案件，人民检察院依照《中华人民共和国刑事诉讼法》对被调查人采取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36E8BE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、取保候审措施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https://d.book118.com/627020100161006035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CC" w:rsidP="00B77510" w14:paraId="7CD355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2ACC" w14:paraId="78CADDB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CC" w:rsidP="00B77510" w14:paraId="5270DDE8" w14:textId="593F62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F2ACC" w14:paraId="0C0F08E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CC" w14:paraId="73D2132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CC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2AC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CC" w:rsidP="00B77510" w14:textId="593F62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F2AC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C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CC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F2AC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CC" w:rsidP="00B77510" w14:textId="593F62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F2AC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C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CC" w14:paraId="15EB6C5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CC" w14:paraId="6C090B29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CC" w14:paraId="1D8E687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C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C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C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C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C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F2AC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A77B3E"/>
    <w:rsid w:val="00B77510"/>
    <w:rsid w:val="00CA2A55"/>
    <w:rsid w:val="00FF2AC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F9B0FA7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FF2A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F2ACC"/>
    <w:rPr>
      <w:sz w:val="18"/>
      <w:szCs w:val="18"/>
    </w:rPr>
  </w:style>
  <w:style w:type="paragraph" w:styleId="Footer">
    <w:name w:val="footer"/>
    <w:basedOn w:val="Normal"/>
    <w:link w:val="a0"/>
    <w:rsid w:val="00FF2AC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F2ACC"/>
    <w:rPr>
      <w:sz w:val="18"/>
      <w:szCs w:val="18"/>
    </w:rPr>
  </w:style>
  <w:style w:type="character" w:styleId="PageNumber">
    <w:name w:val="page number"/>
    <w:basedOn w:val="DefaultParagraphFont"/>
    <w:rsid w:val="00FF2A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2702010016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2871</Words>
  <Characters>16371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2024-01-30T12:37:00Z</dcterms:created>
  <dcterms:modified xsi:type="dcterms:W3CDTF">2024-01-30T12:37:00Z</dcterms:modified>
</cp:coreProperties>
</file>