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年健康服务项目规划设计纲要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1" w:history="1">
        <w:r>
          <w:rPr>
            <w:rFonts w:ascii="仿宋" w:eastAsia="仿宋" w:hAnsi="仿宋" w:cs="仿宋" w:hint="eastAsia"/>
            <w:lang w:eastAsia="zh-CN"/>
          </w:rPr>
          <w:t>概论</w:t>
        </w:r>
        <w:r>
          <w:tab/>
        </w:r>
        <w:r>
          <w:fldChar w:fldCharType="begin"/>
        </w:r>
        <w:r>
          <w:instrText xml:space="preserve"> PAGEREF _Toc27451 \h </w:instrText>
        </w:r>
        <w:r>
          <w:fldChar w:fldCharType="separate"/>
        </w:r>
        <w:r>
          <w:t>3</w:t>
        </w:r>
        <w:r>
          <w:fldChar w:fldCharType="end"/>
        </w:r>
      </w:hyperlink>
    </w:p>
    <w:p>
      <w:pPr>
        <w:pStyle w:val="TOC1"/>
        <w:tabs>
          <w:tab w:val="right" w:leader="dot" w:pos="8306"/>
        </w:tabs>
      </w:pPr>
      <w:hyperlink w:anchor="_Toc4843" w:history="1">
        <w:r>
          <w:rPr>
            <w:rFonts w:ascii="仿宋" w:eastAsia="仿宋" w:hAnsi="仿宋" w:cs="仿宋" w:hint="eastAsia"/>
            <w:lang w:eastAsia="zh-CN"/>
          </w:rPr>
          <w:t>一、年健康服务项目建设背景及必要性分析</w:t>
        </w:r>
        <w:r>
          <w:tab/>
        </w:r>
        <w:r>
          <w:fldChar w:fldCharType="begin"/>
        </w:r>
        <w:r>
          <w:instrText xml:space="preserve"> PAGEREF _Toc4843 \h </w:instrText>
        </w:r>
        <w:r>
          <w:fldChar w:fldCharType="separate"/>
        </w:r>
        <w:r>
          <w:t>3</w:t>
        </w:r>
        <w:r>
          <w:fldChar w:fldCharType="end"/>
        </w:r>
      </w:hyperlink>
    </w:p>
    <w:p>
      <w:pPr>
        <w:pStyle w:val="TOC2"/>
        <w:tabs>
          <w:tab w:val="right" w:leader="dot" w:pos="8306"/>
        </w:tabs>
      </w:pPr>
      <w:hyperlink w:anchor="_Toc13857" w:history="1">
        <w:r>
          <w:rPr>
            <w:rFonts w:ascii="仿宋" w:eastAsia="仿宋" w:hAnsi="仿宋" w:cs="仿宋" w:hint="eastAsia"/>
            <w:lang w:eastAsia="zh-CN"/>
          </w:rPr>
          <w:t>(一)、年健康服务项目背景分析</w:t>
        </w:r>
        <w:r>
          <w:tab/>
        </w:r>
        <w:r>
          <w:fldChar w:fldCharType="begin"/>
        </w:r>
        <w:r>
          <w:instrText xml:space="preserve"> PAGEREF _Toc13857 \h </w:instrText>
        </w:r>
        <w:r>
          <w:fldChar w:fldCharType="separate"/>
        </w:r>
        <w:r>
          <w:t>3</w:t>
        </w:r>
        <w:r>
          <w:fldChar w:fldCharType="end"/>
        </w:r>
      </w:hyperlink>
    </w:p>
    <w:p>
      <w:pPr>
        <w:pStyle w:val="TOC2"/>
        <w:tabs>
          <w:tab w:val="right" w:leader="dot" w:pos="8306"/>
        </w:tabs>
      </w:pPr>
      <w:hyperlink w:anchor="_Toc28958" w:history="1">
        <w:r>
          <w:rPr>
            <w:rFonts w:ascii="仿宋" w:eastAsia="仿宋" w:hAnsi="仿宋" w:cs="仿宋" w:hint="eastAsia"/>
            <w:lang w:eastAsia="zh-CN"/>
          </w:rPr>
          <w:t>(二)、年健康服务项目建设必要性分析</w:t>
        </w:r>
        <w:r>
          <w:tab/>
        </w:r>
        <w:r>
          <w:fldChar w:fldCharType="begin"/>
        </w:r>
        <w:r>
          <w:instrText xml:space="preserve"> PAGEREF _Toc28958 \h </w:instrText>
        </w:r>
        <w:r>
          <w:fldChar w:fldCharType="separate"/>
        </w:r>
        <w:r>
          <w:t>5</w:t>
        </w:r>
        <w:r>
          <w:fldChar w:fldCharType="end"/>
        </w:r>
      </w:hyperlink>
    </w:p>
    <w:p>
      <w:pPr>
        <w:pStyle w:val="TOC1"/>
        <w:tabs>
          <w:tab w:val="right" w:leader="dot" w:pos="8306"/>
        </w:tabs>
      </w:pPr>
      <w:hyperlink w:anchor="_Toc14332" w:history="1">
        <w:r>
          <w:rPr>
            <w:rFonts w:ascii="仿宋" w:eastAsia="仿宋" w:hAnsi="仿宋" w:cs="仿宋" w:hint="eastAsia"/>
            <w:lang w:eastAsia="zh-CN"/>
          </w:rPr>
          <w:t>二、年健康服务项目绩效评估</w:t>
        </w:r>
        <w:r>
          <w:tab/>
        </w:r>
        <w:r>
          <w:fldChar w:fldCharType="begin"/>
        </w:r>
        <w:r>
          <w:instrText xml:space="preserve"> PAGEREF _Toc14332 \h </w:instrText>
        </w:r>
        <w:r>
          <w:fldChar w:fldCharType="separate"/>
        </w:r>
        <w:r>
          <w:t>6</w:t>
        </w:r>
        <w:r>
          <w:fldChar w:fldCharType="end"/>
        </w:r>
      </w:hyperlink>
    </w:p>
    <w:p>
      <w:pPr>
        <w:pStyle w:val="TOC2"/>
        <w:tabs>
          <w:tab w:val="right" w:leader="dot" w:pos="8306"/>
        </w:tabs>
      </w:pPr>
      <w:hyperlink w:anchor="_Toc2766" w:history="1">
        <w:r>
          <w:rPr>
            <w:rFonts w:ascii="仿宋" w:eastAsia="仿宋" w:hAnsi="仿宋" w:cs="仿宋" w:hint="eastAsia"/>
            <w:lang w:eastAsia="zh-CN"/>
          </w:rPr>
          <w:t>(一)、绩效评估指标</w:t>
        </w:r>
        <w:r>
          <w:tab/>
        </w:r>
        <w:r>
          <w:fldChar w:fldCharType="begin"/>
        </w:r>
        <w:r>
          <w:instrText xml:space="preserve"> PAGEREF _Toc2766 \h </w:instrText>
        </w:r>
        <w:r>
          <w:fldChar w:fldCharType="separate"/>
        </w:r>
        <w:r>
          <w:t>6</w:t>
        </w:r>
        <w:r>
          <w:fldChar w:fldCharType="end"/>
        </w:r>
      </w:hyperlink>
    </w:p>
    <w:p>
      <w:pPr>
        <w:pStyle w:val="TOC2"/>
        <w:tabs>
          <w:tab w:val="right" w:leader="dot" w:pos="8306"/>
        </w:tabs>
      </w:pPr>
      <w:hyperlink w:anchor="_Toc12104" w:history="1">
        <w:r>
          <w:rPr>
            <w:rFonts w:ascii="仿宋" w:eastAsia="仿宋" w:hAnsi="仿宋" w:cs="仿宋" w:hint="eastAsia"/>
            <w:lang w:eastAsia="zh-CN"/>
          </w:rPr>
          <w:t>(二)、绩效评估方法</w:t>
        </w:r>
        <w:r>
          <w:tab/>
        </w:r>
        <w:r>
          <w:fldChar w:fldCharType="begin"/>
        </w:r>
        <w:r>
          <w:instrText xml:space="preserve"> PAGEREF _Toc12104 \h </w:instrText>
        </w:r>
        <w:r>
          <w:fldChar w:fldCharType="separate"/>
        </w:r>
        <w:r>
          <w:t>7</w:t>
        </w:r>
        <w:r>
          <w:fldChar w:fldCharType="end"/>
        </w:r>
      </w:hyperlink>
    </w:p>
    <w:p>
      <w:pPr>
        <w:pStyle w:val="TOC2"/>
        <w:tabs>
          <w:tab w:val="right" w:leader="dot" w:pos="8306"/>
        </w:tabs>
      </w:pPr>
      <w:hyperlink w:anchor="_Toc29051" w:history="1">
        <w:r>
          <w:rPr>
            <w:rFonts w:ascii="仿宋" w:eastAsia="仿宋" w:hAnsi="仿宋" w:cs="仿宋" w:hint="eastAsia"/>
            <w:lang w:eastAsia="zh-CN"/>
          </w:rPr>
          <w:t>(三)、绩效评估周期</w:t>
        </w:r>
        <w:r>
          <w:tab/>
        </w:r>
        <w:r>
          <w:fldChar w:fldCharType="begin"/>
        </w:r>
        <w:r>
          <w:instrText xml:space="preserve"> PAGEREF _Toc29051 \h </w:instrText>
        </w:r>
        <w:r>
          <w:fldChar w:fldCharType="separate"/>
        </w:r>
        <w:r>
          <w:t>8</w:t>
        </w:r>
        <w:r>
          <w:fldChar w:fldCharType="end"/>
        </w:r>
      </w:hyperlink>
    </w:p>
    <w:p>
      <w:pPr>
        <w:pStyle w:val="TOC1"/>
        <w:tabs>
          <w:tab w:val="right" w:leader="dot" w:pos="8306"/>
        </w:tabs>
      </w:pPr>
      <w:hyperlink w:anchor="_Toc18600" w:history="1">
        <w:r>
          <w:rPr>
            <w:rFonts w:ascii="仿宋" w:eastAsia="仿宋" w:hAnsi="仿宋" w:cs="仿宋" w:hint="eastAsia"/>
            <w:lang w:eastAsia="zh-CN"/>
          </w:rPr>
          <w:t>三、产品规划分析</w:t>
        </w:r>
        <w:r>
          <w:tab/>
        </w:r>
        <w:r>
          <w:fldChar w:fldCharType="begin"/>
        </w:r>
        <w:r>
          <w:instrText xml:space="preserve"> PAGEREF _Toc18600 \h </w:instrText>
        </w:r>
        <w:r>
          <w:fldChar w:fldCharType="separate"/>
        </w:r>
        <w:r>
          <w:t>9</w:t>
        </w:r>
        <w:r>
          <w:fldChar w:fldCharType="end"/>
        </w:r>
      </w:hyperlink>
    </w:p>
    <w:p>
      <w:pPr>
        <w:pStyle w:val="TOC2"/>
        <w:tabs>
          <w:tab w:val="right" w:leader="dot" w:pos="8306"/>
        </w:tabs>
      </w:pPr>
      <w:hyperlink w:anchor="_Toc9152" w:history="1">
        <w:r>
          <w:rPr>
            <w:rFonts w:ascii="仿宋" w:eastAsia="仿宋" w:hAnsi="仿宋" w:cs="仿宋" w:hint="eastAsia"/>
            <w:lang w:eastAsia="zh-CN"/>
          </w:rPr>
          <w:t>(一)、产品规划</w:t>
        </w:r>
        <w:r>
          <w:tab/>
        </w:r>
        <w:r>
          <w:fldChar w:fldCharType="begin"/>
        </w:r>
        <w:r>
          <w:instrText xml:space="preserve"> PAGEREF _Toc9152 \h </w:instrText>
        </w:r>
        <w:r>
          <w:fldChar w:fldCharType="separate"/>
        </w:r>
        <w:r>
          <w:t>9</w:t>
        </w:r>
        <w:r>
          <w:fldChar w:fldCharType="end"/>
        </w:r>
      </w:hyperlink>
    </w:p>
    <w:p>
      <w:pPr>
        <w:pStyle w:val="TOC2"/>
        <w:tabs>
          <w:tab w:val="right" w:leader="dot" w:pos="8306"/>
        </w:tabs>
      </w:pPr>
      <w:hyperlink w:anchor="_Toc717" w:history="1">
        <w:r>
          <w:rPr>
            <w:rFonts w:ascii="仿宋" w:eastAsia="仿宋" w:hAnsi="仿宋" w:cs="仿宋" w:hint="eastAsia"/>
            <w:lang w:eastAsia="zh-CN"/>
          </w:rPr>
          <w:t>(二)、建设规模</w:t>
        </w:r>
        <w:r>
          <w:tab/>
        </w:r>
        <w:r>
          <w:fldChar w:fldCharType="begin"/>
        </w:r>
        <w:r>
          <w:instrText xml:space="preserve"> PAGEREF _Toc717 \h </w:instrText>
        </w:r>
        <w:r>
          <w:fldChar w:fldCharType="separate"/>
        </w:r>
        <w:r>
          <w:t>10</w:t>
        </w:r>
        <w:r>
          <w:fldChar w:fldCharType="end"/>
        </w:r>
      </w:hyperlink>
    </w:p>
    <w:p>
      <w:pPr>
        <w:pStyle w:val="TOC1"/>
        <w:tabs>
          <w:tab w:val="right" w:leader="dot" w:pos="8306"/>
        </w:tabs>
      </w:pPr>
      <w:hyperlink w:anchor="_Toc7706" w:history="1">
        <w:r>
          <w:rPr>
            <w:rFonts w:ascii="仿宋" w:eastAsia="仿宋" w:hAnsi="仿宋" w:cs="仿宋" w:hint="eastAsia"/>
            <w:lang w:eastAsia="zh-CN"/>
          </w:rPr>
          <w:t>四、年健康服务项目危机管理</w:t>
        </w:r>
        <w:r>
          <w:tab/>
        </w:r>
        <w:r>
          <w:fldChar w:fldCharType="begin"/>
        </w:r>
        <w:r>
          <w:instrText xml:space="preserve"> PAGEREF _Toc7706 \h </w:instrText>
        </w:r>
        <w:r>
          <w:fldChar w:fldCharType="separate"/>
        </w:r>
        <w:r>
          <w:t>11</w:t>
        </w:r>
        <w:r>
          <w:fldChar w:fldCharType="end"/>
        </w:r>
      </w:hyperlink>
    </w:p>
    <w:p>
      <w:pPr>
        <w:pStyle w:val="TOC2"/>
        <w:tabs>
          <w:tab w:val="right" w:leader="dot" w:pos="8306"/>
        </w:tabs>
      </w:pPr>
      <w:hyperlink w:anchor="_Toc18052" w:history="1">
        <w:r>
          <w:rPr>
            <w:rFonts w:ascii="仿宋" w:eastAsia="仿宋" w:hAnsi="仿宋" w:cs="仿宋" w:hint="eastAsia"/>
            <w:lang w:eastAsia="zh-CN"/>
          </w:rPr>
          <w:t>(一)、危机预警与识别</w:t>
        </w:r>
        <w:r>
          <w:tab/>
        </w:r>
        <w:r>
          <w:fldChar w:fldCharType="begin"/>
        </w:r>
        <w:r>
          <w:instrText xml:space="preserve"> PAGEREF _Toc18052 \h </w:instrText>
        </w:r>
        <w:r>
          <w:fldChar w:fldCharType="separate"/>
        </w:r>
        <w:r>
          <w:t>11</w:t>
        </w:r>
        <w:r>
          <w:fldChar w:fldCharType="end"/>
        </w:r>
      </w:hyperlink>
    </w:p>
    <w:p>
      <w:pPr>
        <w:pStyle w:val="TOC2"/>
        <w:tabs>
          <w:tab w:val="right" w:leader="dot" w:pos="8306"/>
        </w:tabs>
      </w:pPr>
      <w:hyperlink w:anchor="_Toc13126" w:history="1">
        <w:r>
          <w:rPr>
            <w:rFonts w:ascii="仿宋" w:eastAsia="仿宋" w:hAnsi="仿宋" w:cs="仿宋" w:hint="eastAsia"/>
            <w:lang w:eastAsia="zh-CN"/>
          </w:rPr>
          <w:t>(二)、危机应对与恢复</w:t>
        </w:r>
        <w:r>
          <w:tab/>
        </w:r>
        <w:r>
          <w:fldChar w:fldCharType="begin"/>
        </w:r>
        <w:r>
          <w:instrText xml:space="preserve"> PAGEREF _Toc13126 \h </w:instrText>
        </w:r>
        <w:r>
          <w:fldChar w:fldCharType="separate"/>
        </w:r>
        <w:r>
          <w:t>12</w:t>
        </w:r>
        <w:r>
          <w:fldChar w:fldCharType="end"/>
        </w:r>
      </w:hyperlink>
    </w:p>
    <w:p>
      <w:pPr>
        <w:pStyle w:val="TOC1"/>
        <w:tabs>
          <w:tab w:val="right" w:leader="dot" w:pos="8306"/>
        </w:tabs>
      </w:pPr>
      <w:hyperlink w:anchor="_Toc31796" w:history="1">
        <w:r>
          <w:rPr>
            <w:rFonts w:ascii="仿宋" w:eastAsia="仿宋" w:hAnsi="仿宋" w:cs="仿宋" w:hint="eastAsia"/>
            <w:lang w:eastAsia="zh-CN"/>
          </w:rPr>
          <w:t>五、年健康服务项目可持续发展</w:t>
        </w:r>
        <w:r>
          <w:tab/>
        </w:r>
        <w:r>
          <w:fldChar w:fldCharType="begin"/>
        </w:r>
        <w:r>
          <w:instrText xml:space="preserve"> PAGEREF _Toc31796 \h </w:instrText>
        </w:r>
        <w:r>
          <w:fldChar w:fldCharType="separate"/>
        </w:r>
        <w:r>
          <w:t>13</w:t>
        </w:r>
        <w:r>
          <w:fldChar w:fldCharType="end"/>
        </w:r>
      </w:hyperlink>
    </w:p>
    <w:p>
      <w:pPr>
        <w:pStyle w:val="TOC2"/>
        <w:tabs>
          <w:tab w:val="right" w:leader="dot" w:pos="8306"/>
        </w:tabs>
      </w:pPr>
      <w:hyperlink w:anchor="_Toc28733" w:history="1">
        <w:r>
          <w:rPr>
            <w:rFonts w:ascii="仿宋" w:eastAsia="仿宋" w:hAnsi="仿宋" w:cs="仿宋" w:hint="eastAsia"/>
            <w:lang w:eastAsia="zh-CN"/>
          </w:rPr>
          <w:t>(一)、可持续战略与实践</w:t>
        </w:r>
        <w:r>
          <w:tab/>
        </w:r>
        <w:r>
          <w:fldChar w:fldCharType="begin"/>
        </w:r>
        <w:r>
          <w:instrText xml:space="preserve"> PAGEREF _Toc28733 \h </w:instrText>
        </w:r>
        <w:r>
          <w:fldChar w:fldCharType="separate"/>
        </w:r>
        <w:r>
          <w:t>13</w:t>
        </w:r>
        <w:r>
          <w:fldChar w:fldCharType="end"/>
        </w:r>
      </w:hyperlink>
    </w:p>
    <w:p>
      <w:pPr>
        <w:pStyle w:val="TOC2"/>
        <w:tabs>
          <w:tab w:val="right" w:leader="dot" w:pos="8306"/>
        </w:tabs>
      </w:pPr>
      <w:hyperlink w:anchor="_Toc29272" w:history="1">
        <w:r>
          <w:rPr>
            <w:rFonts w:ascii="仿宋" w:eastAsia="仿宋" w:hAnsi="仿宋" w:cs="仿宋" w:hint="eastAsia"/>
            <w:lang w:eastAsia="zh-CN"/>
          </w:rPr>
          <w:t>(二)、环保与社会责任</w:t>
        </w:r>
        <w:r>
          <w:tab/>
        </w:r>
        <w:r>
          <w:fldChar w:fldCharType="begin"/>
        </w:r>
        <w:r>
          <w:instrText xml:space="preserve"> PAGEREF _Toc29272 \h </w:instrText>
        </w:r>
        <w:r>
          <w:fldChar w:fldCharType="separate"/>
        </w:r>
        <w:r>
          <w:t>14</w:t>
        </w:r>
        <w:r>
          <w:fldChar w:fldCharType="end"/>
        </w:r>
      </w:hyperlink>
    </w:p>
    <w:p>
      <w:pPr>
        <w:pStyle w:val="TOC1"/>
        <w:tabs>
          <w:tab w:val="right" w:leader="dot" w:pos="8306"/>
        </w:tabs>
      </w:pPr>
      <w:hyperlink w:anchor="_Toc12625" w:history="1">
        <w:r>
          <w:rPr>
            <w:rFonts w:ascii="仿宋" w:eastAsia="仿宋" w:hAnsi="仿宋" w:cs="仿宋" w:hint="eastAsia"/>
            <w:lang w:eastAsia="zh-CN"/>
          </w:rPr>
          <w:t>六、年健康服务项目建设单位说明</w:t>
        </w:r>
        <w:r>
          <w:tab/>
        </w:r>
        <w:r>
          <w:fldChar w:fldCharType="begin"/>
        </w:r>
        <w:r>
          <w:instrText xml:space="preserve"> PAGEREF _Toc12625 \h </w:instrText>
        </w:r>
        <w:r>
          <w:fldChar w:fldCharType="separate"/>
        </w:r>
        <w:r>
          <w:t>15</w:t>
        </w:r>
        <w:r>
          <w:fldChar w:fldCharType="end"/>
        </w:r>
      </w:hyperlink>
    </w:p>
    <w:p>
      <w:pPr>
        <w:pStyle w:val="TOC2"/>
        <w:tabs>
          <w:tab w:val="right" w:leader="dot" w:pos="8306"/>
        </w:tabs>
      </w:pPr>
      <w:hyperlink w:anchor="_Toc17593" w:history="1">
        <w:r>
          <w:rPr>
            <w:rFonts w:ascii="仿宋" w:eastAsia="仿宋" w:hAnsi="仿宋" w:cs="仿宋" w:hint="eastAsia"/>
            <w:lang w:eastAsia="zh-CN"/>
          </w:rPr>
          <w:t>(一)、年健康服务项目承办单位基本情况</w:t>
        </w:r>
        <w:r>
          <w:tab/>
        </w:r>
        <w:r>
          <w:fldChar w:fldCharType="begin"/>
        </w:r>
        <w:r>
          <w:instrText xml:space="preserve"> PAGEREF _Toc17593 \h </w:instrText>
        </w:r>
        <w:r>
          <w:fldChar w:fldCharType="separate"/>
        </w:r>
        <w:r>
          <w:t>15</w:t>
        </w:r>
        <w:r>
          <w:fldChar w:fldCharType="end"/>
        </w:r>
      </w:hyperlink>
    </w:p>
    <w:p>
      <w:pPr>
        <w:pStyle w:val="TOC2"/>
        <w:tabs>
          <w:tab w:val="right" w:leader="dot" w:pos="8306"/>
        </w:tabs>
      </w:pPr>
      <w:hyperlink w:anchor="_Toc30973" w:history="1">
        <w:r>
          <w:rPr>
            <w:rFonts w:ascii="仿宋" w:eastAsia="仿宋" w:hAnsi="仿宋" w:cs="仿宋" w:hint="eastAsia"/>
            <w:lang w:eastAsia="zh-CN"/>
          </w:rPr>
          <w:t>(二)、公司经济效益分析</w:t>
        </w:r>
        <w:r>
          <w:tab/>
        </w:r>
        <w:r>
          <w:fldChar w:fldCharType="begin"/>
        </w:r>
        <w:r>
          <w:instrText xml:space="preserve"> PAGEREF _Toc30973 \h </w:instrText>
        </w:r>
        <w:r>
          <w:fldChar w:fldCharType="separate"/>
        </w:r>
        <w:r>
          <w:t>16</w:t>
        </w:r>
        <w:r>
          <w:fldChar w:fldCharType="end"/>
        </w:r>
      </w:hyperlink>
    </w:p>
    <w:p>
      <w:pPr>
        <w:pStyle w:val="TOC1"/>
        <w:tabs>
          <w:tab w:val="right" w:leader="dot" w:pos="8306"/>
        </w:tabs>
      </w:pPr>
      <w:hyperlink w:anchor="_Toc12907" w:history="1">
        <w:r>
          <w:rPr>
            <w:rFonts w:ascii="仿宋" w:eastAsia="仿宋" w:hAnsi="仿宋" w:cs="仿宋" w:hint="eastAsia"/>
            <w:lang w:eastAsia="zh-CN"/>
          </w:rPr>
          <w:t>七、生产安全保护</w:t>
        </w:r>
        <w:r>
          <w:tab/>
        </w:r>
        <w:r>
          <w:fldChar w:fldCharType="begin"/>
        </w:r>
        <w:r>
          <w:instrText xml:space="preserve"> PAGEREF _Toc12907 \h </w:instrText>
        </w:r>
        <w:r>
          <w:fldChar w:fldCharType="separate"/>
        </w:r>
        <w:r>
          <w:t>17</w:t>
        </w:r>
        <w:r>
          <w:fldChar w:fldCharType="end"/>
        </w:r>
      </w:hyperlink>
    </w:p>
    <w:p>
      <w:pPr>
        <w:pStyle w:val="TOC2"/>
        <w:tabs>
          <w:tab w:val="right" w:leader="dot" w:pos="8306"/>
        </w:tabs>
      </w:pPr>
      <w:hyperlink w:anchor="_Toc24162" w:history="1">
        <w:r>
          <w:rPr>
            <w:rFonts w:ascii="仿宋" w:eastAsia="仿宋" w:hAnsi="仿宋" w:cs="仿宋" w:hint="eastAsia"/>
            <w:lang w:eastAsia="zh-CN"/>
          </w:rPr>
          <w:t>(一)、消防安全</w:t>
        </w:r>
        <w:r>
          <w:tab/>
        </w:r>
        <w:r>
          <w:fldChar w:fldCharType="begin"/>
        </w:r>
        <w:r>
          <w:instrText xml:space="preserve"> PAGEREF _Toc24162 \h </w:instrText>
        </w:r>
        <w:r>
          <w:fldChar w:fldCharType="separate"/>
        </w:r>
        <w:r>
          <w:t>17</w:t>
        </w:r>
        <w:r>
          <w:fldChar w:fldCharType="end"/>
        </w:r>
      </w:hyperlink>
    </w:p>
    <w:p>
      <w:pPr>
        <w:pStyle w:val="TOC2"/>
        <w:tabs>
          <w:tab w:val="right" w:leader="dot" w:pos="8306"/>
        </w:tabs>
      </w:pPr>
      <w:hyperlink w:anchor="_Toc230" w:history="1">
        <w:r>
          <w:rPr>
            <w:rFonts w:ascii="仿宋" w:eastAsia="仿宋" w:hAnsi="仿宋" w:cs="仿宋" w:hint="eastAsia"/>
            <w:lang w:eastAsia="zh-CN"/>
          </w:rPr>
          <w:t>(二)、防火防爆总图布置措施</w:t>
        </w:r>
        <w:r>
          <w:tab/>
        </w:r>
        <w:r>
          <w:fldChar w:fldCharType="begin"/>
        </w:r>
        <w:r>
          <w:instrText xml:space="preserve"> PAGEREF _Toc230 \h </w:instrText>
        </w:r>
        <w:r>
          <w:fldChar w:fldCharType="separate"/>
        </w:r>
        <w:r>
          <w:t>18</w:t>
        </w:r>
        <w:r>
          <w:fldChar w:fldCharType="end"/>
        </w:r>
      </w:hyperlink>
    </w:p>
    <w:p>
      <w:pPr>
        <w:pStyle w:val="TOC2"/>
        <w:tabs>
          <w:tab w:val="right" w:leader="dot" w:pos="8306"/>
        </w:tabs>
      </w:pPr>
      <w:hyperlink w:anchor="_Toc22670" w:history="1">
        <w:r>
          <w:rPr>
            <w:rFonts w:ascii="仿宋" w:eastAsia="仿宋" w:hAnsi="仿宋" w:cs="仿宋" w:hint="eastAsia"/>
            <w:lang w:eastAsia="zh-CN"/>
          </w:rPr>
          <w:t>(三)、自然灾害防范措施</w:t>
        </w:r>
        <w:r>
          <w:tab/>
        </w:r>
        <w:r>
          <w:fldChar w:fldCharType="begin"/>
        </w:r>
        <w:r>
          <w:instrText xml:space="preserve"> PAGEREF _Toc22670 \h </w:instrText>
        </w:r>
        <w:r>
          <w:fldChar w:fldCharType="separate"/>
        </w:r>
        <w:r>
          <w:t>19</w:t>
        </w:r>
        <w:r>
          <w:fldChar w:fldCharType="end"/>
        </w:r>
      </w:hyperlink>
    </w:p>
    <w:p>
      <w:pPr>
        <w:pStyle w:val="TOC2"/>
        <w:tabs>
          <w:tab w:val="right" w:leader="dot" w:pos="8306"/>
        </w:tabs>
      </w:pPr>
      <w:hyperlink w:anchor="_Toc15534" w:history="1">
        <w:r>
          <w:rPr>
            <w:rFonts w:ascii="仿宋" w:eastAsia="仿宋" w:hAnsi="仿宋" w:cs="仿宋" w:hint="eastAsia"/>
            <w:lang w:eastAsia="zh-CN"/>
          </w:rPr>
          <w:t>(四)、安全色及安全标志使用要求</w:t>
        </w:r>
        <w:r>
          <w:tab/>
        </w:r>
        <w:r>
          <w:fldChar w:fldCharType="begin"/>
        </w:r>
        <w:r>
          <w:instrText xml:space="preserve"> PAGEREF _Toc15534 \h </w:instrText>
        </w:r>
        <w:r>
          <w:fldChar w:fldCharType="separate"/>
        </w:r>
        <w:r>
          <w:t>20</w:t>
        </w:r>
        <w:r>
          <w:fldChar w:fldCharType="end"/>
        </w:r>
      </w:hyperlink>
    </w:p>
    <w:p>
      <w:pPr>
        <w:pStyle w:val="TOC2"/>
        <w:tabs>
          <w:tab w:val="right" w:leader="dot" w:pos="8306"/>
        </w:tabs>
      </w:pPr>
      <w:hyperlink w:anchor="_Toc5363" w:history="1">
        <w:r>
          <w:rPr>
            <w:rFonts w:ascii="仿宋" w:eastAsia="仿宋" w:hAnsi="仿宋" w:cs="仿宋" w:hint="eastAsia"/>
            <w:lang w:eastAsia="zh-CN"/>
          </w:rPr>
          <w:t>(五)、防尘防毒措施</w:t>
        </w:r>
        <w:r>
          <w:tab/>
        </w:r>
        <w:r>
          <w:fldChar w:fldCharType="begin"/>
        </w:r>
        <w:r>
          <w:instrText xml:space="preserve"> PAGEREF _Toc5363 \h </w:instrText>
        </w:r>
        <w:r>
          <w:fldChar w:fldCharType="separate"/>
        </w:r>
        <w:r>
          <w:t>21</w:t>
        </w:r>
        <w:r>
          <w:fldChar w:fldCharType="end"/>
        </w:r>
      </w:hyperlink>
    </w:p>
    <w:p>
      <w:pPr>
        <w:pStyle w:val="TOC2"/>
        <w:tabs>
          <w:tab w:val="right" w:leader="dot" w:pos="8306"/>
        </w:tabs>
      </w:pPr>
      <w:hyperlink w:anchor="_Toc27748" w:history="1">
        <w:r>
          <w:rPr>
            <w:rFonts w:ascii="仿宋" w:eastAsia="仿宋" w:hAnsi="仿宋" w:cs="仿宋" w:hint="eastAsia"/>
            <w:lang w:eastAsia="zh-CN"/>
          </w:rPr>
          <w:t>(六)、防静电、触电防护及防雷措施</w:t>
        </w:r>
        <w:r>
          <w:tab/>
        </w:r>
        <w:r>
          <w:fldChar w:fldCharType="begin"/>
        </w:r>
        <w:r>
          <w:instrText xml:space="preserve"> PAGEREF _Toc27748 \h </w:instrText>
        </w:r>
        <w:r>
          <w:fldChar w:fldCharType="separate"/>
        </w:r>
        <w:r>
          <w:t>22</w:t>
        </w:r>
        <w:r>
          <w:fldChar w:fldCharType="end"/>
        </w:r>
      </w:hyperlink>
    </w:p>
    <w:p>
      <w:pPr>
        <w:pStyle w:val="TOC2"/>
        <w:tabs>
          <w:tab w:val="right" w:leader="dot" w:pos="8306"/>
        </w:tabs>
      </w:pPr>
      <w:hyperlink w:anchor="_Toc15044" w:history="1">
        <w:r>
          <w:rPr>
            <w:rFonts w:ascii="仿宋" w:eastAsia="仿宋" w:hAnsi="仿宋" w:cs="仿宋" w:hint="eastAsia"/>
            <w:lang w:eastAsia="zh-CN"/>
          </w:rPr>
          <w:t>(七)、机械设备安全保障措施</w:t>
        </w:r>
        <w:r>
          <w:tab/>
        </w:r>
        <w:r>
          <w:fldChar w:fldCharType="begin"/>
        </w:r>
        <w:r>
          <w:instrText xml:space="preserve"> PAGEREF _Toc15044 \h </w:instrText>
        </w:r>
        <w:r>
          <w:fldChar w:fldCharType="separate"/>
        </w:r>
        <w:r>
          <w:t>23</w:t>
        </w:r>
        <w:r>
          <w:fldChar w:fldCharType="end"/>
        </w:r>
      </w:hyperlink>
    </w:p>
    <w:p>
      <w:pPr>
        <w:pStyle w:val="TOC1"/>
        <w:tabs>
          <w:tab w:val="right" w:leader="dot" w:pos="8306"/>
        </w:tabs>
      </w:pPr>
      <w:hyperlink w:anchor="_Toc12600" w:history="1">
        <w:r>
          <w:rPr>
            <w:rFonts w:ascii="仿宋" w:eastAsia="仿宋" w:hAnsi="仿宋" w:cs="仿宋" w:hint="eastAsia"/>
            <w:lang w:eastAsia="zh-CN"/>
          </w:rPr>
          <w:t>八、年健康服务项目财务管理</w:t>
        </w:r>
        <w:r>
          <w:tab/>
        </w:r>
        <w:r>
          <w:fldChar w:fldCharType="begin"/>
        </w:r>
        <w:r>
          <w:instrText xml:space="preserve"> PAGEREF _Toc12600 \h </w:instrText>
        </w:r>
        <w:r>
          <w:fldChar w:fldCharType="separate"/>
        </w:r>
        <w:r>
          <w:t>25</w:t>
        </w:r>
        <w:r>
          <w:fldChar w:fldCharType="end"/>
        </w:r>
      </w:hyperlink>
    </w:p>
    <w:p>
      <w:pPr>
        <w:pStyle w:val="TOC2"/>
        <w:tabs>
          <w:tab w:val="right" w:leader="dot" w:pos="8306"/>
        </w:tabs>
      </w:pPr>
      <w:hyperlink w:anchor="_Toc18963" w:history="1">
        <w:r>
          <w:rPr>
            <w:rFonts w:ascii="仿宋" w:eastAsia="仿宋" w:hAnsi="仿宋" w:cs="仿宋" w:hint="eastAsia"/>
            <w:lang w:eastAsia="zh-CN"/>
          </w:rPr>
          <w:t>(一)、资金需求大</w:t>
        </w:r>
        <w:r>
          <w:tab/>
        </w:r>
        <w:r>
          <w:fldChar w:fldCharType="begin"/>
        </w:r>
        <w:r>
          <w:instrText xml:space="preserve"> PAGEREF _Toc18963 \h </w:instrText>
        </w:r>
        <w:r>
          <w:fldChar w:fldCharType="separate"/>
        </w:r>
        <w:r>
          <w:t>25</w:t>
        </w:r>
        <w:r>
          <w:fldChar w:fldCharType="end"/>
        </w:r>
      </w:hyperlink>
    </w:p>
    <w:p>
      <w:pPr>
        <w:pStyle w:val="TOC2"/>
        <w:tabs>
          <w:tab w:val="right" w:leader="dot" w:pos="8306"/>
        </w:tabs>
      </w:pPr>
      <w:hyperlink w:anchor="_Toc26642" w:history="1">
        <w:r>
          <w:rPr>
            <w:rFonts w:ascii="仿宋" w:eastAsia="仿宋" w:hAnsi="仿宋" w:cs="仿宋" w:hint="eastAsia"/>
            <w:lang w:eastAsia="zh-CN"/>
          </w:rPr>
          <w:t>(二)、研发周期长</w:t>
        </w:r>
        <w:r>
          <w:tab/>
        </w:r>
        <w:r>
          <w:fldChar w:fldCharType="begin"/>
        </w:r>
        <w:r>
          <w:instrText xml:space="preserve"> PAGEREF _Toc26642 \h </w:instrText>
        </w:r>
        <w:r>
          <w:fldChar w:fldCharType="separate"/>
        </w:r>
        <w:r>
          <w:t>26</w:t>
        </w:r>
        <w:r>
          <w:fldChar w:fldCharType="end"/>
        </w:r>
      </w:hyperlink>
    </w:p>
    <w:p>
      <w:pPr>
        <w:pStyle w:val="TOC2"/>
        <w:tabs>
          <w:tab w:val="right" w:leader="dot" w:pos="8306"/>
        </w:tabs>
      </w:pPr>
      <w:hyperlink w:anchor="_Toc31958" w:history="1">
        <w:r>
          <w:rPr>
            <w:rFonts w:ascii="仿宋" w:eastAsia="仿宋" w:hAnsi="仿宋" w:cs="仿宋" w:hint="eastAsia"/>
            <w:lang w:eastAsia="zh-CN"/>
          </w:rPr>
          <w:t>(三)、市场风险大</w:t>
        </w:r>
        <w:r>
          <w:tab/>
        </w:r>
        <w:r>
          <w:fldChar w:fldCharType="begin"/>
        </w:r>
        <w:r>
          <w:instrText xml:space="preserve"> PAGEREF _Toc31958 \h </w:instrText>
        </w:r>
        <w:r>
          <w:fldChar w:fldCharType="separate"/>
        </w:r>
        <w:r>
          <w:t>27</w:t>
        </w:r>
        <w:r>
          <w:fldChar w:fldCharType="end"/>
        </w:r>
      </w:hyperlink>
    </w:p>
    <w:p>
      <w:pPr>
        <w:pStyle w:val="TOC2"/>
        <w:tabs>
          <w:tab w:val="right" w:leader="dot" w:pos="8306"/>
        </w:tabs>
      </w:pPr>
      <w:hyperlink w:anchor="_Toc14578" w:history="1">
        <w:r>
          <w:rPr>
            <w:rFonts w:ascii="仿宋" w:eastAsia="仿宋" w:hAnsi="仿宋" w:cs="仿宋" w:hint="eastAsia"/>
            <w:lang w:eastAsia="zh-CN"/>
          </w:rPr>
          <w:t>(四)、利润率高</w:t>
        </w:r>
        <w:r>
          <w:tab/>
        </w:r>
        <w:r>
          <w:fldChar w:fldCharType="begin"/>
        </w:r>
        <w:r>
          <w:instrText xml:space="preserve"> PAGEREF _Toc14578 \h </w:instrText>
        </w:r>
        <w:r>
          <w:fldChar w:fldCharType="separate"/>
        </w:r>
        <w:r>
          <w:t>30</w:t>
        </w:r>
        <w:r>
          <w:fldChar w:fldCharType="end"/>
        </w:r>
      </w:hyperlink>
    </w:p>
    <w:p>
      <w:pPr>
        <w:pStyle w:val="TOC1"/>
        <w:tabs>
          <w:tab w:val="right" w:leader="dot" w:pos="8306"/>
        </w:tabs>
      </w:pPr>
      <w:hyperlink w:anchor="_Toc336" w:history="1">
        <w:r>
          <w:rPr>
            <w:rFonts w:ascii="仿宋" w:eastAsia="仿宋" w:hAnsi="仿宋" w:cs="仿宋" w:hint="eastAsia"/>
            <w:lang w:eastAsia="zh-CN"/>
          </w:rPr>
          <w:t>九、年健康服务项目人力资源管理</w:t>
        </w:r>
        <w:r>
          <w:tab/>
        </w:r>
        <w:r>
          <w:fldChar w:fldCharType="begin"/>
        </w:r>
        <w:r>
          <w:instrText xml:space="preserve"> PAGEREF _Toc336 \h </w:instrText>
        </w:r>
        <w:r>
          <w:fldChar w:fldCharType="separate"/>
        </w:r>
        <w:r>
          <w:t>32</w:t>
        </w:r>
        <w:r>
          <w:fldChar w:fldCharType="end"/>
        </w:r>
      </w:hyperlink>
    </w:p>
    <w:p>
      <w:pPr>
        <w:pStyle w:val="TOC2"/>
        <w:tabs>
          <w:tab w:val="right" w:leader="dot" w:pos="8306"/>
        </w:tabs>
      </w:pPr>
      <w:hyperlink w:anchor="_Toc11860" w:history="1">
        <w:r>
          <w:rPr>
            <w:rFonts w:ascii="仿宋" w:eastAsia="仿宋" w:hAnsi="仿宋" w:cs="仿宋" w:hint="eastAsia"/>
            <w:lang w:eastAsia="zh-CN"/>
          </w:rPr>
          <w:t>(一)、建立健全的预算管理制度</w:t>
        </w:r>
        <w:r>
          <w:tab/>
        </w:r>
        <w:r>
          <w:fldChar w:fldCharType="begin"/>
        </w:r>
        <w:r>
          <w:instrText xml:space="preserve"> PAGEREF _Toc11860 \h </w:instrText>
        </w:r>
        <w:r>
          <w:fldChar w:fldCharType="separate"/>
        </w:r>
        <w:r>
          <w:t>32</w:t>
        </w:r>
        <w:r>
          <w:fldChar w:fldCharType="end"/>
        </w:r>
      </w:hyperlink>
    </w:p>
    <w:p>
      <w:pPr>
        <w:pStyle w:val="TOC2"/>
        <w:tabs>
          <w:tab w:val="right" w:leader="dot" w:pos="8306"/>
        </w:tabs>
      </w:pPr>
      <w:hyperlink w:anchor="_Toc24675" w:history="1">
        <w:r>
          <w:rPr>
            <w:rFonts w:ascii="仿宋" w:eastAsia="仿宋" w:hAnsi="仿宋" w:cs="仿宋" w:hint="eastAsia"/>
            <w:lang w:eastAsia="zh-CN"/>
          </w:rPr>
          <w:t>(二)、加强资金流动监控</w:t>
        </w:r>
        <w:r>
          <w:tab/>
        </w:r>
        <w:r>
          <w:fldChar w:fldCharType="begin"/>
        </w:r>
        <w:r>
          <w:instrText xml:space="preserve"> PAGEREF _Toc24675 \h </w:instrText>
        </w:r>
        <w:r>
          <w:fldChar w:fldCharType="separate"/>
        </w:r>
        <w:r>
          <w:t>33</w:t>
        </w:r>
        <w:r>
          <w:fldChar w:fldCharType="end"/>
        </w:r>
      </w:hyperlink>
    </w:p>
    <w:p>
      <w:pPr>
        <w:pStyle w:val="TOC2"/>
        <w:tabs>
          <w:tab w:val="right" w:leader="dot" w:pos="8306"/>
        </w:tabs>
      </w:pPr>
      <w:hyperlink w:anchor="_Toc31892" w:history="1">
        <w:r>
          <w:rPr>
            <w:rFonts w:ascii="仿宋" w:eastAsia="仿宋" w:hAnsi="仿宋" w:cs="仿宋" w:hint="eastAsia"/>
            <w:lang w:eastAsia="zh-CN"/>
          </w:rPr>
          <w:t>(三)、制定完善的风险控制机制</w:t>
        </w:r>
        <w:r>
          <w:tab/>
        </w:r>
        <w:r>
          <w:fldChar w:fldCharType="begin"/>
        </w:r>
        <w:r>
          <w:instrText xml:space="preserve"> PAGEREF _Toc31892 \h </w:instrText>
        </w:r>
        <w:r>
          <w:fldChar w:fldCharType="separate"/>
        </w:r>
        <w:r>
          <w:t>34</w:t>
        </w:r>
        <w:r>
          <w:fldChar w:fldCharType="end"/>
        </w:r>
      </w:hyperlink>
    </w:p>
    <w:p>
      <w:pPr>
        <w:pStyle w:val="TOC2"/>
        <w:tabs>
          <w:tab w:val="right" w:leader="dot" w:pos="8306"/>
        </w:tabs>
      </w:pPr>
      <w:hyperlink w:anchor="_Toc14297" w:history="1">
        <w:r>
          <w:rPr>
            <w:rFonts w:ascii="仿宋" w:eastAsia="仿宋" w:hAnsi="仿宋" w:cs="仿宋" w:hint="eastAsia"/>
            <w:lang w:eastAsia="zh-CN"/>
          </w:rPr>
          <w:t>(四)、优化成本管理</w:t>
        </w:r>
        <w:r>
          <w:tab/>
        </w:r>
        <w:r>
          <w:fldChar w:fldCharType="begin"/>
        </w:r>
        <w:r>
          <w:instrText xml:space="preserve"> PAGEREF _Toc14297 \h </w:instrText>
        </w:r>
        <w:r>
          <w:fldChar w:fldCharType="separate"/>
        </w:r>
        <w:r>
          <w:t>36</w:t>
        </w:r>
        <w:r>
          <w:fldChar w:fldCharType="end"/>
        </w:r>
      </w:hyperlink>
    </w:p>
    <w:p>
      <w:pPr>
        <w:pStyle w:val="TOC1"/>
        <w:tabs>
          <w:tab w:val="right" w:leader="dot" w:pos="8306"/>
        </w:tabs>
      </w:pPr>
      <w:hyperlink w:anchor="_Toc8622" w:history="1">
        <w:r>
          <w:rPr>
            <w:rFonts w:ascii="仿宋" w:eastAsia="仿宋" w:hAnsi="仿宋" w:cs="仿宋" w:hint="eastAsia"/>
            <w:lang w:eastAsia="zh-CN"/>
          </w:rPr>
          <w:t>十、年健康服务项目风险管理</w:t>
        </w:r>
        <w:r>
          <w:tab/>
        </w:r>
        <w:r>
          <w:fldChar w:fldCharType="begin"/>
        </w:r>
        <w:r>
          <w:instrText xml:space="preserve"> PAGEREF _Toc8622 \h </w:instrText>
        </w:r>
        <w:r>
          <w:fldChar w:fldCharType="separate"/>
        </w:r>
        <w:r>
          <w:t>37</w:t>
        </w:r>
        <w:r>
          <w:fldChar w:fldCharType="end"/>
        </w:r>
      </w:hyperlink>
    </w:p>
    <w:p>
      <w:pPr>
        <w:pStyle w:val="TOC2"/>
        <w:tabs>
          <w:tab w:val="right" w:leader="dot" w:pos="8306"/>
        </w:tabs>
      </w:pPr>
      <w:hyperlink w:anchor="_Toc28594" w:history="1">
        <w:r>
          <w:rPr>
            <w:rFonts w:ascii="仿宋" w:eastAsia="仿宋" w:hAnsi="仿宋" w:cs="仿宋" w:hint="eastAsia"/>
            <w:lang w:eastAsia="zh-CN"/>
          </w:rPr>
          <w:t>(一)、风险识别与评估</w:t>
        </w:r>
        <w:r>
          <w:tab/>
        </w:r>
        <w:r>
          <w:fldChar w:fldCharType="begin"/>
        </w:r>
        <w:r>
          <w:instrText xml:space="preserve"> PAGEREF _Toc28594 \h </w:instrText>
        </w:r>
        <w:r>
          <w:fldChar w:fldCharType="separate"/>
        </w:r>
        <w:r>
          <w:t>37</w:t>
        </w:r>
        <w:r>
          <w:fldChar w:fldCharType="end"/>
        </w:r>
      </w:hyperlink>
    </w:p>
    <w:p>
      <w:pPr>
        <w:pStyle w:val="TOC2"/>
        <w:tabs>
          <w:tab w:val="right" w:leader="dot" w:pos="8306"/>
        </w:tabs>
      </w:pPr>
      <w:hyperlink w:anchor="_Toc2000" w:history="1">
        <w:r>
          <w:rPr>
            <w:rFonts w:ascii="仿宋" w:eastAsia="仿宋" w:hAnsi="仿宋" w:cs="仿宋" w:hint="eastAsia"/>
            <w:lang w:eastAsia="zh-CN"/>
          </w:rPr>
          <w:t>(二)、风险应对策略</w:t>
        </w:r>
        <w:r>
          <w:tab/>
        </w:r>
        <w:r>
          <w:fldChar w:fldCharType="begin"/>
        </w:r>
        <w:r>
          <w:instrText xml:space="preserve"> PAGEREF _Toc2000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 w:history="1">
        <w:r>
          <w:rPr>
            <w:rFonts w:ascii="仿宋" w:eastAsia="仿宋" w:hAnsi="仿宋" w:cs="仿宋" w:hint="eastAsia"/>
            <w:lang w:eastAsia="zh-CN"/>
          </w:rPr>
          <w:t>(三)、风险监控与控制</w:t>
        </w:r>
        <w:r>
          <w:tab/>
        </w:r>
        <w:r>
          <w:fldChar w:fldCharType="begin"/>
        </w:r>
        <w:r>
          <w:instrText xml:space="preserve"> PAGEREF _Toc2788 \h </w:instrText>
        </w:r>
        <w:r>
          <w:fldChar w:fldCharType="separate"/>
        </w:r>
        <w:r>
          <w:t>40</w:t>
        </w:r>
        <w:r>
          <w:fldChar w:fldCharType="end"/>
        </w:r>
      </w:hyperlink>
    </w:p>
    <w:p>
      <w:pPr>
        <w:pStyle w:val="TOC1"/>
        <w:tabs>
          <w:tab w:val="right" w:leader="dot" w:pos="8306"/>
        </w:tabs>
      </w:pPr>
      <w:hyperlink w:anchor="_Toc27025" w:history="1">
        <w:r>
          <w:rPr>
            <w:rFonts w:ascii="仿宋" w:eastAsia="仿宋" w:hAnsi="仿宋" w:cs="仿宋" w:hint="eastAsia"/>
            <w:lang w:eastAsia="zh-CN"/>
          </w:rPr>
          <w:t>十一、年健康服务项目技术管理</w:t>
        </w:r>
        <w:r>
          <w:tab/>
        </w:r>
        <w:r>
          <w:fldChar w:fldCharType="begin"/>
        </w:r>
        <w:r>
          <w:instrText xml:space="preserve"> PAGEREF _Toc27025 \h </w:instrText>
        </w:r>
        <w:r>
          <w:fldChar w:fldCharType="separate"/>
        </w:r>
        <w:r>
          <w:t>41</w:t>
        </w:r>
        <w:r>
          <w:fldChar w:fldCharType="end"/>
        </w:r>
      </w:hyperlink>
    </w:p>
    <w:p>
      <w:pPr>
        <w:pStyle w:val="TOC2"/>
        <w:tabs>
          <w:tab w:val="right" w:leader="dot" w:pos="8306"/>
        </w:tabs>
      </w:pPr>
      <w:hyperlink w:anchor="_Toc30526" w:history="1">
        <w:r>
          <w:rPr>
            <w:rFonts w:ascii="仿宋" w:eastAsia="仿宋" w:hAnsi="仿宋" w:cs="仿宋" w:hint="eastAsia"/>
            <w:lang w:eastAsia="zh-CN"/>
          </w:rPr>
          <w:t>(一)、技术方案选用方向</w:t>
        </w:r>
        <w:r>
          <w:tab/>
        </w:r>
        <w:r>
          <w:fldChar w:fldCharType="begin"/>
        </w:r>
        <w:r>
          <w:instrText xml:space="preserve"> PAGEREF _Toc30526 \h </w:instrText>
        </w:r>
        <w:r>
          <w:fldChar w:fldCharType="separate"/>
        </w:r>
        <w:r>
          <w:t>41</w:t>
        </w:r>
        <w:r>
          <w:fldChar w:fldCharType="end"/>
        </w:r>
      </w:hyperlink>
    </w:p>
    <w:p>
      <w:pPr>
        <w:pStyle w:val="TOC2"/>
        <w:tabs>
          <w:tab w:val="right" w:leader="dot" w:pos="8306"/>
        </w:tabs>
      </w:pPr>
      <w:hyperlink w:anchor="_Toc27852" w:history="1">
        <w:r>
          <w:rPr>
            <w:rFonts w:ascii="仿宋" w:eastAsia="仿宋" w:hAnsi="仿宋" w:cs="仿宋" w:hint="eastAsia"/>
            <w:lang w:eastAsia="zh-CN"/>
          </w:rPr>
          <w:t>(二)、工艺技术方案选用原则</w:t>
        </w:r>
        <w:r>
          <w:tab/>
        </w:r>
        <w:r>
          <w:fldChar w:fldCharType="begin"/>
        </w:r>
        <w:r>
          <w:instrText xml:space="preserve"> PAGEREF _Toc27852 \h </w:instrText>
        </w:r>
        <w:r>
          <w:fldChar w:fldCharType="separate"/>
        </w:r>
        <w:r>
          <w:t>43</w:t>
        </w:r>
        <w:r>
          <w:fldChar w:fldCharType="end"/>
        </w:r>
      </w:hyperlink>
    </w:p>
    <w:p>
      <w:pPr>
        <w:pStyle w:val="TOC2"/>
        <w:tabs>
          <w:tab w:val="right" w:leader="dot" w:pos="8306"/>
        </w:tabs>
      </w:pPr>
      <w:hyperlink w:anchor="_Toc7502" w:history="1">
        <w:r>
          <w:rPr>
            <w:rFonts w:ascii="仿宋" w:eastAsia="仿宋" w:hAnsi="仿宋" w:cs="仿宋" w:hint="eastAsia"/>
            <w:lang w:eastAsia="zh-CN"/>
          </w:rPr>
          <w:t>(三)、工艺技术方案要求</w:t>
        </w:r>
        <w:r>
          <w:tab/>
        </w:r>
        <w:r>
          <w:fldChar w:fldCharType="begin"/>
        </w:r>
        <w:r>
          <w:instrText xml:space="preserve"> PAGEREF _Toc7502 \h </w:instrText>
        </w:r>
        <w:r>
          <w:fldChar w:fldCharType="separate"/>
        </w:r>
        <w:r>
          <w:t>45</w:t>
        </w:r>
        <w:r>
          <w:fldChar w:fldCharType="end"/>
        </w:r>
      </w:hyperlink>
    </w:p>
    <w:p>
      <w:pPr>
        <w:pStyle w:val="TOC1"/>
        <w:tabs>
          <w:tab w:val="right" w:leader="dot" w:pos="8306"/>
        </w:tabs>
      </w:pPr>
      <w:hyperlink w:anchor="_Toc20852" w:history="1">
        <w:r>
          <w:rPr>
            <w:rFonts w:ascii="仿宋" w:eastAsia="仿宋" w:hAnsi="仿宋" w:cs="仿宋" w:hint="eastAsia"/>
            <w:lang w:eastAsia="zh-CN"/>
          </w:rPr>
          <w:t>十二、年健康服务项目创新与研发</w:t>
        </w:r>
        <w:r>
          <w:tab/>
        </w:r>
        <w:r>
          <w:fldChar w:fldCharType="begin"/>
        </w:r>
        <w:r>
          <w:instrText xml:space="preserve"> PAGEREF _Toc20852 \h </w:instrText>
        </w:r>
        <w:r>
          <w:fldChar w:fldCharType="separate"/>
        </w:r>
        <w:r>
          <w:t>47</w:t>
        </w:r>
        <w:r>
          <w:fldChar w:fldCharType="end"/>
        </w:r>
      </w:hyperlink>
    </w:p>
    <w:p>
      <w:pPr>
        <w:pStyle w:val="TOC2"/>
        <w:tabs>
          <w:tab w:val="right" w:leader="dot" w:pos="8306"/>
        </w:tabs>
      </w:pPr>
      <w:hyperlink w:anchor="_Toc14450" w:history="1">
        <w:r>
          <w:rPr>
            <w:rFonts w:ascii="仿宋" w:eastAsia="仿宋" w:hAnsi="仿宋" w:cs="仿宋" w:hint="eastAsia"/>
            <w:lang w:eastAsia="zh-CN"/>
          </w:rPr>
          <w:t>(一)、创新策略与方向</w:t>
        </w:r>
        <w:r>
          <w:tab/>
        </w:r>
        <w:r>
          <w:fldChar w:fldCharType="begin"/>
        </w:r>
        <w:r>
          <w:instrText xml:space="preserve"> PAGEREF _Toc14450 \h </w:instrText>
        </w:r>
        <w:r>
          <w:fldChar w:fldCharType="separate"/>
        </w:r>
        <w:r>
          <w:t>47</w:t>
        </w:r>
        <w:r>
          <w:fldChar w:fldCharType="end"/>
        </w:r>
      </w:hyperlink>
    </w:p>
    <w:p>
      <w:pPr>
        <w:pStyle w:val="TOC2"/>
        <w:tabs>
          <w:tab w:val="right" w:leader="dot" w:pos="8306"/>
        </w:tabs>
      </w:pPr>
      <w:hyperlink w:anchor="_Toc15318" w:history="1">
        <w:r>
          <w:rPr>
            <w:rFonts w:ascii="仿宋" w:eastAsia="仿宋" w:hAnsi="仿宋" w:cs="仿宋" w:hint="eastAsia"/>
            <w:lang w:eastAsia="zh-CN"/>
          </w:rPr>
          <w:t>(二)、研发规划与投入</w:t>
        </w:r>
        <w:r>
          <w:tab/>
        </w:r>
        <w:r>
          <w:fldChar w:fldCharType="begin"/>
        </w:r>
        <w:r>
          <w:instrText xml:space="preserve"> PAGEREF _Toc15318 \h </w:instrText>
        </w:r>
        <w:r>
          <w:fldChar w:fldCharType="separate"/>
        </w:r>
        <w:r>
          <w:t>49</w:t>
        </w:r>
        <w:r>
          <w:fldChar w:fldCharType="end"/>
        </w:r>
      </w:hyperlink>
    </w:p>
    <w:p>
      <w:pPr>
        <w:pStyle w:val="TOC1"/>
        <w:tabs>
          <w:tab w:val="right" w:leader="dot" w:pos="8306"/>
        </w:tabs>
      </w:pPr>
      <w:hyperlink w:anchor="_Toc129" w:history="1">
        <w:r>
          <w:rPr>
            <w:rFonts w:ascii="仿宋" w:eastAsia="仿宋" w:hAnsi="仿宋" w:cs="仿宋" w:hint="eastAsia"/>
            <w:lang w:eastAsia="zh-CN"/>
          </w:rPr>
          <w:t>十三、年健康服务项目工程方案分析</w:t>
        </w:r>
        <w:r>
          <w:tab/>
        </w:r>
        <w:r>
          <w:fldChar w:fldCharType="begin"/>
        </w:r>
        <w:r>
          <w:instrText xml:space="preserve"> PAGEREF _Toc129 \h </w:instrText>
        </w:r>
        <w:r>
          <w:fldChar w:fldCharType="separate"/>
        </w:r>
        <w:r>
          <w:t>50</w:t>
        </w:r>
        <w:r>
          <w:fldChar w:fldCharType="end"/>
        </w:r>
      </w:hyperlink>
    </w:p>
    <w:p>
      <w:pPr>
        <w:pStyle w:val="TOC2"/>
        <w:tabs>
          <w:tab w:val="right" w:leader="dot" w:pos="8306"/>
        </w:tabs>
      </w:pPr>
      <w:hyperlink w:anchor="_Toc7719" w:history="1">
        <w:r>
          <w:rPr>
            <w:rFonts w:ascii="仿宋" w:eastAsia="仿宋" w:hAnsi="仿宋" w:cs="仿宋" w:hint="eastAsia"/>
            <w:lang w:eastAsia="zh-CN"/>
          </w:rPr>
          <w:t>(一)、建筑工程设计原则</w:t>
        </w:r>
        <w:r>
          <w:tab/>
        </w:r>
        <w:r>
          <w:fldChar w:fldCharType="begin"/>
        </w:r>
        <w:r>
          <w:instrText xml:space="preserve"> PAGEREF _Toc7719 \h </w:instrText>
        </w:r>
        <w:r>
          <w:fldChar w:fldCharType="separate"/>
        </w:r>
        <w:r>
          <w:t>50</w:t>
        </w:r>
        <w:r>
          <w:fldChar w:fldCharType="end"/>
        </w:r>
      </w:hyperlink>
    </w:p>
    <w:p>
      <w:pPr>
        <w:pStyle w:val="TOC2"/>
        <w:tabs>
          <w:tab w:val="right" w:leader="dot" w:pos="8306"/>
        </w:tabs>
      </w:pPr>
      <w:hyperlink w:anchor="_Toc14769" w:history="1">
        <w:r>
          <w:rPr>
            <w:rFonts w:ascii="仿宋" w:eastAsia="仿宋" w:hAnsi="仿宋" w:cs="仿宋" w:hint="eastAsia"/>
            <w:lang w:eastAsia="zh-CN"/>
          </w:rPr>
          <w:t>(二)、土建工程建设指标</w:t>
        </w:r>
        <w:r>
          <w:tab/>
        </w:r>
        <w:r>
          <w:fldChar w:fldCharType="begin"/>
        </w:r>
        <w:r>
          <w:instrText xml:space="preserve"> PAGEREF _Toc14769 \h </w:instrText>
        </w:r>
        <w:r>
          <w:fldChar w:fldCharType="separate"/>
        </w:r>
        <w:r>
          <w:t>54</w:t>
        </w:r>
        <w:r>
          <w:fldChar w:fldCharType="end"/>
        </w:r>
      </w:hyperlink>
    </w:p>
    <w:p>
      <w:pPr>
        <w:pStyle w:val="TOC1"/>
        <w:tabs>
          <w:tab w:val="right" w:leader="dot" w:pos="8306"/>
        </w:tabs>
      </w:pPr>
      <w:hyperlink w:anchor="_Toc9044" w:history="1">
        <w:r>
          <w:rPr>
            <w:rFonts w:ascii="仿宋" w:eastAsia="仿宋" w:hAnsi="仿宋" w:cs="仿宋" w:hint="eastAsia"/>
            <w:lang w:eastAsia="zh-CN"/>
          </w:rPr>
          <w:t>十四、营销与推广策略</w:t>
        </w:r>
        <w:r>
          <w:tab/>
        </w:r>
        <w:r>
          <w:fldChar w:fldCharType="begin"/>
        </w:r>
        <w:r>
          <w:instrText xml:space="preserve"> PAGEREF _Toc9044 \h </w:instrText>
        </w:r>
        <w:r>
          <w:fldChar w:fldCharType="separate"/>
        </w:r>
        <w:r>
          <w:t>55</w:t>
        </w:r>
        <w:r>
          <w:fldChar w:fldCharType="end"/>
        </w:r>
      </w:hyperlink>
    </w:p>
    <w:p>
      <w:pPr>
        <w:pStyle w:val="TOC2"/>
        <w:tabs>
          <w:tab w:val="right" w:leader="dot" w:pos="8306"/>
        </w:tabs>
      </w:pPr>
      <w:hyperlink w:anchor="_Toc9371" w:history="1">
        <w:r>
          <w:rPr>
            <w:rFonts w:ascii="仿宋" w:eastAsia="仿宋" w:hAnsi="仿宋" w:cs="仿宋" w:hint="eastAsia"/>
            <w:lang w:eastAsia="zh-CN"/>
          </w:rPr>
          <w:t>(一)、产品/服务定位与特点</w:t>
        </w:r>
        <w:r>
          <w:tab/>
        </w:r>
        <w:r>
          <w:fldChar w:fldCharType="begin"/>
        </w:r>
        <w:r>
          <w:instrText xml:space="preserve"> PAGEREF _Toc9371 \h </w:instrText>
        </w:r>
        <w:r>
          <w:fldChar w:fldCharType="separate"/>
        </w:r>
        <w:r>
          <w:t>55</w:t>
        </w:r>
        <w:r>
          <w:fldChar w:fldCharType="end"/>
        </w:r>
      </w:hyperlink>
    </w:p>
    <w:p>
      <w:pPr>
        <w:pStyle w:val="TOC2"/>
        <w:tabs>
          <w:tab w:val="right" w:leader="dot" w:pos="8306"/>
        </w:tabs>
      </w:pPr>
      <w:hyperlink w:anchor="_Toc19812" w:history="1">
        <w:r>
          <w:rPr>
            <w:rFonts w:ascii="仿宋" w:eastAsia="仿宋" w:hAnsi="仿宋" w:cs="仿宋" w:hint="eastAsia"/>
            <w:lang w:eastAsia="zh-CN"/>
          </w:rPr>
          <w:t>(二)、市场定位与竞争分析</w:t>
        </w:r>
        <w:r>
          <w:tab/>
        </w:r>
        <w:r>
          <w:fldChar w:fldCharType="begin"/>
        </w:r>
        <w:r>
          <w:instrText xml:space="preserve"> PAGEREF _Toc19812 \h </w:instrText>
        </w:r>
        <w:r>
          <w:fldChar w:fldCharType="separate"/>
        </w:r>
        <w:r>
          <w:t>57</w:t>
        </w:r>
        <w:r>
          <w:fldChar w:fldCharType="end"/>
        </w:r>
      </w:hyperlink>
    </w:p>
    <w:p>
      <w:pPr>
        <w:pStyle w:val="TOC2"/>
        <w:tabs>
          <w:tab w:val="right" w:leader="dot" w:pos="8306"/>
        </w:tabs>
      </w:pPr>
      <w:hyperlink w:anchor="_Toc22425" w:history="1">
        <w:r>
          <w:rPr>
            <w:rFonts w:ascii="仿宋" w:eastAsia="仿宋" w:hAnsi="仿宋" w:cs="仿宋" w:hint="eastAsia"/>
            <w:lang w:eastAsia="zh-CN"/>
          </w:rPr>
          <w:t>(三)、营销渠道与策略</w:t>
        </w:r>
        <w:r>
          <w:tab/>
        </w:r>
        <w:r>
          <w:fldChar w:fldCharType="begin"/>
        </w:r>
        <w:r>
          <w:instrText xml:space="preserve"> PAGEREF _Toc22425 \h </w:instrText>
        </w:r>
        <w:r>
          <w:fldChar w:fldCharType="separate"/>
        </w:r>
        <w:r>
          <w:t>58</w:t>
        </w:r>
        <w:r>
          <w:fldChar w:fldCharType="end"/>
        </w:r>
      </w:hyperlink>
    </w:p>
    <w:p>
      <w:pPr>
        <w:pStyle w:val="TOC2"/>
        <w:tabs>
          <w:tab w:val="right" w:leader="dot" w:pos="8306"/>
        </w:tabs>
      </w:pPr>
      <w:hyperlink w:anchor="_Toc19449" w:history="1">
        <w:r>
          <w:rPr>
            <w:rFonts w:ascii="仿宋" w:eastAsia="仿宋" w:hAnsi="仿宋" w:cs="仿宋" w:hint="eastAsia"/>
            <w:lang w:eastAsia="zh-CN"/>
          </w:rPr>
          <w:t>(四)、推广与宣传活动</w:t>
        </w:r>
        <w:r>
          <w:tab/>
        </w:r>
        <w:r>
          <w:fldChar w:fldCharType="begin"/>
        </w:r>
        <w:r>
          <w:instrText xml:space="preserve"> PAGEREF _Toc19449 \h </w:instrText>
        </w:r>
        <w:r>
          <w:fldChar w:fldCharType="separate"/>
        </w:r>
        <w:r>
          <w:t>59</w:t>
        </w:r>
        <w:r>
          <w:fldChar w:fldCharType="end"/>
        </w:r>
      </w:hyperlink>
    </w:p>
    <w:p>
      <w:pPr>
        <w:pStyle w:val="TOC1"/>
        <w:tabs>
          <w:tab w:val="right" w:leader="dot" w:pos="8306"/>
        </w:tabs>
      </w:pPr>
      <w:hyperlink w:anchor="_Toc5069" w:history="1">
        <w:r>
          <w:rPr>
            <w:rFonts w:ascii="仿宋" w:eastAsia="仿宋" w:hAnsi="仿宋" w:cs="仿宋" w:hint="eastAsia"/>
            <w:lang w:eastAsia="zh-CN"/>
          </w:rPr>
          <w:t>十五、风险识别与分类</w:t>
        </w:r>
        <w:r>
          <w:tab/>
        </w:r>
        <w:r>
          <w:fldChar w:fldCharType="begin"/>
        </w:r>
        <w:r>
          <w:instrText xml:space="preserve"> PAGEREF _Toc5069 \h </w:instrText>
        </w:r>
        <w:r>
          <w:fldChar w:fldCharType="separate"/>
        </w:r>
        <w:r>
          <w:t>64</w:t>
        </w:r>
        <w:r>
          <w:fldChar w:fldCharType="end"/>
        </w:r>
      </w:hyperlink>
    </w:p>
    <w:p>
      <w:pPr>
        <w:pStyle w:val="TOC2"/>
        <w:tabs>
          <w:tab w:val="right" w:leader="dot" w:pos="8306"/>
        </w:tabs>
      </w:pPr>
      <w:hyperlink w:anchor="_Toc29608" w:history="1">
        <w:r>
          <w:rPr>
            <w:rFonts w:ascii="仿宋" w:eastAsia="仿宋" w:hAnsi="仿宋" w:cs="仿宋" w:hint="eastAsia"/>
            <w:lang w:eastAsia="zh-CN"/>
          </w:rPr>
          <w:t>(一)、风险识别</w:t>
        </w:r>
        <w:r>
          <w:tab/>
        </w:r>
        <w:r>
          <w:fldChar w:fldCharType="begin"/>
        </w:r>
        <w:r>
          <w:instrText xml:space="preserve"> PAGEREF _Toc29608 \h </w:instrText>
        </w:r>
        <w:r>
          <w:fldChar w:fldCharType="separate"/>
        </w:r>
        <w:r>
          <w:t>64</w:t>
        </w:r>
        <w:r>
          <w:fldChar w:fldCharType="end"/>
        </w:r>
      </w:hyperlink>
    </w:p>
    <w:p>
      <w:pPr>
        <w:pStyle w:val="TOC2"/>
        <w:tabs>
          <w:tab w:val="right" w:leader="dot" w:pos="8306"/>
        </w:tabs>
      </w:pPr>
      <w:hyperlink w:anchor="_Toc31625" w:history="1">
        <w:r>
          <w:rPr>
            <w:rFonts w:ascii="仿宋" w:eastAsia="仿宋" w:hAnsi="仿宋" w:cs="仿宋" w:hint="eastAsia"/>
            <w:lang w:eastAsia="zh-CN"/>
          </w:rPr>
          <w:t>(二)、风险分类</w:t>
        </w:r>
        <w:r>
          <w:tab/>
        </w:r>
        <w:r>
          <w:fldChar w:fldCharType="begin"/>
        </w:r>
        <w:r>
          <w:instrText xml:space="preserve"> PAGEREF _Toc31625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43"/>
      <w:r>
        <w:rPr>
          <w:rFonts w:ascii="仿宋" w:eastAsia="仿宋" w:hAnsi="仿宋" w:cs="仿宋" w:hint="eastAsia"/>
          <w:sz w:val="28"/>
          <w:lang w:eastAsia="zh-CN"/>
        </w:rPr>
        <w:t>一、年健康服务项目建设背景及必要性分析</w:t>
      </w:r>
      <w:bookmarkEnd w:id="2"/>
    </w:p>
    <w:p>
      <w:pPr>
        <w:pStyle w:val="Heading2"/>
        <w:rPr>
          <w:rFonts w:ascii="仿宋" w:eastAsia="仿宋" w:hAnsi="仿宋" w:cs="仿宋" w:hint="eastAsia"/>
          <w:lang w:eastAsia="zh-CN"/>
        </w:rPr>
      </w:pPr>
      <w:bookmarkStart w:id="3" w:name="_Toc13857"/>
      <w:r>
        <w:rPr>
          <w:rFonts w:ascii="仿宋" w:eastAsia="仿宋" w:hAnsi="仿宋" w:cs="仿宋" w:hint="eastAsia"/>
          <w:lang w:eastAsia="zh-CN"/>
        </w:rPr>
        <w:t>(一)、年健康服务项目背景分析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健康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健康服务项目在这个潮流中的定位。同时，我们将关注行业内涌现的新兴机遇，以便年健康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健康服务项目提供了强大的发展动力。我们将聚焦于行业内最新的技术发展趋势，包括但不限于人工智能、大数据分析、物联网等领域。通过深度的技术研究，我们将确保年健康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健康服务项目发展的源泉。我们将投入更多的精力对市场需求进行深入剖析，超越表面的需求，深入挖掘潜在的市场痛点和机遇。通过对市场需求的细致了解，年健康服务项目将更有针对性地设计解决方案，满足市场的多样化需求，从而更好地促进年健康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健康服务项目战略至关重要。我们将对竞争态势进行更为深入的分析，包括但不限于市场份额、产品特点、客户满意度等多个维度。通过深度的竞争分析，年健康服务项目将能够更准确地把握市场脉搏，制定具有竞争力的年健康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年健康服务项目的发展具有直接的影响。我们将进行更为全面的法规和政策分析，了解行业发展中的潜在法律风险和合规挑战。通过充分了解和遵守相关法规，年健康服务项目将确保在法律框架内合法合规运营，为年健康服务项目的稳健发展提供有力支持。</w:t>
      </w:r>
    </w:p>
    <w:p>
      <w:pPr>
        <w:pStyle w:val="Heading2"/>
        <w:ind w:firstLine="560" w:firstLineChars="200"/>
        <w:rPr>
          <w:rFonts w:ascii="仿宋" w:eastAsia="仿宋" w:hAnsi="仿宋" w:cs="仿宋" w:hint="eastAsia"/>
          <w:sz w:val="28"/>
          <w:lang w:eastAsia="zh-CN"/>
        </w:rPr>
      </w:pPr>
      <w:bookmarkStart w:id="4" w:name="_Toc28958"/>
      <w:r>
        <w:rPr>
          <w:rFonts w:ascii="仿宋" w:eastAsia="仿宋" w:hAnsi="仿宋" w:cs="仿宋" w:hint="eastAsia"/>
          <w:sz w:val="28"/>
          <w:lang w:eastAsia="zh-CN"/>
        </w:rPr>
        <w:t>(二)、年健康服务项目建设必要性分析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建设的迫切性源于对行业发展趋势的深刻洞察。我们正处于一个行业变革的时代，科技创新、数字化转型成为企业发展的关键动力。年健康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建设不仅仅是为了跟上潮流，更是为了通过技术创新推动企业的持续发展。通过引入先进的技术和解决方案，年健康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健康服务项目的建设成为必然选择，通过提高产品质量、拓展服务领域，从而在竞争中获得更多的机会。年健康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健康服务项目建设的必要性体现在对客户需求更精准的满足。通过年健康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建设的背后是对企业持续创新的追求。只有通过不断创新，企业才能在竞争中立于不败之地。年健康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332"/>
      <w:r>
        <w:rPr>
          <w:rFonts w:ascii="仿宋" w:eastAsia="仿宋" w:hAnsi="仿宋" w:cs="仿宋" w:hint="eastAsia"/>
          <w:sz w:val="28"/>
          <w:lang w:eastAsia="zh-CN"/>
        </w:rPr>
        <w:t>二、年健康服务项目绩效评估</w:t>
      </w:r>
      <w:bookmarkEnd w:id="5"/>
    </w:p>
    <w:p>
      <w:pPr>
        <w:pStyle w:val="Heading2"/>
        <w:rPr>
          <w:rFonts w:ascii="仿宋" w:eastAsia="仿宋" w:hAnsi="仿宋" w:cs="仿宋" w:hint="eastAsia"/>
          <w:lang w:eastAsia="zh-CN"/>
        </w:rPr>
      </w:pPr>
      <w:bookmarkStart w:id="6" w:name="_Toc276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项目中，我们设计了一套全面的绩效评估指标，以确保年健康服务项目的可控和成功交付。这些指标跨足年健康服务项目目标、成本、进度和质量等多个维度，为我们提供了全面洞察年健康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目标达成率是我们关注的首要指标。我们设定了明确的目标，并通过定期监测和评估，迅速发现并应对潜在的目标偏差。这为年健康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成本绩效是另一个核心关注点。通过实际成本与预算成本的对比分析，我们深入了解成本差异的原因，及时调整资源分配，保持年健康服务项目在经济效益方面的合理水平。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进度作为关键的绩效指标之一，得到了精心的关注。我们制定了详细的年健康服务项目进度计划，并设立了进度符合度指标，确保实际进度与计划进度保持一致。这使我们能够快速发现和解决潜在的进度问题，保持年健康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健康服务项目绩效的不可或缺的一环。我们引入了一系列的质量标准和客户满意度指标，以确保年健康服务项目交付的成果在质量上达到或超越预期水平。通过持续监测这些指标，我们努力提升年健康服务项目整体质量水平，为年健康服务项目的成功交付提供有力保障。通过这些科学且全面的绩效评估，我们能够更好地引导年健康服务项目的持续改进，确保年健康服务项目目标的顺利达成。</w:t>
      </w:r>
    </w:p>
    <w:p>
      <w:pPr>
        <w:pStyle w:val="Heading2"/>
        <w:ind w:firstLine="560" w:firstLineChars="200"/>
        <w:rPr>
          <w:rFonts w:ascii="仿宋" w:eastAsia="仿宋" w:hAnsi="仿宋" w:cs="仿宋" w:hint="eastAsia"/>
          <w:sz w:val="28"/>
          <w:lang w:eastAsia="zh-CN"/>
        </w:rPr>
      </w:pPr>
      <w:bookmarkStart w:id="7" w:name="_Toc121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绩效评估是年健康服务项目中的关键环节，为确保年健康服务项目达到预期目标，我们采用了多层次、多维度的绩效评估方法。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健康服务项目的战略目标对齐，确保每个决策和行动都与年健康服务项目整体目标保持一致。团队会定期召开战略对齐会议，审视当前工作与年健康服务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健康服务项目进度、质量、成本和风险等方面。这些指标通过数据收集和分析，为年健康服务项目管理团队提供了客观的评估依据。例如，我们通过年健康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绩效评估不仅仅停留在年健康服务项目内部，还考虑了年健康服务项目对外部环境的影响。我们定期进行干系人满意度调查，以了解各利益相关方对年健康服务项目的期望和满意度，并及时做出调整。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这种多层次、多角度的绩效评估方法，使得我们能够全面了解年健康服务项目的运行状态，及时做出调整，确保年健康服务项目在不断变化的环境中保持稳健前行。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290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为了确保年健康服务项目的有效管理和不断优化，我们采用了精心设计的绩效评估周期。这个周期旨在实现灵活、实时和全面的评估，以适应年健康服务项目执行中的各种挑战。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健康服务项目的不同需求，分为短期、中期和长期。短期评估关注每个迭代或工作周期，以及时发现和解决当前任务中的问题。中期评估涵盖几个迭代，深入了解整体年健康服务项目的趋势和性能。长期评估则着眼于整个年健康服务项目阶段，确保年健康服务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健康服务项目管理工具和协作平台，团队成员能够随时更新和分享年健康服务项目数据。这种实时性的反馈机制使我们能够及时察觉潜在问题，快速调整，保持年健康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健康服务项目的决策制定密不可分。每个周期的年健康服务项目回顾会议成为集体总结经验、识别问题深层次原因并找到创新解决方案的平台。这种定期的反思与调整机制使年健康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60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1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年健康服务项目的主要产品是XXXX，预计年产值为XXX万元。这一产品在市场中占据着重要的地位，其广泛的应用范围使得该年健康服务项目的市场前景非常广阔。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健康服务项目的xxx产品作为重要的原材料之一，将在多个领域发挥关键作用。其在建筑、交通、能源等方面的广泛应用将为整个产业链提供强大的支持，形成产业协同效应。年健康服务项目的年产值XXX万XXX万XXX万万元不仅反映了其在市场上的巨大潜力，更预示着它对国民经济的积极贡献。这种关联度高、涉及面广的产业关系，使得该年健康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1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总征地面积为XXXX平方米，相当于约XX.XX亩，其中净用地面积为XXXX平方米，红线范围内相当于约XX.XX亩。这一用地规模充分考虑了年健康服务项目的建设需求，保障了年健康服务项目在合适的空间内得以充分发展。年健康服务项目规划的总建筑面积为XXXX平方米，其中主体工程建设占XXXX平方米，计容建筑面积达XXXX平方米。预计建筑工程的投资将达到XXXX万元，为年健康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年健康服务项目计划购置的设备共计XXXX台（套），设备购置费用为XXXX万元。这一设备购置计划充分考虑到年健康服务项目的生产需求和技术要求，确保了年健康服务项目在生产运营中具备先进的技术装备和高效的生产能力。设备的合理配置将为年健康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计划总投资为XXXX万元，预计年实现营业收入为XXXX万元。这一产能规模的设定旨在确保年健康服务项目能够在投资与回报之间取得平衡，实现长期可持续的发展。年健康服务项目的总投资充分考虑到各个方面的需求，包括用地建设、设备购置等多个环节，以确保年健康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706"/>
      <w:r>
        <w:rPr>
          <w:rFonts w:ascii="仿宋" w:eastAsia="仿宋" w:hAnsi="仿宋" w:cs="仿宋" w:hint="eastAsia"/>
          <w:sz w:val="28"/>
          <w:lang w:eastAsia="zh-CN"/>
        </w:rPr>
        <w:t>四、年健康服务项目危机管理</w:t>
      </w:r>
      <w:bookmarkEnd w:id="12"/>
    </w:p>
    <w:p>
      <w:pPr>
        <w:pStyle w:val="Heading2"/>
        <w:rPr>
          <w:rFonts w:ascii="仿宋" w:eastAsia="仿宋" w:hAnsi="仿宋" w:cs="仿宋" w:hint="eastAsia"/>
          <w:lang w:eastAsia="zh-CN"/>
        </w:rPr>
      </w:pPr>
      <w:bookmarkStart w:id="13" w:name="_Toc1805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项目危机管理中，危机预警与识别是确保年健康服务项目稳健运行的核心步骤。通过建立全面的监测机制，年健康服务项目团队旨在及时发现和理解潜在的风险和危机因素，以便采取及时的预防和应对措施，确保年健康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首先，通过深入的风险评估，年健康服务项目团队全面分析了整个年健康服务项目和各个阶段可能存在的威胁。这包括准确评估每个潜在风险的发生概率和可能影响的程度，为后续危机预警提供了有力支持。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健康服务项目团队着重于明确定义年健康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健康服务项目进展的持续监控，团队能够及时发现潜在问题并作出迅速反应。年健康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在这一阶段，团队的专业素养和反应速度将发挥至关重要的作用，以确保潜在危机能够在初期得到有效的处理，最大程度地减轻负面影响。通过危机预警与识别，年健康服务项目得以更有序、可控地推进。</w:t>
      </w:r>
    </w:p>
    <w:p>
      <w:pPr>
        <w:pStyle w:val="Heading2"/>
        <w:ind w:firstLine="560" w:firstLineChars="200"/>
        <w:rPr>
          <w:rFonts w:ascii="仿宋" w:eastAsia="仿宋" w:hAnsi="仿宋" w:cs="仿宋" w:hint="eastAsia"/>
          <w:sz w:val="28"/>
          <w:lang w:eastAsia="zh-CN"/>
        </w:rPr>
      </w:pPr>
      <w:bookmarkStart w:id="14" w:name="_Toc131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在危机发生时，年健康服务项目团队立即行动，成立了应急小组。该小组的任务是迅速制定并实施紧急应对措施，以最小化潜在损失。以下是采取的主要措施：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暂停年健康服务项目进度：为遏制危机蔓延，年健康服务项目暂时停止进行，以便全面评估当前状况。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资源重新分配：重新评估年健康服务项目资源的分配，确保最大限度地减小损失。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实时沟通：与关键利益相关者建立实时沟通机制，向他们传递年健康服务项目危机的实际状况，保障年健康服务项目核心利益。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在紧急应对的同时，年健康服务项目团队强调了团队协作和有效沟通的重要性。以下是团队协作的关键举措：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信息共享机制：建立了信息共享平台，确保团队成员能够及时获取年健康服务项目危机的实时信息。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领导者沟通：年健康服务项目领导者通过定期会议和即时沟通工具，指导团队应对危机，保持团队稳定运行。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随着危机得到初步控制，年健康服务项目团队转向制定恢复计划，以确保年健康服务项目能够从中迅速恢复。主要恢复计划包括：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修复受损的进度计划：重新评估年健康服务项目进度，制定修复计划，确保年健康服务项目尽快回归正常进程。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重新调整资源分配：优化资源分配，确保年健康服务项目在有限资源下高效运转。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风险管理机制加强：对年健康服务项目风险进行全面评估，制定更强化的风险管理策略，以预防未来可能的危机。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796"/>
      <w:r>
        <w:rPr>
          <w:rFonts w:ascii="仿宋" w:eastAsia="仿宋" w:hAnsi="仿宋" w:cs="仿宋" w:hint="eastAsia"/>
          <w:sz w:val="28"/>
          <w:lang w:eastAsia="zh-CN"/>
        </w:rPr>
        <w:t>五、年健康服务项目可持续发展</w:t>
      </w:r>
      <w:bookmarkEnd w:id="15"/>
    </w:p>
    <w:p>
      <w:pPr>
        <w:pStyle w:val="Heading2"/>
        <w:rPr>
          <w:rFonts w:ascii="仿宋" w:eastAsia="仿宋" w:hAnsi="仿宋" w:cs="仿宋" w:hint="eastAsia"/>
          <w:lang w:eastAsia="zh-CN"/>
        </w:rPr>
      </w:pPr>
      <w:bookmarkStart w:id="16" w:name="_Toc2873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健康服务项目中，年健康服务项目团队着眼于未来，明确了可持续发展的战略方向。制定的具体可持续发展目标包括降低资源使用、采用环保技术、最大化社会效益等。这一步骤不仅有助于年健康服务项目在环保和社会责任方面达到最高标准，也为未来提供了明确的指引，确保年健康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可持续实践的融入年健康服务项目管理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健康服务项目管理周期。从年健康服务项目规划开始，年健康服务项目团队就考虑了环境和社会的因素。在执行阶段，年健康服务项目团队积极推动绿色技术的应用，优化资源利用。此外，关注员工的社会责任，通过培训和沟通活动提高员工对可持续发展的认知，使他们能够在日常工作中践行可持续实践。这些举措不仅为年健康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27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扎根于年健康服务项目的可持续发展理念，我们深信环保与社会责任是年健康服务项目成功的关键支柱。在年健康服务项目的每一步，我们都致力于通过创新和实践，履行对环境和社会的坚定责任。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年健康服务项目团队通过引入先进的环保技术、建立高效的废物处理系统以及推动能源节约措施，积极履行环保责任。定期的环保监测和评估确保年健康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健康服务项目不仅致力于自身可持续发展，还注重对社会的回馈。通过支持社区年健康服务项目、参与慈善事业、提供培训机会等方式，年健康服务项目积极履行社会责任。与当地社区建立积极互动，关注员工的工作与生活平衡，以及员工的身心健康，是年健康服务项目在社会责任层面的关键举措。这样的实践不仅增强了年健康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625"/>
      <w:r>
        <w:rPr>
          <w:rFonts w:ascii="仿宋" w:eastAsia="仿宋" w:hAnsi="仿宋" w:cs="仿宋" w:hint="eastAsia"/>
          <w:sz w:val="28"/>
          <w:lang w:eastAsia="zh-CN"/>
        </w:rPr>
        <w:t>六、年健康服务项目建设单位说明</w:t>
      </w:r>
      <w:bookmarkEnd w:id="18"/>
    </w:p>
    <w:p>
      <w:pPr>
        <w:pStyle w:val="Heading2"/>
        <w:rPr>
          <w:rFonts w:ascii="仿宋" w:eastAsia="仿宋" w:hAnsi="仿宋" w:cs="仿宋" w:hint="eastAsia"/>
          <w:lang w:eastAsia="zh-CN"/>
        </w:rPr>
      </w:pPr>
      <w:bookmarkStart w:id="19" w:name="_Toc17593"/>
      <w:r>
        <w:rPr>
          <w:rFonts w:ascii="仿宋" w:eastAsia="仿宋" w:hAnsi="仿宋" w:cs="仿宋" w:hint="eastAsia"/>
          <w:lang w:eastAsia="zh-CN"/>
        </w:rPr>
        <w:t>(一)、年健康服务项目承办单位基本情况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97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健康服务项目承办单位的XXXX，我们着眼于实现可持续的经济效益。通过技术创新和解决方案的提供，公司预计在年健康服务项目执行期间将获得可观的收入增长。这一收入来源主要包括年健康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同时，我们注重成本控制和效率提升，以确保年健康服务项目的可持续盈利。透过精细的管理和资源优化，公司期望实现年健康服务项目利润最大化。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健康服务项目实施进行全面的投资评估，包括年健康服务项目启动阶段的资金投入和后续运营成本。通过对年健康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健康服务项目实施过程中具备足够的资金流动性，公司将进行详尽的现金流分析。这包括资金需求的合理预测、年健康服务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https://d.book118.com/627025063143006025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年健康服务项目规划设计纲要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C705B"/>
    <w:rsid w:val="1B6C70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2506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2024-01-03T09:32:00Z</dcterms:created>
  <dcterms:modified xsi:type="dcterms:W3CDTF">2024-01-03T09:32:23Z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3CC9AA0CB98740E192936A1151120E03_11</vt:lpwstr>
  </property>
  <property fmtid="{D5CDD505-2E9C-101B-9397-08002B2CF9AE}" pid="3" name="KSOProductBuildVer">
    <vt:lpwstr>2052-12.1.0.16120</vt:lpwstr>
  </property>
</Properties>
</file>