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货舱漆相关行业公司成立方案及可行性研究报告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_Toc22606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2" w:history="1">
        <w:r>
          <w:rPr>
            <w:rFonts w:ascii="仿宋" w:eastAsia="仿宋" w:hAnsi="仿宋" w:cs="仿宋" w:hint="eastAsia"/>
            <w:lang w:eastAsia="zh-CN"/>
          </w:rPr>
          <w:t>(七)、货舱漆项目建设必要性分析</w:t>
        </w:r>
        <w:r>
          <w:tab/>
        </w:r>
        <w:r>
          <w:fldChar w:fldCharType="begin"/>
        </w:r>
        <w:r>
          <w:instrText xml:space="preserve"> PAGEREF _Toc31622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二、货舱漆筹建公司基本信息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_Toc30323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_Toc23110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_Toc17088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_Toc28418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_Toc17433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五、货舱漆项目概况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_Toc16118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(二)、货舱漆项目提出的理由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" w:history="1">
        <w:r>
          <w:rPr>
            <w:rFonts w:ascii="仿宋" w:eastAsia="仿宋" w:hAnsi="仿宋" w:cs="仿宋" w:hint="eastAsia"/>
            <w:lang w:eastAsia="zh-CN"/>
          </w:rPr>
          <w:t>(三)、货舱漆项目选址</w:t>
        </w:r>
        <w:r>
          <w:tab/>
        </w:r>
        <w:r>
          <w:fldChar w:fldCharType="begin"/>
        </w:r>
        <w:r>
          <w:instrText xml:space="preserve"> PAGEREF _Toc1657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4" w:history="1">
        <w:r>
          <w:rPr>
            <w:rFonts w:ascii="仿宋" w:eastAsia="仿宋" w:hAnsi="仿宋" w:cs="仿宋" w:hint="eastAsia"/>
            <w:lang w:eastAsia="zh-CN"/>
          </w:rPr>
          <w:t>(六)、货舱漆项目投资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(七)、货舱漆项目进度规划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5" w:history="1">
        <w:r>
          <w:rPr>
            <w:rFonts w:ascii="仿宋" w:eastAsia="仿宋" w:hAnsi="仿宋" w:cs="仿宋" w:hint="eastAsia"/>
            <w:lang w:eastAsia="zh-CN"/>
          </w:rPr>
          <w:t>(九)、货舱漆项目综合评价</w:t>
        </w:r>
        <w:r>
          <w:tab/>
        </w:r>
        <w:r>
          <w:fldChar w:fldCharType="begin"/>
        </w:r>
        <w:r>
          <w:instrText xml:space="preserve"> PAGEREF _Toc16415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_Toc7855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_Toc4792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_Toc25545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八、货舱漆项目经济效益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(三)、货舱漆项目盈利能力分析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9" w:history="1">
        <w:r>
          <w:rPr>
            <w:rFonts w:ascii="仿宋" w:eastAsia="仿宋" w:hAnsi="仿宋" w:cs="仿宋" w:hint="eastAsia"/>
            <w:lang w:eastAsia="zh-CN"/>
          </w:rPr>
          <w:t>(一)、货舱漆项目进度安排</w:t>
        </w:r>
        <w:r>
          <w:tab/>
        </w:r>
        <w:r>
          <w:fldChar w:fldCharType="begin"/>
        </w:r>
        <w:r>
          <w:instrText xml:space="preserve"> PAGEREF _Toc6319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(二)、货舱漆项目实施保障措施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" w:history="1">
        <w:r>
          <w:rPr>
            <w:rFonts w:ascii="仿宋" w:eastAsia="仿宋" w:hAnsi="仿宋" w:cs="仿宋" w:hint="eastAsia"/>
            <w:lang w:eastAsia="zh-CN"/>
          </w:rPr>
          <w:t>(一)、货舱漆项目背景分析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(二)、货舱漆项目建设必要性分析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1" w:history="1">
        <w:r>
          <w:rPr>
            <w:rFonts w:ascii="仿宋" w:eastAsia="仿宋" w:hAnsi="仿宋" w:cs="仿宋" w:hint="eastAsia"/>
            <w:lang w:eastAsia="zh-CN"/>
          </w:rPr>
          <w:t>十一、货舱漆项目总结分析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98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_Toc6985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2" w:history="1">
        <w:r>
          <w:rPr>
            <w:rFonts w:ascii="仿宋" w:eastAsia="仿宋" w:hAnsi="仿宋" w:cs="仿宋" w:hint="eastAsia"/>
            <w:lang w:eastAsia="zh-CN"/>
          </w:rPr>
          <w:t>(一)、社会责任货舱漆项目</w:t>
        </w:r>
        <w:r>
          <w:tab/>
        </w:r>
        <w:r>
          <w:fldChar w:fldCharType="begin"/>
        </w:r>
        <w:r>
          <w:instrText xml:space="preserve"> PAGEREF _Toc3952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7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6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https://d.book118.com/627035122166006034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货舱漆相关行业公司成立方案及可行性研究报告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35122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2024-01-20T15:19:00Z</dcterms:created>
  <dcterms:modified xsi:type="dcterms:W3CDTF">2024-01-20T15:20:09Z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DD8BE367504D476CB607F3A2D672162F_11</vt:lpwstr>
  </property>
  <property fmtid="{D5CDD505-2E9C-101B-9397-08002B2CF9AE}" pid="3" name="KSOProductBuildVer">
    <vt:lpwstr>2052-12.1.0.16120</vt:lpwstr>
  </property>
</Properties>
</file>