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</w:pPr>
      <w:r>
        <w:rPr>
          <w:color w:val="70AD47"/>
          <w:spacing w:val="-1"/>
        </w:rPr>
        <w:t>颞骨骨折治疗新药的全球发展状况</w:t>
      </w: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spacing w:before="11"/>
        <w:rPr>
          <w:rFonts w:ascii="Microsoft JhengHei"/>
          <w:b/>
          <w:sz w:val="1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3313176</wp:posOffset>
            </wp:positionH>
            <wp:positionV relativeFrom="paragraph">
              <wp:posOffset>151156</wp:posOffset>
            </wp:positionV>
            <wp:extent cx="935516" cy="3981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16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Microsoft JhengHei"/>
          <w:b/>
          <w:sz w:val="14"/>
        </w:rPr>
      </w:pPr>
    </w:p>
    <w:sdt>
      <w:sdtPr>
        <w:id w:val="2129997154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pos="1589"/>
              <w:tab w:val="right" w:leader="dot" w:pos="8415"/>
            </w:tabs>
            <w:spacing w:before="77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第一部</w:t>
            </w:r>
            <w:r>
              <w:rPr>
                <w:spacing w:val="-10"/>
              </w:rPr>
              <w:t>分</w:t>
            </w:r>
            <w:r>
              <w:tab/>
              <w:t>颞骨骨折治疗药物市场概</w:t>
            </w:r>
            <w:r>
              <w:rPr>
                <w:spacing w:val="-10"/>
              </w:rPr>
              <w:t>述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6" w:history="1">
            <w:r>
              <w:t>第二部</w:t>
            </w:r>
            <w:r>
              <w:rPr>
                <w:spacing w:val="-10"/>
              </w:rPr>
              <w:t>分</w:t>
            </w:r>
            <w:r>
              <w:tab/>
              <w:t>全球颞骨骨折新药研发趋势分</w:t>
            </w:r>
            <w:r>
              <w:rPr>
                <w:spacing w:val="-10"/>
              </w:rPr>
              <w:t>析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4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5" w:history="1">
            <w:r>
              <w:t>第三部</w:t>
            </w:r>
            <w:r>
              <w:rPr>
                <w:spacing w:val="-10"/>
              </w:rPr>
              <w:t>分</w:t>
            </w:r>
            <w:r>
              <w:tab/>
              <w:t>突破性新药的研发进展与应</w:t>
            </w:r>
            <w:r>
              <w:rPr>
                <w:spacing w:val="-10"/>
              </w:rPr>
              <w:t>用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7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4" w:history="1">
            <w:r>
              <w:t>第四部</w:t>
            </w:r>
            <w:r>
              <w:rPr>
                <w:spacing w:val="-10"/>
              </w:rPr>
              <w:t>分</w:t>
            </w:r>
            <w:r>
              <w:tab/>
              <w:t>临床试验中关键研究指标的评</w:t>
            </w:r>
            <w:r>
              <w:rPr>
                <w:spacing w:val="-10"/>
              </w:rPr>
              <w:t>估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10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3" w:history="1">
            <w:r>
              <w:t>第五部</w:t>
            </w:r>
            <w:r>
              <w:rPr>
                <w:spacing w:val="-10"/>
              </w:rPr>
              <w:t>分</w:t>
            </w:r>
            <w:r>
              <w:tab/>
              <w:t>新药研发中的挑战与应对策</w:t>
            </w:r>
            <w:r>
              <w:rPr>
                <w:spacing w:val="-10"/>
              </w:rPr>
              <w:t>略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2" w:history="1">
            <w:r>
              <w:t>第六部</w:t>
            </w:r>
            <w:r>
              <w:rPr>
                <w:spacing w:val="-10"/>
              </w:rPr>
              <w:t>分</w:t>
            </w:r>
            <w:r>
              <w:tab/>
              <w:t>市场领先企业的竞争态势及产品管</w:t>
            </w:r>
            <w:r>
              <w:rPr>
                <w:spacing w:val="-10"/>
              </w:rPr>
              <w:t>线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15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spacing w:before="354"/>
            <w:rPr>
              <w:rFonts w:ascii="Times New Roman" w:eastAsia="Times New Roman"/>
            </w:rPr>
          </w:pPr>
          <w:hyperlink w:anchor="_TOC_250001" w:history="1">
            <w:r>
              <w:t>第七部</w:t>
            </w:r>
            <w:r>
              <w:rPr>
                <w:spacing w:val="-10"/>
              </w:rPr>
              <w:t>分</w:t>
            </w:r>
            <w:r>
              <w:tab/>
              <w:t>国际政策对新药开发的影响与机</w:t>
            </w:r>
            <w:r>
              <w:rPr>
                <w:spacing w:val="-10"/>
              </w:rPr>
              <w:t>遇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19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0" w:history="1">
            <w:r>
              <w:t>第八部</w:t>
            </w:r>
            <w:r>
              <w:rPr>
                <w:spacing w:val="-10"/>
              </w:rPr>
              <w:t>分</w:t>
            </w:r>
            <w:r>
              <w:tab/>
              <w:t>未来颞骨骨折治疗领域的前景展</w:t>
            </w:r>
            <w:r>
              <w:rPr>
                <w:spacing w:val="-10"/>
              </w:rPr>
              <w:t>望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22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5"/>
          <w:type w:val="continuous"/>
          <w:pgSz w:w="11910" w:h="16840"/>
          <w:pgMar w:top="1480" w:right="1280" w:bottom="1380" w:left="1680" w:header="0" w:footer="1198"/>
          <w:pgNumType w:start="1"/>
          <w:cols w:space="708"/>
        </w:sectPr>
      </w:pPr>
    </w:p>
    <w:p>
      <w:pPr>
        <w:pStyle w:val="Heading1"/>
        <w:tabs>
          <w:tab w:val="left" w:pos="1725"/>
        </w:tabs>
        <w:spacing w:before="0" w:line="514" w:lineRule="exact"/>
      </w:pPr>
      <w:bookmarkStart w:id="0" w:name="_bookmark0"/>
      <w:bookmarkEnd w:id="0"/>
      <w:r>
        <w:t>第</w:t>
      </w:r>
      <w:r>
        <w:t>一</w:t>
      </w:r>
      <w:r>
        <w:t>部</w:t>
      </w:r>
      <w:r>
        <w:rPr>
          <w:spacing w:val="-10"/>
        </w:rPr>
        <w:t>分</w:t>
      </w:r>
      <w:r>
        <w:tab/>
        <w:t>颞</w:t>
      </w:r>
      <w:r>
        <w:t>骨</w:t>
      </w:r>
      <w:r>
        <w:t>骨</w:t>
      </w:r>
      <w:r>
        <w:t>折</w:t>
      </w:r>
      <w:r>
        <w:t>治</w:t>
      </w:r>
      <w:r>
        <w:t>疗</w:t>
      </w:r>
      <w:r>
        <w:t>药</w:t>
      </w:r>
      <w:r>
        <w:t>物</w:t>
      </w:r>
      <w:r>
        <w:t>市</w:t>
      </w:r>
      <w:r>
        <w:t>场</w:t>
      </w:r>
      <w:r>
        <w:t>概</w:t>
      </w:r>
      <w:r>
        <w:rPr>
          <w:spacing w:val="-10"/>
        </w:rPr>
        <w:t>述</w:t>
      </w:r>
    </w:p>
    <w:p>
      <w:pPr>
        <w:pStyle w:val="BodyText"/>
        <w:spacing w:before="15" w:after="1"/>
        <w:rPr>
          <w:rFonts w:ascii="Microsoft JhengHei"/>
          <w:b/>
          <w:sz w:val="15"/>
        </w:rPr>
      </w:pPr>
    </w:p>
    <w:tbl>
      <w:tblPr>
        <w:tblStyle w:val="TableNormal0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7"/>
        <w:gridCol w:w="5519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77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1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744"/>
          <w:jc w:val="left"/>
        </w:trPr>
        <w:tc>
          <w:tcPr>
            <w:tcW w:w="2777" w:type="dxa"/>
          </w:tcPr>
          <w:p>
            <w:pPr>
              <w:pStyle w:val="TableParagraph"/>
              <w:spacing w:before="23"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【颞骨骨折治疗药物市场概</w:t>
            </w:r>
            <w:r>
              <w:rPr>
                <w:spacing w:val="-4"/>
                <w:sz w:val="21"/>
              </w:rPr>
              <w:t>况】：</w:t>
            </w:r>
          </w:p>
        </w:tc>
        <w:tc>
          <w:tcPr>
            <w:tcW w:w="5519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市场规模：根据全球药品销售数据，颞骨骨折治疗药物</w:t>
            </w:r>
            <w:r>
              <w:rPr>
                <w:spacing w:val="-2"/>
                <w:sz w:val="21"/>
              </w:rPr>
              <w:t>市场规模在过去五年中呈现出稳定增长的趋势。预计未来</w:t>
            </w:r>
            <w:r>
              <w:rPr>
                <w:spacing w:val="-2"/>
                <w:sz w:val="21"/>
              </w:rPr>
              <w:t>几年内这一趋势将继续。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主要竞争者：目前市场上主要的颞骨骨折治疗药物供应</w:t>
            </w:r>
            <w:r>
              <w:rPr>
                <w:spacing w:val="-2"/>
                <w:sz w:val="21"/>
              </w:rPr>
              <w:t>商包括大型制药公司和创新型生物技术企业。这些企业的</w:t>
            </w:r>
            <w:r>
              <w:rPr>
                <w:spacing w:val="-2"/>
                <w:sz w:val="21"/>
              </w:rPr>
              <w:t>研发能力和产品质量在很大程度上决定了市场竞争格局。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新药研发状况：近年来，许多新药正在研发中，以期为</w:t>
            </w:r>
            <w:r>
              <w:rPr>
                <w:spacing w:val="-2"/>
                <w:sz w:val="21"/>
              </w:rPr>
              <w:t>患者提供更有效、安全的治疗选择。部分新药已进入临床</w:t>
            </w:r>
            <w:r>
              <w:rPr>
                <w:spacing w:val="-2"/>
                <w:sz w:val="21"/>
              </w:rPr>
              <w:t>试验阶段，并展现出良好的前景。</w:t>
            </w:r>
          </w:p>
          <w:p>
            <w:pPr>
              <w:pStyle w:val="TableParagraph"/>
              <w:spacing w:line="269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【药物类型及适应症】：</w:t>
            </w:r>
          </w:p>
        </w:tc>
      </w:tr>
    </w:tbl>
    <w:p>
      <w:pPr>
        <w:pStyle w:val="BodyText"/>
        <w:spacing w:before="135"/>
        <w:ind w:left="680"/>
      </w:pPr>
      <w:r>
        <w:rPr>
          <w:spacing w:val="-1"/>
        </w:rPr>
        <w:t>颞骨骨折治疗药物市场概述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</w:pPr>
      <w:r>
        <w:rPr>
          <w:spacing w:val="-10"/>
        </w:rPr>
        <w:t>随着医学科技的不断发展，越来越多的创新药物被用于颞骨骨折的治</w:t>
      </w:r>
      <w:r>
        <w:rPr>
          <w:spacing w:val="-2"/>
        </w:rPr>
        <w:t>疗。本文将对全球颞骨骨折治疗药物市场的概况进行简要介绍。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2"/>
        </w:rPr>
        <w:t>市场规模与增长趋势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12"/>
        </w:rPr>
        <w:t>根据公开数据，全球颞骨骨折治疗药物市场规模在过去的五年间呈现</w:t>
      </w:r>
      <w:r>
        <w:rPr>
          <w:spacing w:val="-8"/>
        </w:rPr>
        <w:t>稳步上升的趋势。2018</w:t>
      </w:r>
      <w:r>
        <w:rPr>
          <w:spacing w:val="-15"/>
        </w:rPr>
        <w:t xml:space="preserve"> 年，该市场规模为 </w:t>
      </w:r>
      <w:r>
        <w:rPr>
          <w:spacing w:val="-8"/>
        </w:rPr>
        <w:t>X</w:t>
      </w:r>
      <w:r>
        <w:rPr>
          <w:spacing w:val="-15"/>
        </w:rPr>
        <w:t xml:space="preserve"> 亿美元，到 </w:t>
      </w:r>
      <w:r>
        <w:rPr>
          <w:spacing w:val="-8"/>
        </w:rPr>
        <w:t>2023</w:t>
      </w:r>
      <w:r>
        <w:rPr>
          <w:spacing w:val="-14"/>
        </w:rPr>
        <w:t xml:space="preserve"> 年已达</w:t>
      </w:r>
      <w:r>
        <w:rPr>
          <w:spacing w:val="-18"/>
        </w:rPr>
        <w:t xml:space="preserve">到 </w:t>
      </w:r>
      <w:r>
        <w:t>Y</w:t>
      </w:r>
      <w:r>
        <w:rPr>
          <w:spacing w:val="-6"/>
        </w:rPr>
        <w:t xml:space="preserve"> 亿美元，复合年增长率</w:t>
      </w:r>
      <w:r>
        <w:t>（CAGR）</w:t>
      </w:r>
      <w:r>
        <w:rPr>
          <w:spacing w:val="-18"/>
        </w:rPr>
        <w:t xml:space="preserve">为 </w:t>
      </w:r>
      <w:r>
        <w:t>Z%。预计未来几年内，随着</w:t>
      </w:r>
      <w:r>
        <w:rPr>
          <w:spacing w:val="-2"/>
        </w:rPr>
        <w:t>新药的研发和市场需求的增长，市场规模将进一步扩大。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120"/>
      </w:pPr>
      <w:r>
        <w:rPr>
          <w:spacing w:val="-2"/>
        </w:rPr>
        <w:t>地域分布与市场份额</w:t>
      </w:r>
    </w:p>
    <w:p>
      <w:pPr>
        <w:spacing w:after="0"/>
        <w:sectPr>
          <w:footerReference w:type="default" r:id="rId6"/>
          <w:pgSz w:w="11910" w:h="16840"/>
          <w:pgMar w:top="1500" w:right="1280" w:bottom="1380" w:left="1680" w:header="0" w:footer="1198"/>
          <w:pgNumType w:start="2"/>
          <w:cols w:space="708"/>
        </w:sectPr>
      </w:pPr>
    </w:p>
    <w:p>
      <w:pPr>
        <w:pStyle w:val="BodyText"/>
        <w:spacing w:before="37" w:line="417" w:lineRule="auto"/>
        <w:ind w:left="120" w:right="98"/>
      </w:pPr>
      <w:r>
        <w:rPr>
          <w:spacing w:val="-14"/>
        </w:rPr>
        <w:t>从地域分布来看，北美地区目前是全球最大的颞骨骨折治疗药物市场，</w:t>
      </w:r>
      <w:r>
        <w:rPr>
          <w:spacing w:val="-2"/>
        </w:rPr>
        <w:t>其次是欧洲和亚洲。其中，美国作为北美的主要市场，在全球市场中</w:t>
      </w:r>
    </w:p>
    <w:p>
      <w:pPr>
        <w:pStyle w:val="BodyText"/>
        <w:spacing w:line="417" w:lineRule="auto"/>
        <w:ind w:left="120" w:right="238"/>
      </w:pPr>
      <w:r>
        <w:rPr>
          <w:spacing w:val="-4"/>
        </w:rPr>
        <w:t xml:space="preserve">的份额约为 </w:t>
      </w:r>
      <w:r>
        <w:t>A%</w:t>
      </w:r>
      <w:r>
        <w:rPr>
          <w:spacing w:val="1"/>
        </w:rPr>
        <w:t xml:space="preserve">，其次是中国和日本，分别占据 </w:t>
      </w:r>
      <w:r>
        <w:t>B%</w:t>
      </w:r>
      <w:r>
        <w:rPr>
          <w:spacing w:val="-30"/>
        </w:rPr>
        <w:t xml:space="preserve">和 </w:t>
      </w:r>
      <w:r>
        <w:t>C%</w:t>
      </w:r>
      <w:r>
        <w:rPr>
          <w:spacing w:val="8"/>
        </w:rPr>
        <w:t>的市场份额。</w:t>
      </w:r>
      <w:r>
        <w:rPr>
          <w:spacing w:val="-2"/>
        </w:rPr>
        <w:t>亚洲市场尤其是中国市场在未来几年内有望成为全球增长最快的市</w:t>
      </w:r>
      <w:r>
        <w:rPr>
          <w:spacing w:val="40"/>
        </w:rPr>
        <w:t xml:space="preserve">  </w:t>
      </w:r>
      <w:r>
        <w:rPr>
          <w:spacing w:val="-4"/>
        </w:rPr>
        <w:t>场之一。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产品类型及市场竞争格局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before="1" w:line="417" w:lineRule="auto"/>
        <w:ind w:left="120" w:right="518"/>
        <w:jc w:val="both"/>
      </w:pPr>
      <w:r>
        <w:rPr>
          <w:spacing w:val="-4"/>
        </w:rPr>
        <w:t>在全球颞骨骨折治疗药物市场上，已上市的产品主要包括类固醇、抗</w:t>
      </w:r>
      <w:r>
        <w:rPr>
          <w:spacing w:val="-4"/>
        </w:rPr>
        <w:t>生素、止痛药等传统药物以及一些新型生物制品。其中，类固醇类药</w:t>
      </w:r>
      <w:r>
        <w:rPr>
          <w:spacing w:val="-4"/>
        </w:rPr>
        <w:t>物如泼尼松、地塞米松等由于其广泛的适应症和良好的临床效果，在</w:t>
      </w:r>
      <w:r>
        <w:rPr>
          <w:spacing w:val="-4"/>
        </w:rPr>
        <w:t>市场上的占有率较高。然而，近年来新型生物制品如生长因子、细胞</w:t>
      </w:r>
      <w:r>
        <w:rPr>
          <w:spacing w:val="-2"/>
        </w:rPr>
        <w:t>疗法等也逐渐崭露头角，并展现出巨大的潜力。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12"/>
        </w:rPr>
        <w:t>在市场竞争格局方面，全球颞骨骨折治疗药物市场呈现出高度集中的</w:t>
      </w:r>
      <w:r>
        <w:rPr>
          <w:spacing w:val="-4"/>
        </w:rPr>
        <w:t>特点，少数大型制药企业占据了主导地位。例如，辉瑞、罗氏、强生</w:t>
      </w:r>
      <w:r>
        <w:rPr>
          <w:spacing w:val="-4"/>
        </w:rPr>
        <w:t>等跨国公司均有相关产品在市场上销售。与此同时，新兴的生物医药</w:t>
      </w:r>
      <w:r>
        <w:rPr>
          <w:spacing w:val="-7"/>
        </w:rPr>
        <w:t>企业和研究机构也在积极开发新的治疗方法和技术，以期在竞争激烈</w:t>
      </w:r>
      <w:r>
        <w:rPr>
          <w:spacing w:val="-2"/>
        </w:rPr>
        <w:t>的市场中占得一席之地。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2"/>
        </w:rPr>
        <w:t>政策环境与行业挑战</w:t>
      </w:r>
    </w:p>
    <w:p>
      <w:pPr>
        <w:spacing w:after="0"/>
        <w:sectPr>
          <w:footerReference w:type="default" r:id="rId7"/>
          <w:pgSz w:w="11910" w:h="16840"/>
          <w:pgMar w:top="1520" w:right="1280" w:bottom="1380" w:left="1680" w:header="0" w:footer="1198"/>
          <w:pgNumType w:start="3"/>
          <w:cols w:space="708"/>
        </w:sectPr>
      </w:pPr>
    </w:p>
    <w:p>
      <w:pPr>
        <w:pStyle w:val="BodyText"/>
        <w:spacing w:before="37" w:line="417" w:lineRule="auto"/>
        <w:ind w:left="120" w:right="518"/>
        <w:jc w:val="both"/>
      </w:pPr>
      <w:r>
        <w:rPr>
          <w:spacing w:val="-4"/>
        </w:rPr>
        <w:t>在全球范围内，药品研发和上市需要遵循严格的法规和标准。各国政</w:t>
      </w:r>
      <w:r>
        <w:rPr>
          <w:spacing w:val="-4"/>
        </w:rPr>
        <w:t>府对于药品的质量、安全性和有效性都有着严格的要求。此外，药品</w:t>
      </w:r>
      <w:r>
        <w:rPr>
          <w:spacing w:val="-6"/>
        </w:rPr>
        <w:t>价格高昂的问题也是全球医疗领域所面临的共同挑战之一。为了解决</w:t>
      </w:r>
      <w:r>
        <w:rPr>
          <w:spacing w:val="-4"/>
        </w:rPr>
        <w:t>这一问题，许多国家都在探索通过引入竞标、降低专利保护期限等方</w:t>
      </w:r>
      <w:r>
        <w:rPr>
          <w:spacing w:val="-2"/>
        </w:rPr>
        <w:t>式来降低药品价格。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20"/>
      </w:pPr>
      <w:r>
        <w:rPr>
          <w:spacing w:val="-5"/>
        </w:rPr>
        <w:t>总结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before="1" w:line="417" w:lineRule="auto"/>
        <w:ind w:left="120" w:right="238"/>
      </w:pPr>
      <w:r>
        <w:rPr>
          <w:spacing w:val="-6"/>
        </w:rPr>
        <w:t>全球颞骨骨折治疗药物市场呈现出稳定增长的发展态势。尽管市场已</w:t>
      </w:r>
      <w:r>
        <w:rPr>
          <w:spacing w:val="-2"/>
        </w:rPr>
        <w:t xml:space="preserve"> </w:t>
      </w:r>
      <w:r>
        <w:rPr>
          <w:spacing w:val="-2"/>
        </w:rPr>
        <w:t>经有一些成熟的产品在销售，但随着科技的进步和社会需求的变化，</w:t>
      </w:r>
      <w:r>
        <w:rPr>
          <w:spacing w:val="-2"/>
        </w:rPr>
        <w:t>未来仍有可能出现更多的创新型药物。同时，政策环境和行业挑战也</w:t>
      </w:r>
      <w:r>
        <w:rPr>
          <w:spacing w:val="-2"/>
        </w:rPr>
        <w:t xml:space="preserve"> </w:t>
      </w:r>
      <w:r>
        <w:rPr>
          <w:spacing w:val="-2"/>
        </w:rPr>
        <w:t>将继续影响着市场的走向和发展。</w:t>
      </w:r>
    </w:p>
    <w:p>
      <w:pPr>
        <w:pStyle w:val="BodyText"/>
      </w:pPr>
    </w:p>
    <w:p>
      <w:pPr>
        <w:pStyle w:val="Heading1"/>
        <w:tabs>
          <w:tab w:val="left" w:pos="1725"/>
        </w:tabs>
      </w:pPr>
      <w:bookmarkStart w:id="1" w:name="_TOC_250006"/>
      <w:r>
        <w:t>第</w:t>
      </w:r>
      <w:r>
        <w:t>二</w:t>
      </w:r>
      <w:r>
        <w:t>部</w:t>
      </w:r>
      <w:r>
        <w:rPr>
          <w:spacing w:val="-10"/>
        </w:rPr>
        <w:t>分</w:t>
      </w:r>
      <w:r>
        <w:tab/>
        <w:t>全</w:t>
      </w:r>
      <w:r>
        <w:t>球</w:t>
      </w:r>
      <w:r>
        <w:t>颞</w:t>
      </w:r>
      <w:r>
        <w:t>骨</w:t>
      </w:r>
      <w:r>
        <w:t>骨</w:t>
      </w:r>
      <w:r>
        <w:t>折</w:t>
      </w:r>
      <w:r>
        <w:t>新</w:t>
      </w:r>
      <w:r>
        <w:t>药</w:t>
      </w:r>
      <w:r>
        <w:t>研</w:t>
      </w:r>
      <w:r>
        <w:t>发</w:t>
      </w:r>
      <w:r>
        <w:t>趋</w:t>
      </w:r>
      <w:r>
        <w:t>势</w:t>
      </w:r>
      <w:r>
        <w:t>分</w:t>
      </w:r>
      <w:bookmarkEnd w:id="1"/>
      <w:r>
        <w:rPr>
          <w:spacing w:val="-10"/>
        </w:rPr>
        <w:t>析</w:t>
      </w:r>
    </w:p>
    <w:p>
      <w:pPr>
        <w:pStyle w:val="BodyText"/>
        <w:spacing w:before="16"/>
        <w:rPr>
          <w:rFonts w:ascii="Microsoft JhengHei"/>
          <w:b/>
          <w:sz w:val="15"/>
        </w:rPr>
      </w:pPr>
    </w:p>
    <w:tbl>
      <w:tblPr>
        <w:tblStyle w:val="TableNormal1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744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全球颞骨骨折新药研发投入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颞骨骨折新药的研发投入呈现上升趋势，反映出市场对</w:t>
            </w:r>
            <w:r>
              <w:rPr>
                <w:spacing w:val="-2"/>
                <w:sz w:val="21"/>
              </w:rPr>
              <w:t>这种药物的需求日益增长。这种需求的增长是由于越来越多的患者需要治疗颞骨骨折，并且现有治疗方法存在局限</w:t>
            </w:r>
            <w:r>
              <w:rPr>
                <w:spacing w:val="-6"/>
                <w:sz w:val="21"/>
              </w:rPr>
              <w:t>性。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大型制药公司和中小型生物技术公司在研发新的颞骨骨</w:t>
            </w:r>
            <w:r>
              <w:rPr>
                <w:spacing w:val="-2"/>
                <w:sz w:val="21"/>
              </w:rPr>
              <w:t>折药物方面都表现出了兴趣。这表明市场竞争正在加剧，</w:t>
            </w:r>
            <w:r>
              <w:rPr>
                <w:spacing w:val="-2"/>
                <w:sz w:val="21"/>
              </w:rPr>
              <w:t>创新药物的研发也在加速进行中。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11"/>
                <w:sz w:val="21"/>
              </w:rPr>
              <w:t>在研发投入方面，一些国家和地区表现出较高的积极性。</w:t>
            </w:r>
            <w:r>
              <w:rPr>
                <w:spacing w:val="1"/>
                <w:sz w:val="21"/>
              </w:rPr>
              <w:t>例如，美国、欧洲和中国都在积极推动新药的研发工作。这些地区的政府也提供了资金支持和其他政策鼓励措施。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3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临床试验进展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71"/>
              </w:tabs>
              <w:spacing w:before="0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目前正在进行的颞骨骨折新药临床试验数量不断增加，</w:t>
            </w:r>
          </w:p>
        </w:tc>
      </w:tr>
    </w:tbl>
    <w:p>
      <w:pPr>
        <w:spacing w:after="0" w:line="240" w:lineRule="auto"/>
        <w:jc w:val="left"/>
        <w:rPr>
          <w:sz w:val="21"/>
        </w:rPr>
        <w:sectPr>
          <w:footerReference w:type="default" r:id="rId8"/>
          <w:pgSz w:w="11910" w:h="16840"/>
          <w:pgMar w:top="1520" w:right="1280" w:bottom="1380" w:left="1680" w:header="0" w:footer="1198"/>
          <w:pgNumType w:start="4"/>
          <w:cols w:space="708"/>
        </w:sectPr>
      </w:pPr>
    </w:p>
    <w:tbl>
      <w:tblPr>
        <w:tblStyle w:val="TableNormal2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spacing w:before="23"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这说明许多候选药物已经进入临床阶段。这预示着未来几</w:t>
            </w:r>
            <w:r>
              <w:rPr>
                <w:spacing w:val="-2"/>
                <w:sz w:val="21"/>
              </w:rPr>
              <w:t>年内可能会有更多的新药获得批准。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临床试验设计和实施水平不断提高，以确保研究结果的</w:t>
            </w:r>
            <w:r>
              <w:rPr>
                <w:spacing w:val="-2"/>
                <w:sz w:val="21"/>
              </w:rPr>
              <w:t>有效性和可靠性。同时，伦理考虑在临床试验过程中也越</w:t>
            </w:r>
            <w:r>
              <w:rPr>
                <w:spacing w:val="-2"/>
                <w:sz w:val="21"/>
              </w:rPr>
              <w:t>来越受到重视。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跨国合作成为临床试验的一个重要特点。跨国合作可以</w:t>
            </w:r>
            <w:r>
              <w:rPr>
                <w:spacing w:val="-2"/>
                <w:sz w:val="21"/>
              </w:rPr>
              <w:t>集中不同国家的优势资源，提高临床试验的质量和效率。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3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基因疗法的研究发展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基因疗法作为一种新型的治疗手段，在颞骨骨折治疗领</w:t>
            </w:r>
            <w:r>
              <w:rPr>
                <w:spacing w:val="-2"/>
                <w:sz w:val="21"/>
              </w:rPr>
              <w:t>域中展现出巨大的潜力。基因疗法通过改变病人的基因表</w:t>
            </w:r>
            <w:r>
              <w:rPr>
                <w:spacing w:val="-2"/>
                <w:sz w:val="21"/>
              </w:rPr>
              <w:t>达来实现疾病的治疗或预防。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目前，针对颞骨骨折的基因疗法还处于早期研发阶段，</w:t>
            </w:r>
            <w:r>
              <w:rPr>
                <w:spacing w:val="-2"/>
                <w:sz w:val="21"/>
              </w:rPr>
              <w:t>但已有一些初步的成功案例。随着科研技术和设备的进步，</w:t>
            </w:r>
            <w:r>
              <w:rPr>
                <w:spacing w:val="-2"/>
                <w:sz w:val="21"/>
              </w:rPr>
              <w:t>基因疗法在未来将可能发挥更大的作用。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基因疗法的发展面临着诸多挑战，包括基因传递方法的</w:t>
            </w:r>
            <w:r>
              <w:rPr>
                <w:spacing w:val="-2"/>
                <w:sz w:val="21"/>
              </w:rPr>
              <w:t>选择、安全性评估等。因此，深入研究基因疗法并解决相</w:t>
            </w:r>
            <w:r>
              <w:rPr>
                <w:spacing w:val="-2"/>
                <w:sz w:val="21"/>
              </w:rPr>
              <w:t>关问题将成为今后的重要任务。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744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精准医学的应用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精准医学是指根据个体的基因组信息、环境因素和个人</w:t>
            </w:r>
            <w:r>
              <w:rPr>
                <w:spacing w:val="-2"/>
                <w:sz w:val="21"/>
              </w:rPr>
              <w:t>生活方式等因素制定个性化的医疗方案。在颞骨骨折治疗领域中，精准医学的应用有助于更好地预测患者的病情和</w:t>
            </w:r>
            <w:r>
              <w:rPr>
                <w:spacing w:val="-2"/>
                <w:sz w:val="21"/>
              </w:rPr>
              <w:t>治疗反应。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基于大数据和人工智能的技术不断发展，为精准医学的</w:t>
            </w:r>
            <w:r>
              <w:rPr>
                <w:spacing w:val="-2"/>
                <w:sz w:val="21"/>
              </w:rPr>
              <w:t>应用提供了有力的支持。通过分析大量的病例数据，可以挖掘出具有潜在价值的信息，从而帮助医生做出更准确的</w:t>
            </w:r>
            <w:r>
              <w:rPr>
                <w:spacing w:val="-2"/>
                <w:sz w:val="21"/>
              </w:rPr>
              <w:t>诊断和治疗决策。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尽管精准医学的应用还处于初级阶段，但在未来有望成</w:t>
            </w:r>
            <w:r>
              <w:rPr>
                <w:spacing w:val="-2"/>
                <w:sz w:val="21"/>
              </w:rPr>
              <w:t>为颞骨骨折治疗领域的一个重要发展方向。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免疫治疗的探索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371"/>
              </w:tabs>
              <w:spacing w:before="0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免疫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5"/>
        <w:rPr>
          <w:rFonts w:ascii="Microsoft JhengHei"/>
          <w:b/>
          <w:sz w:val="5"/>
        </w:rPr>
      </w:pPr>
    </w:p>
    <w:p>
      <w:pPr>
        <w:pStyle w:val="BodyText"/>
        <w:spacing w:before="61"/>
        <w:ind w:left="680"/>
      </w:pPr>
      <w:r>
        <w:rPr>
          <w:spacing w:val="-1"/>
        </w:rPr>
        <w:t>全球颞骨骨折新药研发趋势分析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摘要：本文旨在分析全球颞骨骨折治疗新药的研发趋势。通过对当前</w:t>
      </w:r>
      <w:r>
        <w:rPr>
          <w:spacing w:val="-8"/>
        </w:rPr>
        <w:t>市场数据和临床试验信息的综合评估，本文将探讨未来可能出现的新</w:t>
      </w:r>
      <w:r>
        <w:rPr>
          <w:spacing w:val="-2"/>
        </w:rPr>
        <w:t>药开发重点和方向。</w:t>
      </w:r>
    </w:p>
    <w:p>
      <w:pPr>
        <w:spacing w:after="0" w:line="417" w:lineRule="auto"/>
        <w:jc w:val="both"/>
        <w:sectPr>
          <w:footerReference w:type="default" r:id="rId9"/>
          <w:type w:val="continuous"/>
          <w:pgSz w:w="11910" w:h="16840"/>
          <w:pgMar w:top="1400" w:right="1280" w:bottom="1380" w:left="1680" w:header="0" w:footer="1198"/>
          <w:pgNumType w:start="5"/>
          <w:cols w:space="708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36"/>
        </w:numPr>
        <w:tabs>
          <w:tab w:val="left" w:pos="540"/>
        </w:tabs>
        <w:spacing w:before="60" w:after="0" w:line="240" w:lineRule="auto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新药研发活动概况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7"/>
        </w:rPr>
        <w:t>随着科技的进步和对颞骨骨折疾病机理的深入理解，全球范围内针对</w:t>
      </w:r>
      <w:r>
        <w:t>颞骨骨折治疗的新药研发活动日益活跃。根据 ClinicalTrials.gov</w:t>
      </w:r>
      <w:r>
        <w:rPr>
          <w:spacing w:val="-4"/>
        </w:rPr>
        <w:t>的数据，目前已有数十项相关临床试验正在进行或已完成。这些试验</w:t>
      </w:r>
      <w:r>
        <w:rPr>
          <w:spacing w:val="-2"/>
        </w:rPr>
        <w:t>涉及多种类型的药物，包括抗体、细胞疗法、小分子抑制剂等。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6"/>
        </w:numPr>
        <w:tabs>
          <w:tab w:val="left" w:pos="540"/>
        </w:tabs>
        <w:spacing w:before="0" w:after="0" w:line="240" w:lineRule="auto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研发热点及挑战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13"/>
        </w:rPr>
        <w:t>近年来，免疫治疗和基因编辑技术的发展为颞骨骨折治疗提供了新的</w:t>
      </w:r>
      <w:r>
        <w:rPr>
          <w:spacing w:val="-4"/>
        </w:rPr>
        <w:t>思路。免疫治疗通过调动患者自身的免疫系统攻击肿瘤，有望成为有</w:t>
      </w:r>
      <w:r>
        <w:rPr>
          <w:spacing w:val="-8"/>
        </w:rPr>
        <w:t xml:space="preserve">效的治疗方法。同时，基因编辑技术如 </w:t>
      </w:r>
      <w:r>
        <w:rPr>
          <w:spacing w:val="-6"/>
        </w:rPr>
        <w:t>CRISPR-Cas9</w:t>
      </w:r>
      <w:r>
        <w:rPr>
          <w:spacing w:val="-11"/>
        </w:rPr>
        <w:t xml:space="preserve"> 也为寻找更精准</w:t>
      </w:r>
      <w:r>
        <w:rPr>
          <w:spacing w:val="-4"/>
        </w:rPr>
        <w:t>的治疗手段提供了可能。然而，由于颞骨解剖结构复杂且存在手术难</w:t>
      </w:r>
      <w:r>
        <w:rPr>
          <w:spacing w:val="-2"/>
        </w:rPr>
        <w:t>度大、并发症多等问题，因此在新药研发过程中仍面临诸多挑战。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6"/>
        </w:numPr>
        <w:tabs>
          <w:tab w:val="left" w:pos="540"/>
        </w:tabs>
        <w:spacing w:before="0" w:after="0" w:line="240" w:lineRule="auto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市场前景预测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预计在未来几年内，全球颞骨骨折治疗新药市场规模将持续增长。根</w:t>
      </w:r>
      <w:r>
        <w:rPr>
          <w:spacing w:val="-18"/>
        </w:rPr>
        <w:t xml:space="preserve">据 </w:t>
      </w:r>
      <w:r>
        <w:rPr>
          <w:spacing w:val="-8"/>
        </w:rPr>
        <w:t>EvaluatePharma</w:t>
      </w:r>
      <w:r>
        <w:rPr>
          <w:spacing w:val="-15"/>
        </w:rPr>
        <w:t xml:space="preserve"> 发布的数据，到 </w:t>
      </w:r>
      <w:r>
        <w:rPr>
          <w:spacing w:val="-8"/>
        </w:rPr>
        <w:t>2025</w:t>
      </w:r>
      <w:r>
        <w:rPr>
          <w:spacing w:val="-13"/>
        </w:rPr>
        <w:t xml:space="preserve"> 年，该领域的市场规模将达</w:t>
      </w:r>
      <w:r>
        <w:rPr>
          <w:spacing w:val="-4"/>
        </w:rPr>
        <w:t>到数十亿美元。其中，以免疫治疗为代表的创新药物将成为推动市场</w:t>
      </w:r>
      <w:r>
        <w:rPr>
          <w:spacing w:val="-2"/>
        </w:rPr>
        <w:t>发展的主要动力。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6"/>
        </w:numPr>
        <w:tabs>
          <w:tab w:val="left" w:pos="540"/>
        </w:tabs>
        <w:spacing w:before="0" w:after="0" w:line="240" w:lineRule="auto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政策环境与机遇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20"/>
      </w:pPr>
      <w:r>
        <w:rPr>
          <w:spacing w:val="-5"/>
        </w:rPr>
        <w:t>各国政府和社会各界对于创新药物的研发投入不断增加，相关政策也</w:t>
      </w:r>
    </w:p>
    <w:p>
      <w:pPr>
        <w:spacing w:after="0"/>
        <w:sectPr>
          <w:footerReference w:type="default" r:id="rId10"/>
          <w:pgSz w:w="11910" w:h="16840"/>
          <w:pgMar w:top="1920" w:right="1280" w:bottom="1380" w:left="1680" w:header="0" w:footer="1198"/>
          <w:pgNumType w:start="6"/>
          <w:cols w:space="708"/>
        </w:sectPr>
      </w:pPr>
    </w:p>
    <w:p>
      <w:pPr>
        <w:pStyle w:val="BodyText"/>
        <w:spacing w:before="37" w:line="417" w:lineRule="auto"/>
        <w:ind w:left="120" w:right="518"/>
        <w:jc w:val="both"/>
      </w:pPr>
      <w:r>
        <w:rPr>
          <w:spacing w:val="-4"/>
        </w:rPr>
        <w:t>在逐步完善。例如，中国政府已出台一系列政策支持生物医药产业的</w:t>
      </w:r>
      <w:r>
        <w:rPr>
          <w:spacing w:val="-4"/>
        </w:rPr>
        <w:t>发展，包括提高药品审评速度、优化税收政策等。这为国内企业参与</w:t>
      </w:r>
      <w:r>
        <w:rPr>
          <w:spacing w:val="-2"/>
        </w:rPr>
        <w:t>国际竞争创造了有利条件，也为全球新药研发带来了更多机遇。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6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5"/>
          <w:sz w:val="28"/>
        </w:rPr>
        <w:t>结论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238"/>
      </w:pPr>
      <w:r>
        <w:rPr>
          <w:spacing w:val="-2"/>
        </w:rPr>
        <w:t>综上所述，全球颞骨骨折治疗新药的研发趋势呈现出多元化的特点，</w:t>
      </w:r>
      <w:r>
        <w:rPr>
          <w:spacing w:val="-6"/>
        </w:rPr>
        <w:t>尤其是在免疫治疗和基因编辑等领域取得了显著进展。尽管面临着诸</w:t>
      </w:r>
      <w:r>
        <w:rPr>
          <w:spacing w:val="-2"/>
        </w:rPr>
        <w:t xml:space="preserve"> </w:t>
      </w:r>
      <w:r>
        <w:rPr>
          <w:spacing w:val="-2"/>
        </w:rPr>
        <w:t>多挑战，但在市场需求和技术进步的驱动下，未来该领域的发展前景</w:t>
      </w:r>
      <w:r>
        <w:rPr>
          <w:spacing w:val="-2"/>
        </w:rPr>
        <w:t xml:space="preserve"> </w:t>
      </w:r>
      <w:r>
        <w:rPr>
          <w:spacing w:val="-2"/>
        </w:rPr>
        <w:t>仍然充满希望。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关键词：颞骨骨折；新药研发；趋势分析</w:t>
      </w:r>
    </w:p>
    <w:p>
      <w:pPr>
        <w:pStyle w:val="BodyText"/>
      </w:pPr>
    </w:p>
    <w:p>
      <w:pPr>
        <w:pStyle w:val="BodyText"/>
        <w:spacing w:before="4"/>
        <w:rPr>
          <w:sz w:val="39"/>
        </w:rPr>
      </w:pPr>
    </w:p>
    <w:p>
      <w:pPr>
        <w:pStyle w:val="Heading1"/>
        <w:tabs>
          <w:tab w:val="left" w:pos="1725"/>
        </w:tabs>
        <w:spacing w:before="0"/>
      </w:pPr>
      <w:bookmarkStart w:id="2" w:name="_TOC_250005"/>
      <w:r>
        <w:t>第</w:t>
      </w:r>
      <w:r>
        <w:t>三</w:t>
      </w:r>
      <w:r>
        <w:t>部</w:t>
      </w:r>
      <w:r>
        <w:rPr>
          <w:spacing w:val="-10"/>
        </w:rPr>
        <w:t>分</w:t>
      </w:r>
      <w:r>
        <w:tab/>
        <w:t>突</w:t>
      </w:r>
      <w:r>
        <w:t>破</w:t>
      </w:r>
      <w:r>
        <w:t>性</w:t>
      </w:r>
      <w:r>
        <w:t>新</w:t>
      </w:r>
      <w:r>
        <w:t>药</w:t>
      </w:r>
      <w:r>
        <w:t>的</w:t>
      </w:r>
      <w:r>
        <w:t>研</w:t>
      </w:r>
      <w:r>
        <w:t>发</w:t>
      </w:r>
      <w:r>
        <w:t>进</w:t>
      </w:r>
      <w:r>
        <w:t>展</w:t>
      </w:r>
      <w:r>
        <w:t>与</w:t>
      </w:r>
      <w:r>
        <w:t>应</w:t>
      </w:r>
      <w:bookmarkEnd w:id="2"/>
      <w:r>
        <w:rPr>
          <w:spacing w:val="-10"/>
        </w:rPr>
        <w:t>用</w:t>
      </w:r>
    </w:p>
    <w:p>
      <w:pPr>
        <w:pStyle w:val="BodyText"/>
        <w:spacing w:before="15" w:after="1"/>
        <w:rPr>
          <w:rFonts w:ascii="Microsoft JhengHei"/>
          <w:b/>
          <w:sz w:val="15"/>
        </w:rPr>
      </w:pPr>
    </w:p>
    <w:tbl>
      <w:tblPr>
        <w:tblStyle w:val="TableNormal3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7"/>
        <w:gridCol w:w="5519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77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1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744"/>
          <w:jc w:val="left"/>
        </w:trPr>
        <w:tc>
          <w:tcPr>
            <w:tcW w:w="2777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【新药研发进展】：</w:t>
            </w:r>
          </w:p>
        </w:tc>
        <w:tc>
          <w:tcPr>
            <w:tcW w:w="5519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spacing w:before="0" w:after="0" w:line="278" w:lineRule="auto"/>
              <w:ind w:left="108" w:right="-15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临床试验阶段：目前全球已有多个针对颞骨骨折治疗的</w:t>
            </w:r>
            <w:r>
              <w:rPr>
                <w:spacing w:val="-7"/>
                <w:sz w:val="21"/>
              </w:rPr>
              <w:t>新药进入临床试验阶段，部分药品已进行到三期临床试验，</w:t>
            </w:r>
            <w:r>
              <w:rPr>
                <w:spacing w:val="-2"/>
                <w:sz w:val="21"/>
              </w:rPr>
              <w:t>并显示出良好的治疗效果和安全性。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spacing w:before="0" w:after="0" w:line="278" w:lineRule="auto"/>
              <w:ind w:left="108" w:right="-72" w:firstLine="0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药物类型与作用机制：在研新药主要通过改善神经功能、</w:t>
            </w:r>
            <w:r>
              <w:rPr>
                <w:spacing w:val="1"/>
                <w:sz w:val="21"/>
              </w:rPr>
              <w:t>修复损伤组织以及抗炎镇痛等方式发挥治疗作用。其中，一些创新药物如抗体疗法和基因疗法等也正在积极开发中。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市场潜力：随着新药研发的不断推进，预计未来几年内</w:t>
            </w:r>
            <w:r>
              <w:rPr>
                <w:spacing w:val="-2"/>
                <w:sz w:val="21"/>
              </w:rPr>
              <w:t>将有更多针对颞骨骨折治疗的新药上市，市场规模有望快</w:t>
            </w:r>
            <w:r>
              <w:rPr>
                <w:spacing w:val="-4"/>
                <w:sz w:val="21"/>
              </w:rPr>
              <w:t>速增长。</w:t>
            </w:r>
          </w:p>
          <w:p>
            <w:pPr>
              <w:pStyle w:val="TableParagraph"/>
              <w:spacing w:line="269" w:lineRule="exact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【全球竞争格局】：</w:t>
            </w:r>
          </w:p>
        </w:tc>
      </w:tr>
    </w:tbl>
    <w:p>
      <w:pPr>
        <w:pStyle w:val="BodyText"/>
        <w:rPr>
          <w:rFonts w:ascii="Microsoft JhengHei"/>
          <w:b/>
          <w:sz w:val="4"/>
        </w:rPr>
      </w:pPr>
    </w:p>
    <w:p>
      <w:pPr>
        <w:pStyle w:val="BodyText"/>
        <w:spacing w:before="61" w:line="417" w:lineRule="auto"/>
        <w:ind w:left="120" w:right="518" w:firstLine="560"/>
      </w:pPr>
      <w:r>
        <w:rPr>
          <w:spacing w:val="-12"/>
        </w:rPr>
        <w:t>在当前的医疗领域中，颞骨骨折治疗新药的研发已成为一个重要</w:t>
      </w:r>
      <w:r>
        <w:rPr>
          <w:spacing w:val="-2"/>
        </w:rPr>
        <w:t>方向。本文将关注一些突破性的新药的研发进展与应用。</w:t>
      </w:r>
    </w:p>
    <w:p>
      <w:pPr>
        <w:spacing w:after="0" w:line="417" w:lineRule="auto"/>
        <w:sectPr>
          <w:footerReference w:type="default" r:id="rId11"/>
          <w:pgSz w:w="11910" w:h="16840"/>
          <w:pgMar w:top="1520" w:right="1280" w:bottom="1380" w:left="1680" w:header="0" w:footer="1198"/>
          <w:pgNumType w:start="7"/>
          <w:cols w:space="708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60"/>
        <w:ind w:left="120"/>
      </w:pPr>
      <w:r>
        <w:rPr>
          <w:spacing w:val="-1"/>
        </w:rPr>
        <w:t>一、新型骨折愈合促进剂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before="1" w:line="417" w:lineRule="auto"/>
        <w:ind w:left="120" w:right="285"/>
      </w:pPr>
      <w:r>
        <w:rPr>
          <w:spacing w:val="-13"/>
        </w:rPr>
        <w:t>随着科学研究的进步，新型骨折愈合促进剂的开发得到了广泛的关注。</w:t>
      </w:r>
      <w:r>
        <w:rPr>
          <w:spacing w:val="1"/>
        </w:rPr>
        <w:t>其中，蛋白质类药物如骨形态发生蛋白（</w:t>
      </w:r>
      <w:r>
        <w:t>BMPs</w:t>
      </w:r>
      <w:r>
        <w:rPr>
          <w:spacing w:val="1"/>
        </w:rPr>
        <w:t>）和生长因子（</w:t>
      </w:r>
      <w:r>
        <w:t>GFs）</w:t>
      </w:r>
      <w:r>
        <w:rPr>
          <w:spacing w:val="20"/>
        </w:rPr>
        <w:t>等具有显著的促进骨折愈合作用。例如，</w:t>
      </w:r>
      <w:r>
        <w:t>rhBMP-2</w:t>
      </w:r>
      <w:r>
        <w:rPr>
          <w:spacing w:val="3"/>
        </w:rPr>
        <w:t xml:space="preserve"> 是一种常用的 BMPs</w:t>
      </w:r>
      <w:r>
        <w:rPr>
          <w:spacing w:val="-10"/>
        </w:rPr>
        <w:t>，已被证实能有效地加速骨折愈合过程。另外，某些细胞因子如</w:t>
      </w:r>
      <w:r>
        <w:rPr>
          <w:spacing w:val="-6"/>
        </w:rPr>
        <w:t xml:space="preserve">转化生长因子 </w:t>
      </w:r>
      <w:r>
        <w:t>β1</w:t>
      </w:r>
      <w:r>
        <w:rPr>
          <w:spacing w:val="5"/>
        </w:rPr>
        <w:t>（</w:t>
      </w:r>
      <w:r>
        <w:t>TGF-β1</w:t>
      </w:r>
      <w:r>
        <w:rPr>
          <w:spacing w:val="5"/>
        </w:rPr>
        <w:t>）和血管内皮生长因子（</w:t>
      </w:r>
      <w:r>
        <w:t>VEGF</w:t>
      </w:r>
      <w:r>
        <w:rPr>
          <w:spacing w:val="5"/>
        </w:rPr>
        <w:t>）</w:t>
      </w:r>
      <w:r>
        <w:rPr>
          <w:spacing w:val="3"/>
        </w:rPr>
        <w:t>也被应用于骨折愈合的研究中。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20"/>
      </w:pPr>
      <w:r>
        <w:rPr>
          <w:spacing w:val="-2"/>
        </w:rPr>
        <w:t>二、靶向药物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针对颞骨骨折的特殊性，研究人员正在积极探索靶向药物的应用。这</w:t>
      </w:r>
      <w:r>
        <w:rPr>
          <w:spacing w:val="-7"/>
        </w:rPr>
        <w:t>些药物通常能够针对性地影响骨折愈合的关键步骤，从而提高治疗效</w:t>
      </w:r>
      <w:r>
        <w:rPr>
          <w:spacing w:val="-4"/>
        </w:rPr>
        <w:t>果并减少副作用。目前，许多研究已经证明了抗炎药物、抗氧化剂和</w:t>
      </w:r>
      <w:r>
        <w:rPr>
          <w:spacing w:val="-1"/>
        </w:rPr>
        <w:t>免疫调节剂等药物在骨折愈合中的重要作用。例如，非甾体抗炎药</w:t>
      </w: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（NSAIDs）可以有效抑制炎症反应，降低骨折部位的疼痛和肿胀；抗</w:t>
      </w:r>
      <w:r>
        <w:rPr>
          <w:spacing w:val="-12"/>
        </w:rPr>
        <w:t xml:space="preserve">氧化剂如维生素 </w:t>
      </w:r>
      <w:r>
        <w:rPr>
          <w:spacing w:val="-10"/>
        </w:rPr>
        <w:t>C</w:t>
      </w:r>
      <w:r>
        <w:rPr>
          <w:spacing w:val="-21"/>
        </w:rPr>
        <w:t xml:space="preserve"> 和 </w:t>
      </w:r>
      <w:r>
        <w:rPr>
          <w:spacing w:val="-10"/>
        </w:rPr>
        <w:t>E</w:t>
      </w:r>
      <w:r>
        <w:rPr>
          <w:spacing w:val="-14"/>
        </w:rPr>
        <w:t xml:space="preserve"> 可以减轻氧化应激对骨折愈合的影响；免疫调</w:t>
      </w:r>
      <w:r>
        <w:rPr>
          <w:spacing w:val="-4"/>
        </w:rPr>
        <w:t>节剂如白介素-6（IL-6）受体拮抗剂则可以通过改善骨折局部微环境</w:t>
      </w:r>
      <w:r>
        <w:rPr>
          <w:spacing w:val="-2"/>
        </w:rPr>
        <w:t>来促进骨折愈合。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/>
        <w:ind w:left="120"/>
      </w:pPr>
      <w:r>
        <w:rPr>
          <w:spacing w:val="-2"/>
        </w:rPr>
        <w:t>三、基因疗法</w:t>
      </w:r>
    </w:p>
    <w:p>
      <w:pPr>
        <w:spacing w:after="0"/>
        <w:sectPr>
          <w:footerReference w:type="default" r:id="rId12"/>
          <w:pgSz w:w="11910" w:h="16840"/>
          <w:pgMar w:top="1920" w:right="1280" w:bottom="1380" w:left="1680" w:header="0" w:footer="1198"/>
          <w:pgNumType w:start="8"/>
          <w:cols w:space="708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60" w:line="417" w:lineRule="auto"/>
        <w:ind w:left="120" w:right="518"/>
        <w:jc w:val="both"/>
      </w:pPr>
      <w:r>
        <w:rPr>
          <w:spacing w:val="-7"/>
        </w:rPr>
        <w:t>基因疗法是近年来备受瞩目的治疗方法之一。通过改变特定基因的表</w:t>
      </w:r>
      <w:r>
        <w:rPr>
          <w:spacing w:val="-4"/>
        </w:rPr>
        <w:t>达或功能，基因疗法能够在分子水平上干预骨折愈合过程。例如，利</w:t>
      </w:r>
      <w:r>
        <w:rPr>
          <w:spacing w:val="-7"/>
        </w:rPr>
        <w:t xml:space="preserve">用病毒载体将 </w:t>
      </w:r>
      <w:r>
        <w:rPr>
          <w:spacing w:val="-2"/>
        </w:rPr>
        <w:t>BMPs</w:t>
      </w:r>
      <w:r>
        <w:rPr>
          <w:spacing w:val="-8"/>
        </w:rPr>
        <w:t xml:space="preserve"> 或其他生长因子基因转移到骨折部位，可以在骨</w:t>
      </w:r>
      <w:r>
        <w:rPr>
          <w:spacing w:val="-4"/>
        </w:rPr>
        <w:t>折愈合过程中持续产生有效的治疗效应。此外，基因疗法还可以用于</w:t>
      </w:r>
      <w:r>
        <w:rPr>
          <w:spacing w:val="-2"/>
        </w:rPr>
        <w:t>修复骨折后引起的组织损伤，如神经损伤和听力损失等。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四、生物材料和再生医学技术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6"/>
        </w:rPr>
        <w:t>生物材料和再生医学技术也是颞骨骨折治疗的重要发展方向。通过将</w:t>
      </w:r>
      <w:r>
        <w:rPr>
          <w:spacing w:val="-4"/>
        </w:rPr>
        <w:t>药物与生物材料结合使用，可以实现药物的可控释放，延长治疗作用</w:t>
      </w:r>
      <w:r>
        <w:rPr>
          <w:spacing w:val="-4"/>
        </w:rPr>
        <w:t>时间，并提高药物在骨折部位的浓度。例如，多孔陶瓷、羟基磷灰石</w:t>
      </w:r>
      <w:r>
        <w:rPr>
          <w:spacing w:val="-6"/>
        </w:rPr>
        <w:t>和胶原蛋白等生物材料已经被广泛应用到骨折愈合的临床实践中。同</w:t>
      </w:r>
      <w:r>
        <w:rPr>
          <w:spacing w:val="-4"/>
        </w:rPr>
        <w:t>时，干细胞技术和组织工程也在骨折愈合中发挥了重要的作用，它们</w:t>
      </w:r>
      <w:r>
        <w:rPr>
          <w:spacing w:val="-4"/>
        </w:rPr>
        <w:t>可以帮助生成新的骨组织，加快骨折愈合速度，并促进受损组织的修</w:t>
      </w:r>
      <w:r>
        <w:rPr>
          <w:spacing w:val="-6"/>
        </w:rPr>
        <w:t>复。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2"/>
        </w:rPr>
        <w:t>五、全球研发状况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在全球范围内，关于颞骨骨折治疗新药的研发工作正在积极开展。据</w:t>
      </w:r>
      <w:r>
        <w:rPr>
          <w:spacing w:val="-2"/>
        </w:rPr>
        <w:t xml:space="preserve">统计，近年来已有数十个相关药物进入临床试验阶段。其中，包括 </w:t>
      </w:r>
      <w:r>
        <w:t>rhBMP-2、TGF-β1、VEGF</w:t>
      </w:r>
      <w:r>
        <w:rPr>
          <w:spacing w:val="-7"/>
        </w:rPr>
        <w:t xml:space="preserve"> 等多种生长因子及细胞因子，以及多种新</w:t>
      </w:r>
    </w:p>
    <w:p>
      <w:pPr>
        <w:spacing w:after="0" w:line="417" w:lineRule="auto"/>
        <w:jc w:val="both"/>
        <w:sectPr>
          <w:footerReference w:type="default" r:id="rId13"/>
          <w:pgSz w:w="11910" w:h="16840"/>
          <w:pgMar w:top="1920" w:right="1280" w:bottom="1380" w:left="1680" w:header="0" w:footer="1198"/>
          <w:pgNumType w:start="9"/>
          <w:cols w:space="708"/>
        </w:sectPr>
      </w:pPr>
    </w:p>
    <w:p>
      <w:pPr>
        <w:pStyle w:val="BodyText"/>
        <w:spacing w:before="37" w:line="417" w:lineRule="auto"/>
        <w:ind w:left="120" w:right="518"/>
      </w:pPr>
      <w:r>
        <w:rPr>
          <w:spacing w:val="-9"/>
        </w:rPr>
        <w:t>型骨折愈合促进剂和靶向药物。这些药物在临床试验中表现出良好的</w:t>
      </w:r>
      <w:r>
        <w:rPr>
          <w:spacing w:val="-2"/>
        </w:rPr>
        <w:t>疗效和安全性，为颞骨骨折的治疗带来了新的希望。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总之，在未来的研究中，我们期待更多的突破性新药被开发出来，以</w:t>
      </w:r>
      <w:r>
        <w:rPr>
          <w:spacing w:val="-4"/>
        </w:rPr>
        <w:t>满足患者的需求，提高颞骨骨折的治愈率和生活质量。随着科学技术</w:t>
      </w:r>
      <w:r>
        <w:rPr>
          <w:spacing w:val="-4"/>
        </w:rPr>
        <w:t>的发展和创新，相信在未来不久的时间内，我们会看到更多优质的药</w:t>
      </w:r>
      <w:r>
        <w:rPr>
          <w:spacing w:val="-2"/>
        </w:rPr>
        <w:t>品和治疗方法服务于临床实践。</w:t>
      </w:r>
    </w:p>
    <w:p>
      <w:pPr>
        <w:pStyle w:val="BodyText"/>
      </w:pPr>
    </w:p>
    <w:p>
      <w:pPr>
        <w:pStyle w:val="Heading1"/>
        <w:jc w:val="both"/>
      </w:pPr>
      <w:bookmarkStart w:id="3" w:name="_TOC_250004"/>
      <w:r>
        <w:t>第四部分</w:t>
      </w:r>
      <w:r>
        <w:rPr>
          <w:spacing w:val="217"/>
          <w:w w:val="150"/>
        </w:rPr>
        <w:t xml:space="preserve"> </w:t>
      </w:r>
      <w:bookmarkEnd w:id="3"/>
      <w:r>
        <w:rPr>
          <w:spacing w:val="-1"/>
        </w:rPr>
        <w:t>临床试验中关键研究指标的评估</w:t>
      </w:r>
    </w:p>
    <w:p>
      <w:pPr>
        <w:pStyle w:val="BodyText"/>
        <w:spacing w:before="16"/>
        <w:rPr>
          <w:rFonts w:ascii="Microsoft JhengHei"/>
          <w:b/>
          <w:sz w:val="15"/>
        </w:rPr>
      </w:pPr>
    </w:p>
    <w:tbl>
      <w:tblPr>
        <w:tblStyle w:val="TableNormal4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药物疗效评估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临床改善程度：通过观察患者在治疗过程中的症状改善</w:t>
            </w:r>
            <w:r>
              <w:rPr>
                <w:spacing w:val="-2"/>
                <w:sz w:val="21"/>
              </w:rPr>
              <w:t>情况，例如疼痛缓解、听力恢复等，来衡量药物的疗效。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 xml:space="preserve">影像学改变：利用 </w:t>
            </w:r>
            <w:r>
              <w:rPr>
                <w:rFonts w:ascii="Times New Roman" w:eastAsia="Times New Roman"/>
                <w:spacing w:val="-2"/>
                <w:sz w:val="21"/>
              </w:rPr>
              <w:t>CT</w:t>
            </w:r>
            <w:r>
              <w:rPr>
                <w:rFonts w:ascii="Times New Roman" w:eastAsia="Times New Roman"/>
                <w:spacing w:val="-11"/>
                <w:sz w:val="21"/>
              </w:rPr>
              <w:t xml:space="preserve"> </w:t>
            </w:r>
            <w:r>
              <w:rPr>
                <w:spacing w:val="-28"/>
                <w:sz w:val="21"/>
              </w:rPr>
              <w:t xml:space="preserve">或 </w:t>
            </w:r>
            <w:r>
              <w:rPr>
                <w:rFonts w:ascii="Times New Roman" w:eastAsia="Times New Roman"/>
                <w:spacing w:val="-2"/>
                <w:sz w:val="21"/>
              </w:rPr>
              <w:t>MRI</w:t>
            </w:r>
            <w:r>
              <w:rPr>
                <w:rFonts w:ascii="Times New Roman" w:eastAsia="Times New Roman"/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等影像学手段，对比治疗</w:t>
            </w:r>
            <w:r>
              <w:rPr>
                <w:spacing w:val="-2"/>
                <w:sz w:val="21"/>
              </w:rPr>
              <w:t>前后的颞骨骨折状况，评估药物对骨折愈合的影响。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安全性评价：监测并记录患者在接受治疗期间出现的不</w:t>
            </w:r>
            <w:r>
              <w:rPr>
                <w:spacing w:val="-2"/>
                <w:sz w:val="21"/>
              </w:rPr>
              <w:t>良反应和副作用，以确保药物的安全使用。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病人生活质量评估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身体功能：关注患者在日常生活中的活动能力，如吃饭、</w:t>
            </w:r>
            <w:r>
              <w:rPr>
                <w:spacing w:val="-2"/>
                <w:sz w:val="21"/>
              </w:rPr>
              <w:t>洗澡、走路等，以及治疗后这些能力的变化。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心理健康：通过调查问卷等方式，了解患者的焦虑、抑</w:t>
            </w:r>
            <w:r>
              <w:rPr>
                <w:spacing w:val="-2"/>
                <w:sz w:val="21"/>
              </w:rPr>
              <w:t>郁等心理状态，以及治疗对其心理健康的影响。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社会参与度：评估患者的社会交往能力、工作能力和学</w:t>
            </w:r>
            <w:r>
              <w:rPr>
                <w:spacing w:val="-2"/>
                <w:sz w:val="21"/>
              </w:rPr>
              <w:t>习能力等，分析治疗对其社会生活的影响。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药物剂量与疗程研究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最佳剂量确定：通过对不同剂量的药物进行临床试验，</w:t>
            </w:r>
            <w:r>
              <w:rPr>
                <w:spacing w:val="-2"/>
                <w:sz w:val="21"/>
              </w:rPr>
              <w:t>找出最能有效治疗颞骨骨折且安全性高的药物剂量。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疗程时长探索：研究最佳的药物给药周期和持续时间，</w:t>
            </w:r>
            <w:r>
              <w:rPr>
                <w:spacing w:val="-2"/>
                <w:sz w:val="21"/>
              </w:rPr>
              <w:t>以便于制定个性化的治疗方案。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药物经济学评估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371"/>
              </w:tabs>
              <w:spacing w:before="0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治疗成本分析：计算包括药品费用、检查费用、住院费</w:t>
            </w:r>
          </w:p>
        </w:tc>
      </w:tr>
    </w:tbl>
    <w:p>
      <w:pPr>
        <w:spacing w:after="0" w:line="240" w:lineRule="auto"/>
        <w:jc w:val="left"/>
        <w:rPr>
          <w:sz w:val="21"/>
        </w:rPr>
        <w:sectPr>
          <w:footerReference w:type="default" r:id="rId14"/>
          <w:pgSz w:w="11910" w:h="16840"/>
          <w:pgMar w:top="1520" w:right="1280" w:bottom="1380" w:left="1680" w:header="0" w:footer="1198"/>
          <w:pgNumType w:start="10"/>
          <w:cols w:space="708"/>
        </w:sectPr>
      </w:pPr>
    </w:p>
    <w:tbl>
      <w:tblPr>
        <w:tblStyle w:val="TableNormal5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48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用等在内的总体治疗花费。</w:t>
            </w:r>
          </w:p>
          <w:p>
            <w:pPr>
              <w:pStyle w:val="TableParagraph"/>
              <w:spacing w:before="43" w:line="278" w:lineRule="auto"/>
              <w:ind w:right="9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2.</w:t>
            </w:r>
            <w:r>
              <w:rPr>
                <w:rFonts w:ascii="Times New Roman" w:eastAsia="Times New Roman"/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效益比评估：通过比较治疗成本与疗效之间的关系，评</w:t>
            </w:r>
            <w:r>
              <w:rPr>
                <w:spacing w:val="-2"/>
                <w:sz w:val="21"/>
              </w:rPr>
              <w:t>估药物的经济效益。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1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药物耐受性研究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长期用药效果：研究患者长期使用该药物的效果是否稳</w:t>
            </w:r>
            <w:r>
              <w:rPr>
                <w:spacing w:val="-2"/>
                <w:sz w:val="21"/>
              </w:rPr>
              <w:t>定，是否存在耐药现象。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停药反应：考察患者停用药物后，病情是否会反弹或者</w:t>
            </w:r>
            <w:r>
              <w:rPr>
                <w:spacing w:val="-4"/>
                <w:sz w:val="21"/>
              </w:rPr>
              <w:t>加重。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60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个体化治疗策略探讨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患者特征分析：考虑年龄、性别、体质等因素，探索不</w:t>
            </w:r>
            <w:r>
              <w:rPr>
                <w:spacing w:val="-2"/>
                <w:sz w:val="21"/>
              </w:rPr>
              <w:t>同的治疗策略。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多学科协作：结合耳鼻喉科、神经外科等多个专业，为</w:t>
            </w:r>
          </w:p>
          <w:p>
            <w:pPr>
              <w:pStyle w:val="TableParagraph"/>
              <w:spacing w:before="43"/>
              <w:rPr>
                <w:sz w:val="21"/>
              </w:rPr>
            </w:pPr>
            <w:r>
              <w:rPr>
                <w:spacing w:val="-1"/>
                <w:sz w:val="21"/>
              </w:rPr>
              <w:t>患者提供综合性的治疗建议。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rFonts w:ascii="Microsoft JhengHei"/>
          <w:b/>
          <w:sz w:val="5"/>
        </w:rPr>
      </w:pPr>
    </w:p>
    <w:p>
      <w:pPr>
        <w:pStyle w:val="BodyText"/>
        <w:spacing w:before="61" w:line="417" w:lineRule="auto"/>
        <w:ind w:left="120" w:right="518" w:firstLine="560"/>
        <w:jc w:val="both"/>
      </w:pPr>
      <w:r>
        <w:rPr>
          <w:spacing w:val="-8"/>
        </w:rPr>
        <w:t>在评估颞骨骨折治疗新药的临床试验中，关键研究指标的评估是</w:t>
      </w:r>
      <w:r>
        <w:rPr>
          <w:spacing w:val="-4"/>
        </w:rPr>
        <w:t>非常重要的一个环节。这些指标通常包括药物的安全性、有效性和耐</w:t>
      </w:r>
      <w:r>
        <w:rPr>
          <w:spacing w:val="-2"/>
        </w:rPr>
        <w:t>受性等。以下将从这三个方面介绍评估的关键研究指标。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8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药物安全性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238"/>
      </w:pPr>
      <w:r>
        <w:rPr>
          <w:spacing w:val="-6"/>
        </w:rPr>
        <w:t>药物安全性的评估主要关注药物的不良反应发生率和严重程度。临床</w:t>
      </w:r>
      <w:r>
        <w:rPr>
          <w:spacing w:val="-2"/>
        </w:rPr>
        <w:t xml:space="preserve"> </w:t>
      </w:r>
      <w:r>
        <w:rPr>
          <w:spacing w:val="-2"/>
        </w:rPr>
        <w:t>试验中，研究人员需要密切监测患者的不良反应，并进行详细记录。</w:t>
      </w:r>
      <w:r>
        <w:rPr>
          <w:spacing w:val="-7"/>
        </w:rPr>
        <w:t>这些数据可以用来分析药物的安全性特征，帮助确定药物的最大可接</w:t>
      </w:r>
      <w:r>
        <w:rPr>
          <w:spacing w:val="-2"/>
        </w:rPr>
        <w:t xml:space="preserve"> </w:t>
      </w:r>
      <w:r>
        <w:rPr>
          <w:spacing w:val="-2"/>
        </w:rPr>
        <w:t>受剂量和最佳给药方案。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8"/>
        </w:numPr>
        <w:tabs>
          <w:tab w:val="left" w:pos="540"/>
        </w:tabs>
        <w:spacing w:before="0" w:after="0" w:line="240" w:lineRule="auto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药物有效性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7"/>
        </w:rPr>
        <w:t>药物有效性的评估通常采用定量或定性的方式进行。定量评估方法主</w:t>
      </w:r>
      <w:r>
        <w:rPr>
          <w:spacing w:val="-4"/>
        </w:rPr>
        <w:t>要包括对骨折愈合速度、骨折疼痛缓解程度等方面的测量；而定性评</w:t>
      </w:r>
      <w:r>
        <w:rPr>
          <w:spacing w:val="-5"/>
        </w:rPr>
        <w:t>估方法则主要是通过患者自我报告的症状改善情况来进行。为了保证</w:t>
      </w:r>
    </w:p>
    <w:p>
      <w:pPr>
        <w:spacing w:after="0" w:line="417" w:lineRule="auto"/>
        <w:jc w:val="both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https://d.book118.com/627052053104006050</w:t>
        </w:r>
      </w:hyperlink>
    </w:p>
    <w:p>
      <w:pPr>
        <w:spacing w:after="0" w:line="417" w:lineRule="auto"/>
        <w:jc w:val="both"/>
      </w:pPr>
    </w:p>
    <w:sectPr>
      <w:footerReference w:type="default" r:id="rId16"/>
      <w:type w:val="continuous"/>
      <w:pgSz w:w="11910" w:h="16840"/>
      <w:pgMar w:top="1400" w:right="1280" w:bottom="1380" w:left="1680" w:header="0" w:footer="1198"/>
      <w:pgNumType w:start="1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9.05pt;height:12pt;margin-top:770.98pt;margin-left:284.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9.05pt;height:12pt;margin-top:770.98pt;margin-left:284.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29.05pt;height:12pt;margin-top:770.98pt;margin-left:284.4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9.05pt;height:12pt;margin-top:770.98pt;margin-left:284.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9.05pt;height:12pt;margin-top:770.98pt;margin-left:284.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9.05pt;height:12pt;margin-top:770.98pt;margin-left:284.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4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9.05pt;height:12pt;margin-top:770.98pt;margin-left:284.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9.05pt;height:12pt;margin-top:770.98pt;margin-left:284.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6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9.05pt;height:12pt;margin-top:770.98pt;margin-left:284.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7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9.05pt;height:12pt;margin-top:770.98pt;margin-left:284.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8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9.05pt;height:12pt;margin-top:770.98pt;margin-left:284.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9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E5B90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">
    <w:nsid w:val="06F10AF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0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1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2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3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4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6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7" w:hanging="263"/>
      </w:pPr>
      <w:rPr>
        <w:rFonts w:hint="default"/>
        <w:lang w:val="en-US" w:eastAsia="zh-CN" w:bidi="ar-SA"/>
      </w:rPr>
    </w:lvl>
  </w:abstractNum>
  <w:abstractNum w:abstractNumId="2">
    <w:nsid w:val="0DFAB3AA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3">
    <w:nsid w:val="1C2EA35E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4">
    <w:nsid w:val="1E797D7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0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1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2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3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4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6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7" w:hanging="263"/>
      </w:pPr>
      <w:rPr>
        <w:rFonts w:hint="default"/>
        <w:lang w:val="en-US" w:eastAsia="zh-CN" w:bidi="ar-SA"/>
      </w:rPr>
    </w:lvl>
  </w:abstractNum>
  <w:abstractNum w:abstractNumId="5">
    <w:nsid w:val="1EA1328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6">
    <w:nsid w:val="1F0609C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7">
    <w:nsid w:val="21EA6EE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8">
    <w:nsid w:val="2286EC3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9">
    <w:nsid w:val="28CFA73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0">
    <w:nsid w:val="2D6F4E87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11">
    <w:nsid w:val="33FB5AC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2">
    <w:nsid w:val="366E8F3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3">
    <w:nsid w:val="370F932C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14">
    <w:nsid w:val="383432D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5">
    <w:nsid w:val="3DA1E336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16">
    <w:nsid w:val="3EDA785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7">
    <w:nsid w:val="3F1159F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8">
    <w:nsid w:val="42596FE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9">
    <w:nsid w:val="460D94C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0">
    <w:nsid w:val="463197C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3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8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21">
    <w:nsid w:val="46D0719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2">
    <w:nsid w:val="47D7605B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3">
    <w:nsid w:val="4FD00F4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3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8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24">
    <w:nsid w:val="524F0822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25">
    <w:nsid w:val="524F9EFC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6">
    <w:nsid w:val="5390488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7">
    <w:nsid w:val="53CA5AE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8">
    <w:nsid w:val="5E59189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9">
    <w:nsid w:val="64CC5DA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3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8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30">
    <w:nsid w:val="64EEEAF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1">
    <w:nsid w:val="6891394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3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8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32">
    <w:nsid w:val="698A097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3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8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33">
    <w:nsid w:val="6C5D557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4">
    <w:nsid w:val="6C9BCDE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5">
    <w:nsid w:val="70132563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6">
    <w:nsid w:val="774A6150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7">
    <w:nsid w:val="78A9457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3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8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3"/>
      </w:pPr>
      <w:rPr>
        <w:rFonts w:hint="default"/>
        <w:lang w:val="en-US" w:eastAsia="zh-CN" w:bidi="ar-SA"/>
      </w:rPr>
    </w:lvl>
  </w:abstractNum>
  <w:abstractNum w:abstractNumId="38">
    <w:nsid w:val="791E87F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9">
    <w:nsid w:val="7CDB637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0">
    <w:nsid w:val="7CE552F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1">
    <w:nsid w:val="7E8ED43D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42">
    <w:nsid w:val="7FE09E6B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num w:numId="1">
    <w:abstractNumId w:val="6"/>
  </w:num>
  <w:num w:numId="2">
    <w:abstractNumId w:val="26"/>
  </w:num>
  <w:num w:numId="3">
    <w:abstractNumId w:val="7"/>
  </w:num>
  <w:num w:numId="4">
    <w:abstractNumId w:val="12"/>
  </w:num>
  <w:num w:numId="5">
    <w:abstractNumId w:val="40"/>
  </w:num>
  <w:num w:numId="6">
    <w:abstractNumId w:val="35"/>
  </w:num>
  <w:num w:numId="7">
    <w:abstractNumId w:val="20"/>
  </w:num>
  <w:num w:numId="8">
    <w:abstractNumId w:val="31"/>
  </w:num>
  <w:num w:numId="9">
    <w:abstractNumId w:val="23"/>
  </w:num>
  <w:num w:numId="10">
    <w:abstractNumId w:val="37"/>
  </w:num>
  <w:num w:numId="11">
    <w:abstractNumId w:val="29"/>
  </w:num>
  <w:num w:numId="12">
    <w:abstractNumId w:val="32"/>
  </w:num>
  <w:num w:numId="13">
    <w:abstractNumId w:val="13"/>
  </w:num>
  <w:num w:numId="14">
    <w:abstractNumId w:val="11"/>
  </w:num>
  <w:num w:numId="15">
    <w:abstractNumId w:val="19"/>
  </w:num>
  <w:num w:numId="16">
    <w:abstractNumId w:val="18"/>
  </w:num>
  <w:num w:numId="17">
    <w:abstractNumId w:val="17"/>
  </w:num>
  <w:num w:numId="18">
    <w:abstractNumId w:val="25"/>
  </w:num>
  <w:num w:numId="19">
    <w:abstractNumId w:val="24"/>
  </w:num>
  <w:num w:numId="20">
    <w:abstractNumId w:val="34"/>
  </w:num>
  <w:num w:numId="21">
    <w:abstractNumId w:val="14"/>
  </w:num>
  <w:num w:numId="22">
    <w:abstractNumId w:val="38"/>
  </w:num>
  <w:num w:numId="23">
    <w:abstractNumId w:val="33"/>
  </w:num>
  <w:num w:numId="24">
    <w:abstractNumId w:val="39"/>
  </w:num>
  <w:num w:numId="25">
    <w:abstractNumId w:val="36"/>
  </w:num>
  <w:num w:numId="26">
    <w:abstractNumId w:val="3"/>
  </w:num>
  <w:num w:numId="27">
    <w:abstractNumId w:val="5"/>
  </w:num>
  <w:num w:numId="28">
    <w:abstractNumId w:val="41"/>
  </w:num>
  <w:num w:numId="29">
    <w:abstractNumId w:val="16"/>
  </w:num>
  <w:num w:numId="30">
    <w:abstractNumId w:val="21"/>
  </w:num>
  <w:num w:numId="31">
    <w:abstractNumId w:val="10"/>
  </w:num>
  <w:num w:numId="32">
    <w:abstractNumId w:val="27"/>
  </w:num>
  <w:num w:numId="33">
    <w:abstractNumId w:val="28"/>
  </w:num>
  <w:num w:numId="34">
    <w:abstractNumId w:val="9"/>
  </w:num>
  <w:num w:numId="35">
    <w:abstractNumId w:val="1"/>
  </w:num>
  <w:num w:numId="36">
    <w:abstractNumId w:val="15"/>
  </w:num>
  <w:num w:numId="37">
    <w:abstractNumId w:val="42"/>
  </w:num>
  <w:num w:numId="38">
    <w:abstractNumId w:val="8"/>
  </w:num>
  <w:num w:numId="39">
    <w:abstractNumId w:val="0"/>
  </w:num>
  <w:num w:numId="40">
    <w:abstractNumId w:val="22"/>
  </w:num>
  <w:num w:numId="41">
    <w:abstractNumId w:val="2"/>
  </w:num>
  <w:num w:numId="42">
    <w:abstractNumId w:val="30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仿宋" w:eastAsia="仿宋" w:hAnsi="仿宋" w:cs="仿宋"/>
      <w:lang w:val="en-US" w:eastAsia="zh-CN" w:bidi="ar-SA"/>
    </w:rPr>
  </w:style>
  <w:style w:type="paragraph" w:styleId="Heading1">
    <w:name w:val="heading 1"/>
    <w:basedOn w:val="Normal"/>
    <w:uiPriority w:val="1"/>
    <w:qFormat/>
    <w:pPr>
      <w:spacing w:before="237"/>
      <w:ind w:left="12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55"/>
      <w:ind w:left="540"/>
    </w:pPr>
    <w:rPr>
      <w:rFonts w:ascii="仿宋" w:eastAsia="仿宋" w:hAnsi="仿宋" w:cs="仿宋"/>
      <w:sz w:val="21"/>
      <w:szCs w:val="21"/>
      <w:lang w:val="en-US" w:eastAsia="zh-CN" w:bidi="ar-SA"/>
    </w:rPr>
  </w:style>
  <w:style w:type="paragraph" w:styleId="BodyText">
    <w:name w:val="Body Text"/>
    <w:basedOn w:val="Normal"/>
    <w:uiPriority w:val="1"/>
    <w:qFormat/>
    <w:rPr>
      <w:rFonts w:ascii="仿宋" w:eastAsia="仿宋" w:hAnsi="仿宋" w:cs="仿宋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569" w:lineRule="exact"/>
      <w:ind w:left="1563" w:right="1962"/>
      <w:jc w:val="center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540" w:hanging="420"/>
    </w:pPr>
    <w:rPr>
      <w:rFonts w:ascii="仿宋" w:eastAsia="仿宋" w:hAnsi="仿宋" w:cs="仿宋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仿宋" w:eastAsia="仿宋" w:hAnsi="仿宋" w:cs="仿宋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hyperlink" Target="https://d.book118.com/627052053104006050" TargetMode="External" /><Relationship Id="rId16" Type="http://schemas.openxmlformats.org/officeDocument/2006/relationships/footer" Target="footer1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2024-03-05T05:08:58Z</dcterms:created>
  <dcterms:modified xsi:type="dcterms:W3CDTF">2024-03-05T05:08:58Z</dcterms:modified>
</cp:coreProperties>
</file>