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12" w:lineRule="exact"/>
        <w:ind w:firstLine="5477"/>
      </w:pPr>
      <w:r>
        <w:rPr>
          <w:position w:val="-32"/>
        </w:rPr>
        <w:drawing>
          <wp:inline distT="0" distB="0" distL="0" distR="0">
            <wp:extent cx="2095500" cy="102412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024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446" w:lineRule="auto"/>
      </w:pPr>
    </w:p>
    <w:p>
      <w:pPr>
        <w:spacing w:before="227" w:line="183" w:lineRule="auto"/>
        <w:ind w:left="607"/>
        <w:rPr>
          <w:rFonts w:ascii="Arial Unicode MS" w:eastAsia="Arial Unicode MS" w:hAnsi="Arial Unicode MS" w:cs="Arial Unicode MS"/>
          <w:sz w:val="52"/>
          <w:szCs w:val="52"/>
        </w:rPr>
      </w:pP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北  京</w:t>
      </w:r>
      <w:r>
        <w:rPr>
          <w:rFonts w:ascii="Arial Unicode MS" w:eastAsia="Arial Unicode MS" w:hAnsi="Arial Unicode MS" w:cs="Arial Unicode MS"/>
          <w:spacing w:val="16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市</w:t>
      </w:r>
      <w:r>
        <w:rPr>
          <w:rFonts w:ascii="Arial Unicode MS" w:eastAsia="Arial Unicode MS" w:hAnsi="Arial Unicode MS" w:cs="Arial Unicode MS"/>
          <w:spacing w:val="12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地</w:t>
      </w:r>
      <w:r>
        <w:rPr>
          <w:rFonts w:ascii="Arial Unicode MS" w:eastAsia="Arial Unicode MS" w:hAnsi="Arial Unicode MS" w:cs="Arial Unicode MS"/>
          <w:spacing w:val="10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方</w:t>
      </w:r>
      <w:r>
        <w:rPr>
          <w:rFonts w:ascii="Arial Unicode MS" w:eastAsia="Arial Unicode MS" w:hAnsi="Arial Unicode MS" w:cs="Arial Unicode MS"/>
          <w:spacing w:val="17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计</w:t>
      </w:r>
      <w:r>
        <w:rPr>
          <w:rFonts w:ascii="Arial Unicode MS" w:eastAsia="Arial Unicode MS" w:hAnsi="Arial Unicode MS" w:cs="Arial Unicode MS"/>
          <w:spacing w:val="10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量</w:t>
      </w:r>
      <w:r>
        <w:rPr>
          <w:rFonts w:ascii="Arial Unicode MS" w:eastAsia="Arial Unicode MS" w:hAnsi="Arial Unicode MS" w:cs="Arial Unicode MS"/>
          <w:spacing w:val="7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技</w:t>
      </w:r>
      <w:r>
        <w:rPr>
          <w:rFonts w:ascii="Arial Unicode MS" w:eastAsia="Arial Unicode MS" w:hAnsi="Arial Unicode MS" w:cs="Arial Unicode MS"/>
          <w:spacing w:val="6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术  规</w:t>
      </w:r>
      <w:r>
        <w:rPr>
          <w:rFonts w:ascii="Arial Unicode MS" w:eastAsia="Arial Unicode MS" w:hAnsi="Arial Unicode MS" w:cs="Arial Unicode MS"/>
          <w:spacing w:val="9"/>
          <w:sz w:val="52"/>
          <w:szCs w:val="52"/>
        </w:rPr>
        <w:t xml:space="preserve">  </w:t>
      </w:r>
      <w:r>
        <w:rPr>
          <w:rFonts w:ascii="Arial Unicode MS" w:eastAsia="Arial Unicode MS" w:hAnsi="Arial Unicode MS" w:cs="Arial Unicode MS"/>
          <w:spacing w:val="-15"/>
          <w:sz w:val="52"/>
          <w:szCs w:val="52"/>
        </w:rPr>
        <w:t>范</w:t>
      </w:r>
    </w:p>
    <w:p>
      <w:pPr>
        <w:spacing w:before="185" w:line="223" w:lineRule="auto"/>
        <w:ind w:left="6245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JJF（京）107-2023</w:t>
      </w:r>
    </w:p>
    <w:p>
      <w:pPr>
        <w:spacing w:before="51" w:line="20" w:lineRule="exact"/>
        <w:ind w:firstLine="461"/>
      </w:pPr>
      <w:r>
        <w:drawing>
          <wp:inline distT="0" distB="0" distL="0" distR="0">
            <wp:extent cx="5950585" cy="1270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50585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71" w:lineRule="auto"/>
      </w:pPr>
    </w:p>
    <w:p>
      <w:pPr>
        <w:pStyle w:val="BodyText"/>
        <w:spacing w:line="271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spacing w:before="169" w:line="223" w:lineRule="auto"/>
        <w:ind w:left="3073"/>
        <w:outlineLvl w:val="0"/>
        <w:rPr>
          <w:rFonts w:ascii="SimHei" w:eastAsia="SimHei" w:hAnsi="SimHei" w:cs="SimHei"/>
          <w:sz w:val="52"/>
          <w:szCs w:val="52"/>
        </w:rPr>
      </w:pPr>
      <w:r>
        <w:rPr>
          <w:rFonts w:ascii="SimHei" w:eastAsia="SimHei" w:hAnsi="SimHei" w:cs="SimHei"/>
          <w:spacing w:val="-4"/>
          <w:sz w:val="52"/>
          <w:szCs w:val="52"/>
        </w:rPr>
        <w:t>加氢机校准规范</w:t>
      </w:r>
    </w:p>
    <w:p>
      <w:pPr>
        <w:spacing w:before="272" w:line="219" w:lineRule="auto"/>
        <w:ind w:left="1450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z w:val="28"/>
          <w:szCs w:val="28"/>
        </w:rPr>
        <w:t>Calibration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Specification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for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</w:rPr>
        <w:t>Hydrogen</w:t>
      </w:r>
      <w:r>
        <w:rPr>
          <w:rFonts w:ascii="SimHei" w:eastAsia="SimHei" w:hAnsi="SimHei" w:cs="SimHei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Dispensers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  <w:sectPr>
          <w:pgSz w:w="11906" w:h="16839"/>
          <w:pgMar w:top="1183" w:right="1116" w:bottom="0" w:left="956" w:header="0" w:footer="0" w:gutter="0"/>
          <w:cols w:space="708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92" w:line="222" w:lineRule="auto"/>
        <w:ind w:left="738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2023-5-22</w:t>
      </w:r>
      <w:r>
        <w:rPr>
          <w:rFonts w:ascii="SimHei" w:eastAsia="SimHei" w:hAnsi="SimHei" w:cs="SimHei"/>
          <w:spacing w:val="-4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发布</w:t>
      </w:r>
      <w:r>
        <w:rPr>
          <w:rFonts w:ascii="SimHei" w:eastAsia="SimHei" w:hAnsi="SimHei" w:cs="SimHei"/>
          <w:spacing w:val="-1"/>
          <w:sz w:val="28"/>
          <w:szCs w:val="28"/>
        </w:rPr>
        <w:t xml:space="preserve">                              </w:t>
      </w:r>
      <w:r>
        <w:rPr>
          <w:rFonts w:ascii="SimHei" w:eastAsia="SimHei" w:hAnsi="SimHei" w:cs="SimHei"/>
          <w:spacing w:val="-1"/>
          <w:sz w:val="28"/>
          <w:szCs w:val="28"/>
        </w:rPr>
        <w:t>2023-7-1</w:t>
      </w:r>
      <w:r>
        <w:rPr>
          <w:rFonts w:ascii="SimHei" w:eastAsia="SimHei" w:hAnsi="SimHei" w:cs="SimHei"/>
          <w:spacing w:val="-53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实施</w:t>
      </w:r>
    </w:p>
    <w:p>
      <w:pPr>
        <w:pStyle w:val="BodyText"/>
        <w:spacing w:line="313" w:lineRule="auto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167638</wp:posOffset>
            </wp:positionV>
            <wp:extent cx="6134099" cy="952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34099" cy="9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313" w:lineRule="auto"/>
      </w:pPr>
    </w:p>
    <w:p>
      <w:pPr>
        <w:spacing w:before="188" w:line="190" w:lineRule="auto"/>
        <w:ind w:left="1903"/>
        <w:rPr>
          <w:rFonts w:ascii="SimHei" w:eastAsia="SimHei" w:hAnsi="SimHei" w:cs="SimHei"/>
          <w:sz w:val="28"/>
          <w:szCs w:val="28"/>
        </w:rPr>
      </w:pPr>
      <w:r>
        <w:rPr>
          <w:rFonts w:ascii="Arial Unicode MS" w:eastAsia="Arial Unicode MS" w:hAnsi="Arial Unicode MS" w:cs="Arial Unicode MS"/>
          <w:spacing w:val="39"/>
          <w:sz w:val="43"/>
          <w:szCs w:val="43"/>
        </w:rPr>
        <w:t>北京市市场监督管理局</w:t>
      </w:r>
      <w:r>
        <w:rPr>
          <w:rFonts w:ascii="Arial Unicode MS" w:eastAsia="Arial Unicode MS" w:hAnsi="Arial Unicode MS" w:cs="Arial Unicode MS"/>
          <w:spacing w:val="32"/>
          <w:sz w:val="43"/>
          <w:szCs w:val="43"/>
        </w:rPr>
        <w:t xml:space="preserve">   </w:t>
      </w:r>
      <w:r>
        <w:rPr>
          <w:rFonts w:ascii="SimHei" w:eastAsia="SimHei" w:hAnsi="SimHei" w:cs="SimHei"/>
          <w:spacing w:val="39"/>
          <w:sz w:val="28"/>
          <w:szCs w:val="28"/>
        </w:rPr>
        <w:t>发</w:t>
      </w:r>
      <w:r>
        <w:rPr>
          <w:rFonts w:ascii="SimHei" w:eastAsia="SimHei" w:hAnsi="SimHei" w:cs="SimHei"/>
          <w:spacing w:val="39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39"/>
          <w:sz w:val="28"/>
          <w:szCs w:val="28"/>
        </w:rPr>
        <w:t>布</w:t>
      </w:r>
    </w:p>
    <w:p>
      <w:pPr>
        <w:spacing w:line="190" w:lineRule="auto"/>
        <w:rPr>
          <w:rFonts w:ascii="SimHei" w:eastAsia="SimHei" w:hAnsi="SimHei" w:cs="SimHei"/>
          <w:sz w:val="28"/>
          <w:szCs w:val="28"/>
        </w:rPr>
        <w:sectPr>
          <w:type w:val="nextPage"/>
          <w:pgSz w:w="11906" w:h="16839"/>
          <w:pgMar w:top="1183" w:right="1116" w:bottom="0" w:left="956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72" w:lineRule="auto"/>
      </w:pPr>
    </w:p>
    <w:p>
      <w:pPr>
        <w:pStyle w:val="BodyText"/>
        <w:spacing w:line="272" w:lineRule="auto"/>
      </w:pPr>
    </w:p>
    <w:p>
      <w:pPr>
        <w:pStyle w:val="BodyText"/>
        <w:spacing w:line="273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204.65pt;height:85.05pt;margin-top:5.11pt;margin-left:20.69pt;position:absolute;z-index:251659264" filled="f" stroked="f">
            <o:lock v:ext="edit" aspectratio="f"/>
            <v:textbox inset="0,0,0,0">
              <w:txbxContent>
                <w:p>
                  <w:pPr>
                    <w:spacing w:before="20" w:line="226" w:lineRule="auto"/>
                    <w:ind w:left="309"/>
                    <w:rPr>
                      <w:rFonts w:ascii="SimHei" w:eastAsia="SimHei" w:hAnsi="SimHei" w:cs="SimHei"/>
                      <w:sz w:val="43"/>
                      <w:szCs w:val="43"/>
                    </w:rPr>
                  </w:pPr>
                  <w:r>
                    <w:rPr>
                      <w:rFonts w:ascii="SimHei" w:eastAsia="SimHei" w:hAnsi="SimHei" w:cs="SimHei"/>
                      <w:spacing w:val="7"/>
                      <w:sz w:val="43"/>
                      <w:szCs w:val="43"/>
                    </w:rPr>
                    <w:t>加氢机校准规范</w:t>
                  </w:r>
                </w:p>
                <w:p>
                  <w:pPr>
                    <w:spacing w:before="177" w:line="219" w:lineRule="auto"/>
                    <w:ind w:left="20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z w:val="28"/>
                      <w:szCs w:val="28"/>
                    </w:rPr>
                    <w:t>Calibration</w:t>
                  </w:r>
                  <w:r>
                    <w:rPr>
                      <w:rFonts w:ascii="SimHei" w:eastAsia="SimHei" w:hAnsi="SimHei" w:cs="SimHei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z w:val="28"/>
                      <w:szCs w:val="28"/>
                    </w:rPr>
                    <w:t>Specifica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tion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for</w:t>
                  </w:r>
                </w:p>
                <w:p>
                  <w:pPr>
                    <w:spacing w:before="291" w:line="219" w:lineRule="auto"/>
                    <w:ind w:left="583"/>
                    <w:rPr>
                      <w:rFonts w:ascii="SimHei" w:eastAsia="SimHei" w:hAnsi="SimHei" w:cs="SimHei"/>
                      <w:sz w:val="28"/>
                      <w:szCs w:val="28"/>
                    </w:rPr>
                  </w:pP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Hydrogen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 xml:space="preserve"> </w:t>
                  </w:r>
                  <w:r>
                    <w:rPr>
                      <w:rFonts w:ascii="SimHei" w:eastAsia="SimHei" w:hAnsi="SimHei" w:cs="SimHei"/>
                      <w:spacing w:val="-1"/>
                      <w:sz w:val="28"/>
                      <w:szCs w:val="28"/>
                    </w:rPr>
                    <w:t>Dispensers</w:t>
                  </w:r>
                </w:p>
              </w:txbxContent>
            </v:textbox>
          </v:shape>
        </w:pict>
      </w:r>
    </w:p>
    <w:p>
      <w:pPr>
        <w:pStyle w:val="BodyText"/>
        <w:spacing w:line="1263" w:lineRule="exact"/>
        <w:ind w:firstLine="6156"/>
      </w:pPr>
      <w:r>
        <w:rPr>
          <w:position w:val="-25"/>
        </w:rPr>
        <w:pict>
          <v:group id="_x0000_i1026" style="width:128.35pt;height:63.15pt;mso-position-horizontal-relative:char;mso-position-vertical-relative:line" coordorigin="0,0" coordsize="2567,1263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2567;height:1263;position:absolute" filled="f" stroked="f">
              <v:imagedata r:id="rId7" o:title=""/>
            </v:shape>
            <v:shape id="_x0000_s1028" type="#_x0000_t202" style="width:2607;height:1303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36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91" w:line="223" w:lineRule="auto"/>
                      <w:ind w:left="270"/>
                      <w:rPr>
                        <w:rFonts w:ascii="SimHei" w:eastAsia="SimHei" w:hAnsi="SimHei" w:cs="SimHei"/>
                        <w:sz w:val="28"/>
                        <w:szCs w:val="28"/>
                      </w:rPr>
                    </w:pPr>
                    <w:r>
                      <w:rPr>
                        <w:rFonts w:ascii="SimHei" w:eastAsia="SimHei" w:hAnsi="SimHei" w:cs="SimHei"/>
                        <w:spacing w:val="-1"/>
                        <w:sz w:val="28"/>
                        <w:szCs w:val="28"/>
                      </w:rPr>
                      <w:t>JJF(京)107</w:t>
                    </w:r>
                    <w:r>
                      <w:rPr>
                        <w:rFonts w:ascii="SimHei" w:eastAsia="SimHei" w:hAnsi="SimHei" w:cs="SimHei"/>
                        <w:spacing w:val="-1"/>
                        <w:sz w:val="28"/>
                        <w:szCs w:val="28"/>
                        <w14:textOutline w14:w="5103" w14:cap="sq">
                          <w14:solidFill>
                            <w14:srgbClr w14:val="000000"/>
                          </w14:solidFill>
                          <w14:prstDash w14:val="solid"/>
                          <w14:bevel/>
                        </w14:textOutline>
                      </w:rPr>
                      <w:t>-</w:t>
                    </w:r>
                    <w:r>
                      <w:rPr>
                        <w:rFonts w:ascii="SimHei" w:eastAsia="SimHei" w:hAnsi="SimHei" w:cs="SimHei"/>
                        <w:spacing w:val="-1"/>
                        <w:sz w:val="28"/>
                        <w:szCs w:val="28"/>
                      </w:rPr>
                      <w:t>2023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spacing w:line="20" w:lineRule="exact"/>
      </w:pPr>
      <w:r>
        <w:drawing>
          <wp:inline distT="0" distB="0" distL="0" distR="0">
            <wp:extent cx="5800724" cy="1270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0724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91" w:line="222" w:lineRule="auto"/>
        <w:ind w:left="1557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6"/>
          <w:sz w:val="28"/>
          <w:szCs w:val="28"/>
        </w:rPr>
        <w:t>归</w:t>
      </w:r>
      <w:r>
        <w:rPr>
          <w:rFonts w:ascii="SimHei" w:eastAsia="SimHei" w:hAnsi="SimHei" w:cs="SimHei"/>
          <w:spacing w:val="9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6"/>
          <w:sz w:val="28"/>
          <w:szCs w:val="28"/>
        </w:rPr>
        <w:t>口</w:t>
      </w:r>
      <w:r>
        <w:rPr>
          <w:rFonts w:ascii="SimHei" w:eastAsia="SimHei" w:hAnsi="SimHei" w:cs="SimHei"/>
          <w:spacing w:val="63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6"/>
          <w:sz w:val="28"/>
          <w:szCs w:val="28"/>
        </w:rPr>
        <w:t>单</w:t>
      </w:r>
      <w:r>
        <w:rPr>
          <w:rFonts w:ascii="SimHei" w:eastAsia="SimHei" w:hAnsi="SimHei" w:cs="SimHei"/>
          <w:spacing w:val="56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6"/>
          <w:sz w:val="28"/>
          <w:szCs w:val="28"/>
        </w:rPr>
        <w:t>位：北京市市场监督管理局</w:t>
      </w:r>
    </w:p>
    <w:p>
      <w:pPr>
        <w:spacing w:before="288" w:line="397" w:lineRule="auto"/>
        <w:ind w:left="1555" w:right="2537" w:firstLine="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主要起草单位：北京市计量检测科学研究院</w:t>
      </w:r>
      <w:r>
        <w:rPr>
          <w:rFonts w:ascii="SimHei" w:eastAsia="SimHei" w:hAnsi="SimHei" w:cs="SimHei"/>
          <w:spacing w:val="3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参加起草单位：北京海德利森科技有限公司</w:t>
      </w:r>
    </w:p>
    <w:p>
      <w:pPr>
        <w:spacing w:before="42" w:line="397" w:lineRule="auto"/>
        <w:ind w:left="3518" w:right="1416" w:hanging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"/>
          <w:sz w:val="28"/>
          <w:szCs w:val="28"/>
        </w:rPr>
        <w:t>厚普清洁能源（集团）股份有限公司</w:t>
      </w:r>
      <w:r>
        <w:rPr>
          <w:rFonts w:ascii="SimHei" w:eastAsia="SimHei" w:hAnsi="SimHei" w:cs="SimHei"/>
          <w:spacing w:val="3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北京三盈氢能源装备有限公司</w:t>
      </w:r>
    </w:p>
    <w:p>
      <w:pPr>
        <w:pStyle w:val="BodyText"/>
        <w:spacing w:line="254" w:lineRule="auto"/>
      </w:pPr>
    </w:p>
    <w:p>
      <w:pPr>
        <w:pStyle w:val="BodyText"/>
        <w:spacing w:line="254" w:lineRule="auto"/>
        <w:sectPr>
          <w:headerReference w:type="default" r:id="rId9"/>
          <w:pgSz w:w="11906" w:h="16839"/>
          <w:pgMar w:top="1174" w:right="850" w:bottom="0" w:left="1651" w:header="865" w:footer="0" w:gutter="0"/>
          <w:pgNumType w:start="3"/>
          <w:cols w:space="708"/>
        </w:sectPr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91" w:line="220" w:lineRule="auto"/>
        <w:ind w:left="184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"/>
          <w:sz w:val="28"/>
          <w:szCs w:val="28"/>
        </w:rPr>
        <w:t>本规范委托北京市计量检测科学研究院负责解释</w:t>
      </w:r>
    </w:p>
    <w:p>
      <w:pPr>
        <w:spacing w:line="220" w:lineRule="auto"/>
        <w:rPr>
          <w:rFonts w:ascii="SimSun" w:eastAsia="SimSun" w:hAnsi="SimSun" w:cs="SimSun"/>
          <w:sz w:val="28"/>
          <w:szCs w:val="28"/>
        </w:rPr>
        <w:sectPr>
          <w:headerReference w:type="default" r:id="rId10"/>
          <w:type w:val="nextPage"/>
          <w:pgSz w:w="11906" w:h="16839"/>
          <w:pgMar w:top="1174" w:right="850" w:bottom="0" w:left="1651" w:header="865" w:footer="0" w:gutter="0"/>
          <w:pgNumType w:start="4"/>
          <w:cols w:space="708"/>
          <w:titlePg w:val="0"/>
        </w:sectPr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spacing w:before="91" w:line="223" w:lineRule="auto"/>
        <w:ind w:left="23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本规范主要起草人：</w:t>
      </w:r>
    </w:p>
    <w:p>
      <w:pPr>
        <w:spacing w:before="284" w:line="402" w:lineRule="auto"/>
        <w:ind w:left="1703" w:right="2844" w:hanging="2"/>
        <w:jc w:val="both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滕梓洁（北京市计量检测科学研究院）</w:t>
      </w:r>
      <w:r>
        <w:rPr>
          <w:rFonts w:ascii="SimHei" w:eastAsia="SimHei" w:hAnsi="SimHei" w:cs="SimHei"/>
          <w:spacing w:val="1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3"/>
          <w:sz w:val="28"/>
          <w:szCs w:val="28"/>
        </w:rPr>
        <w:t>刘</w:t>
      </w:r>
      <w:r>
        <w:rPr>
          <w:rFonts w:ascii="SimHei" w:eastAsia="SimHei" w:hAnsi="SimHei" w:cs="SimHei"/>
          <w:spacing w:val="-3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3"/>
          <w:sz w:val="28"/>
          <w:szCs w:val="28"/>
        </w:rPr>
        <w:t>锴（北京市计量检测科学研究院）</w:t>
      </w:r>
      <w:r>
        <w:rPr>
          <w:rFonts w:ascii="SimHei" w:eastAsia="SimHei" w:hAnsi="SimHei" w:cs="SimHei"/>
          <w:spacing w:val="13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3"/>
          <w:sz w:val="28"/>
          <w:szCs w:val="28"/>
        </w:rPr>
        <w:t>徐</w:t>
      </w:r>
      <w:r>
        <w:rPr>
          <w:rFonts w:ascii="SimHei" w:eastAsia="SimHei" w:hAnsi="SimHei" w:cs="SimHei"/>
          <w:spacing w:val="-3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3"/>
          <w:sz w:val="28"/>
          <w:szCs w:val="28"/>
        </w:rPr>
        <w:t>建（北京市计量检测科学研究院）</w:t>
      </w:r>
    </w:p>
    <w:p>
      <w:pPr>
        <w:spacing w:before="44" w:line="398" w:lineRule="auto"/>
        <w:ind w:left="862" w:right="2844" w:firstLine="84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王建民（北京市计量检测科学研究院）</w:t>
      </w:r>
      <w:r>
        <w:rPr>
          <w:rFonts w:ascii="SimHei" w:eastAsia="SimHei" w:hAnsi="SimHei" w:cs="SimHei"/>
          <w:spacing w:val="4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2"/>
          <w:sz w:val="28"/>
          <w:szCs w:val="28"/>
        </w:rPr>
        <w:t>参加起草人：</w:t>
      </w:r>
    </w:p>
    <w:p>
      <w:pPr>
        <w:spacing w:before="41" w:line="397" w:lineRule="auto"/>
        <w:ind w:left="1708" w:right="2844" w:hanging="6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3"/>
          <w:sz w:val="28"/>
          <w:szCs w:val="28"/>
        </w:rPr>
        <w:t>赵</w:t>
      </w:r>
      <w:r>
        <w:rPr>
          <w:rFonts w:ascii="SimHei" w:eastAsia="SimHei" w:hAnsi="SimHei" w:cs="SimHei"/>
          <w:spacing w:val="-3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3"/>
          <w:sz w:val="28"/>
          <w:szCs w:val="28"/>
        </w:rPr>
        <w:t>霞（北京市计量检测科学研究院）</w:t>
      </w:r>
      <w:r>
        <w:rPr>
          <w:rFonts w:ascii="SimHei" w:eastAsia="SimHei" w:hAnsi="SimHei" w:cs="SimHei"/>
          <w:spacing w:val="1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3"/>
          <w:sz w:val="28"/>
          <w:szCs w:val="28"/>
        </w:rPr>
        <w:t>吴伟功（北京海德利森科技有限公司）</w:t>
      </w:r>
    </w:p>
    <w:p>
      <w:pPr>
        <w:spacing w:before="42" w:line="397" w:lineRule="auto"/>
        <w:ind w:left="1702" w:right="1726" w:firstLine="1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2"/>
          <w:sz w:val="28"/>
          <w:szCs w:val="28"/>
        </w:rPr>
        <w:t>李</w:t>
      </w:r>
      <w:r>
        <w:rPr>
          <w:rFonts w:ascii="SimHei" w:eastAsia="SimHei" w:hAnsi="SimHei" w:cs="SimHei"/>
          <w:spacing w:val="-2"/>
          <w:sz w:val="28"/>
          <w:szCs w:val="28"/>
        </w:rPr>
        <w:t xml:space="preserve">  </w:t>
      </w:r>
      <w:r>
        <w:rPr>
          <w:rFonts w:ascii="SimHei" w:eastAsia="SimHei" w:hAnsi="SimHei" w:cs="SimHei"/>
          <w:spacing w:val="-2"/>
          <w:sz w:val="28"/>
          <w:szCs w:val="28"/>
        </w:rPr>
        <w:t>成（厚普清洁能源（集团）股份有限公司）</w:t>
      </w:r>
      <w:r>
        <w:rPr>
          <w:rFonts w:ascii="SimHei" w:eastAsia="SimHei" w:hAnsi="SimHei" w:cs="SimHei"/>
          <w:spacing w:val="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1"/>
          <w:sz w:val="28"/>
          <w:szCs w:val="28"/>
        </w:rPr>
        <w:t>蔡红璞（北京三盈氢能源装备有限公司）</w:t>
      </w:r>
    </w:p>
    <w:p>
      <w:pPr>
        <w:spacing w:line="397" w:lineRule="auto"/>
        <w:rPr>
          <w:rFonts w:ascii="SimHei" w:eastAsia="SimHei" w:hAnsi="SimHei" w:cs="SimHei"/>
          <w:sz w:val="28"/>
          <w:szCs w:val="28"/>
        </w:rPr>
        <w:sectPr>
          <w:headerReference w:type="default" r:id="rId11"/>
          <w:pgSz w:w="11906" w:h="16839"/>
          <w:pgMar w:top="1174" w:right="850" w:bottom="0" w:left="1785" w:header="865" w:footer="0" w:gutter="0"/>
          <w:pgNumType w:start="5"/>
          <w:cols w:space="708"/>
        </w:sectPr>
      </w:pPr>
    </w:p>
    <w:sdt>
      <w:sdtPr>
        <w:rPr>
          <w:rFonts w:ascii="Arial" w:eastAsia="Arial" w:hAnsi="Arial" w:cs="Arial"/>
          <w:sz w:val="21"/>
          <w:szCs w:val="21"/>
        </w:rPr>
        <w:id w:val="167007060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4"/>
          <w:szCs w:val="24"/>
        </w:rPr>
      </w:sdtEndPr>
      <w:sdtContent>
        <w:p>
          <w:pPr>
            <w:spacing w:before="358" w:line="225" w:lineRule="auto"/>
            <w:ind w:left="4050"/>
            <w:rPr>
              <w:rFonts w:ascii="SimHei" w:eastAsia="SimHei" w:hAnsi="SimHei" w:cs="SimHei"/>
              <w:sz w:val="43"/>
              <w:szCs w:val="43"/>
            </w:rPr>
          </w:pPr>
          <w:bookmarkStart w:id="0" w:name="bookmark1"/>
          <w:bookmarkEnd w:id="0"/>
          <w:r>
            <w:rPr>
              <w:rFonts w:ascii="SimHei" w:eastAsia="SimHei" w:hAnsi="SimHei" w:cs="SimHei"/>
              <w:spacing w:val="-32"/>
              <w:sz w:val="43"/>
              <w:szCs w:val="43"/>
            </w:rPr>
            <w:t>目</w:t>
          </w:r>
          <w:r>
            <w:rPr>
              <w:rFonts w:ascii="SimHei" w:eastAsia="SimHei" w:hAnsi="SimHei" w:cs="SimHei"/>
              <w:spacing w:val="16"/>
              <w:sz w:val="43"/>
              <w:szCs w:val="43"/>
            </w:rPr>
            <w:t xml:space="preserve">  </w:t>
          </w:r>
          <w:r>
            <w:rPr>
              <w:rFonts w:ascii="SimHei" w:eastAsia="SimHei" w:hAnsi="SimHei" w:cs="SimHei"/>
              <w:spacing w:val="-32"/>
              <w:sz w:val="43"/>
              <w:szCs w:val="43"/>
            </w:rPr>
            <w:t>录</w:t>
          </w:r>
        </w:p>
        <w:p>
          <w:pPr>
            <w:pStyle w:val="BodyText"/>
            <w:spacing w:line="291" w:lineRule="auto"/>
          </w:pPr>
        </w:p>
        <w:p>
          <w:pPr>
            <w:pStyle w:val="BodyText"/>
            <w:spacing w:line="291" w:lineRule="auto"/>
          </w:pPr>
        </w:p>
        <w:p>
          <w:pPr>
            <w:pStyle w:val="BodyText"/>
            <w:spacing w:line="292" w:lineRule="auto"/>
          </w:pPr>
        </w:p>
        <w:p>
          <w:pPr>
            <w:tabs>
              <w:tab w:val="right" w:leader="dot" w:pos="9257"/>
            </w:tabs>
            <w:spacing w:before="78" w:line="222" w:lineRule="auto"/>
            <w:ind w:left="38"/>
            <w:rPr>
              <w:rFonts w:ascii="SimSun" w:eastAsia="SimSun" w:hAnsi="SimSun" w:cs="SimSun"/>
              <w:sz w:val="24"/>
              <w:szCs w:val="24"/>
            </w:rPr>
          </w:pPr>
          <w:bookmarkStart w:id="1" w:name="bookmark2"/>
          <w:bookmarkEnd w:id="1"/>
          <w:hyperlink w:anchor="bookmark2" w:history="1">
            <w:r>
              <w:rPr>
                <w:rFonts w:ascii="SimSun" w:eastAsia="SimSun" w:hAnsi="SimSun" w:cs="SimSun"/>
                <w:spacing w:val="-24"/>
                <w:sz w:val="24"/>
                <w:szCs w:val="24"/>
              </w:rPr>
              <w:t>引</w:t>
            </w:r>
            <w:r>
              <w:rPr>
                <w:rFonts w:ascii="SimSun" w:eastAsia="SimSun" w:hAnsi="SimSun" w:cs="SimSun"/>
                <w:spacing w:val="9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24"/>
                <w:sz w:val="24"/>
                <w:szCs w:val="24"/>
              </w:rPr>
              <w:t>言</w:t>
            </w:r>
            <w:r>
              <w:rPr>
                <w:rFonts w:ascii="SimSun" w:eastAsia="SimSun" w:hAnsi="SimSun" w:cs="SimSu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II</w:t>
            </w:r>
          </w:hyperlink>
        </w:p>
        <w:p>
          <w:pPr>
            <w:tabs>
              <w:tab w:val="right" w:leader="dot" w:pos="9257"/>
            </w:tabs>
            <w:spacing w:before="179" w:line="221" w:lineRule="auto"/>
            <w:ind w:left="38"/>
            <w:rPr>
              <w:rFonts w:ascii="SimSun" w:eastAsia="SimSun" w:hAnsi="SimSun" w:cs="SimSun"/>
              <w:sz w:val="24"/>
              <w:szCs w:val="24"/>
            </w:rPr>
          </w:pPr>
          <w:bookmarkStart w:id="2" w:name="bookmark3"/>
          <w:bookmarkEnd w:id="2"/>
          <w:hyperlink w:anchor="bookmark3" w:history="1"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1</w:t>
            </w: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范围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257"/>
            </w:tabs>
            <w:spacing w:before="181" w:line="220" w:lineRule="auto"/>
            <w:ind w:left="23"/>
            <w:rPr>
              <w:rFonts w:ascii="SimSun" w:eastAsia="SimSun" w:hAnsi="SimSun" w:cs="SimSun"/>
              <w:sz w:val="24"/>
              <w:szCs w:val="24"/>
            </w:rPr>
          </w:pPr>
          <w:bookmarkStart w:id="3" w:name="bookmark4"/>
          <w:bookmarkEnd w:id="3"/>
          <w:hyperlink w:anchor="bookmark4" w:history="1"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2</w:t>
            </w:r>
            <w:r>
              <w:rPr>
                <w:rFonts w:ascii="SimSun" w:eastAsia="SimSun" w:hAnsi="SimSun" w:cs="SimSun"/>
                <w:spacing w:val="13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8"/>
                <w:sz w:val="24"/>
                <w:szCs w:val="24"/>
              </w:rPr>
              <w:t>引用文件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257"/>
            </w:tabs>
            <w:spacing w:before="182" w:line="220" w:lineRule="auto"/>
            <w:ind w:left="25"/>
            <w:rPr>
              <w:rFonts w:ascii="SimSun" w:eastAsia="SimSun" w:hAnsi="SimSun" w:cs="SimSun"/>
              <w:sz w:val="24"/>
              <w:szCs w:val="24"/>
            </w:rPr>
          </w:pPr>
          <w:bookmarkStart w:id="4" w:name="bookmark5"/>
          <w:bookmarkEnd w:id="4"/>
          <w:hyperlink w:anchor="bookmark5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3  术语和计量单位</w:t>
            </w:r>
            <w:r>
              <w:rPr>
                <w:rFonts w:ascii="SimSun" w:eastAsia="SimSun" w:hAnsi="SimSun" w:cs="SimSun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28"/>
                <w:sz w:val="24"/>
                <w:szCs w:val="24"/>
              </w:rPr>
              <w:t>1</w:t>
            </w:r>
          </w:hyperlink>
        </w:p>
        <w:p>
          <w:pPr>
            <w:tabs>
              <w:tab w:val="right" w:leader="dot" w:pos="9257"/>
            </w:tabs>
            <w:spacing w:before="182" w:line="220" w:lineRule="auto"/>
            <w:ind w:left="20"/>
            <w:rPr>
              <w:rFonts w:ascii="SimSun" w:eastAsia="SimSun" w:hAnsi="SimSun" w:cs="SimSun"/>
              <w:sz w:val="24"/>
              <w:szCs w:val="24"/>
            </w:rPr>
          </w:pPr>
          <w:bookmarkStart w:id="5" w:name="bookmark6"/>
          <w:bookmarkEnd w:id="5"/>
          <w:hyperlink w:anchor="bookmark6" w:history="1"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4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6"/>
                <w:sz w:val="24"/>
                <w:szCs w:val="24"/>
              </w:rPr>
              <w:t>概述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3"/>
                <w:sz w:val="24"/>
                <w:szCs w:val="24"/>
              </w:rPr>
              <w:t>2</w:t>
            </w:r>
          </w:hyperlink>
        </w:p>
        <w:p>
          <w:pPr>
            <w:tabs>
              <w:tab w:val="right" w:leader="dot" w:pos="9257"/>
            </w:tabs>
            <w:spacing w:before="182" w:line="220" w:lineRule="auto"/>
            <w:ind w:left="25"/>
            <w:rPr>
              <w:rFonts w:ascii="SimSun" w:eastAsia="SimSun" w:hAnsi="SimSun" w:cs="SimSun"/>
              <w:sz w:val="24"/>
              <w:szCs w:val="24"/>
            </w:rPr>
          </w:pPr>
          <w:bookmarkStart w:id="6" w:name="bookmark7"/>
          <w:bookmarkEnd w:id="6"/>
          <w:hyperlink w:anchor="bookmark7" w:history="1"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5</w:t>
            </w:r>
            <w:r>
              <w:rPr>
                <w:rFonts w:ascii="SimSun" w:eastAsia="SimSun" w:hAnsi="SimSun" w:cs="SimSun"/>
                <w:spacing w:val="4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计量特性</w:t>
            </w:r>
            <w:r>
              <w:rPr>
                <w:rFonts w:ascii="SimSun" w:eastAsia="SimSun" w:hAnsi="SimSun" w:cs="SimSun"/>
                <w:spacing w:val="-4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9257"/>
            </w:tabs>
            <w:spacing w:before="182" w:line="220" w:lineRule="auto"/>
            <w:ind w:left="22"/>
            <w:rPr>
              <w:rFonts w:ascii="SimSun" w:eastAsia="SimSun" w:hAnsi="SimSun" w:cs="SimSun"/>
              <w:sz w:val="24"/>
              <w:szCs w:val="24"/>
            </w:rPr>
          </w:pPr>
          <w:bookmarkStart w:id="7" w:name="bookmark8"/>
          <w:bookmarkEnd w:id="7"/>
          <w:hyperlink w:anchor="bookmark8" w:history="1"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6</w:t>
            </w:r>
            <w:r>
              <w:rPr>
                <w:rFonts w:ascii="SimSun" w:eastAsia="SimSun" w:hAnsi="SimSun" w:cs="SimSun"/>
                <w:spacing w:val="6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5"/>
                <w:sz w:val="24"/>
                <w:szCs w:val="24"/>
              </w:rPr>
              <w:t>校准条件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5"/>
                <w:sz w:val="24"/>
                <w:szCs w:val="24"/>
              </w:rPr>
              <w:t>3</w:t>
            </w:r>
          </w:hyperlink>
        </w:p>
        <w:p>
          <w:pPr>
            <w:tabs>
              <w:tab w:val="right" w:leader="dot" w:pos="9257"/>
            </w:tabs>
            <w:spacing w:before="181" w:line="221" w:lineRule="auto"/>
            <w:ind w:left="26"/>
            <w:rPr>
              <w:rFonts w:ascii="SimSun" w:eastAsia="SimSun" w:hAnsi="SimSun" w:cs="SimSun"/>
              <w:sz w:val="24"/>
              <w:szCs w:val="24"/>
            </w:rPr>
          </w:pPr>
          <w:hyperlink w:anchor="bookmark1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7  校准项目和校准方法</w:t>
            </w:r>
            <w:r>
              <w:rPr>
                <w:rFonts w:ascii="SimSun" w:eastAsia="SimSun" w:hAnsi="SimSun" w:cs="SimSun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>4</w:t>
            </w:r>
          </w:hyperlink>
        </w:p>
        <w:p>
          <w:pPr>
            <w:tabs>
              <w:tab w:val="right" w:leader="dot" w:pos="9257"/>
            </w:tabs>
            <w:spacing w:before="181" w:line="221" w:lineRule="auto"/>
            <w:ind w:left="22"/>
            <w:rPr>
              <w:rFonts w:ascii="SimSun" w:eastAsia="SimSun" w:hAnsi="SimSun" w:cs="SimSun"/>
              <w:sz w:val="24"/>
              <w:szCs w:val="24"/>
            </w:rPr>
          </w:pPr>
          <w:bookmarkStart w:id="8" w:name="bookmark9"/>
          <w:bookmarkEnd w:id="8"/>
          <w:hyperlink w:anchor="bookmark9" w:history="1">
            <w:r>
              <w:rPr>
                <w:rFonts w:ascii="SimSun" w:eastAsia="SimSun" w:hAnsi="SimSun" w:cs="SimSun"/>
                <w:spacing w:val="-2"/>
                <w:sz w:val="24"/>
                <w:szCs w:val="24"/>
              </w:rPr>
              <w:t>8  校准结果的表达</w:t>
            </w:r>
            <w:r>
              <w:rPr>
                <w:rFonts w:ascii="SimSun" w:eastAsia="SimSun" w:hAnsi="SimSun" w:cs="SimSun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</w:rPr>
              <w:t>7</w:t>
            </w:r>
          </w:hyperlink>
        </w:p>
        <w:p>
          <w:pPr>
            <w:tabs>
              <w:tab w:val="right" w:leader="dot" w:pos="9257"/>
            </w:tabs>
            <w:spacing w:before="181" w:line="221" w:lineRule="auto"/>
            <w:ind w:left="22"/>
            <w:rPr>
              <w:rFonts w:ascii="SimSun" w:eastAsia="SimSun" w:hAnsi="SimSun" w:cs="SimSun"/>
              <w:sz w:val="24"/>
              <w:szCs w:val="24"/>
            </w:rPr>
          </w:pPr>
          <w:bookmarkStart w:id="9" w:name="bookmark10"/>
          <w:bookmarkEnd w:id="9"/>
          <w:hyperlink w:anchor="bookmark10" w:history="1"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9</w:t>
            </w:r>
            <w:r>
              <w:rPr>
                <w:rFonts w:ascii="SimSun" w:eastAsia="SimSun" w:hAnsi="SimSun" w:cs="SimSun"/>
                <w:spacing w:val="8"/>
                <w:sz w:val="24"/>
                <w:szCs w:val="24"/>
              </w:rPr>
              <w:t xml:space="preserve">  </w:t>
            </w:r>
            <w:r>
              <w:rPr>
                <w:rFonts w:ascii="SimSun" w:eastAsia="SimSun" w:hAnsi="SimSun" w:cs="SimSun"/>
                <w:spacing w:val="-4"/>
                <w:sz w:val="24"/>
                <w:szCs w:val="24"/>
              </w:rPr>
              <w:t>复校时间间隔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6"/>
                <w:sz w:val="24"/>
                <w:szCs w:val="24"/>
              </w:rPr>
              <w:t>7</w:t>
            </w:r>
          </w:hyperlink>
        </w:p>
        <w:p>
          <w:pPr>
            <w:tabs>
              <w:tab w:val="right" w:leader="dot" w:pos="9257"/>
            </w:tabs>
            <w:spacing w:before="181" w:line="219" w:lineRule="auto"/>
            <w:ind w:left="39"/>
            <w:rPr>
              <w:rFonts w:ascii="SimSun" w:eastAsia="SimSun" w:hAnsi="SimSun" w:cs="SimSun"/>
              <w:sz w:val="24"/>
              <w:szCs w:val="24"/>
            </w:rPr>
          </w:pPr>
          <w:bookmarkStart w:id="10" w:name="bookmark11"/>
          <w:bookmarkEnd w:id="10"/>
          <w:hyperlink w:anchor="bookmark11" w:history="1">
            <w:r>
              <w:rPr>
                <w:rFonts w:ascii="SimSun" w:eastAsia="SimSun" w:hAnsi="SimSun" w:cs="SimSun"/>
                <w:spacing w:val="-10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0"/>
                <w:sz w:val="24"/>
                <w:szCs w:val="24"/>
              </w:rPr>
              <w:t>A</w:t>
            </w:r>
            <w:r>
              <w:rPr>
                <w:rFonts w:ascii="SimSun" w:eastAsia="SimSun" w:hAnsi="SimSun" w:cs="SimSun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7"/>
                <w:sz w:val="24"/>
                <w:szCs w:val="24"/>
              </w:rPr>
              <w:t>8</w:t>
            </w:r>
          </w:hyperlink>
        </w:p>
        <w:p>
          <w:pPr>
            <w:tabs>
              <w:tab w:val="right" w:leader="dot" w:pos="9257"/>
            </w:tabs>
            <w:spacing w:before="183" w:line="219" w:lineRule="auto"/>
            <w:ind w:left="39"/>
            <w:rPr>
              <w:rFonts w:ascii="SimSun" w:eastAsia="SimSun" w:hAnsi="SimSun" w:cs="SimSun"/>
              <w:sz w:val="24"/>
              <w:szCs w:val="24"/>
            </w:rPr>
          </w:pPr>
          <w:bookmarkStart w:id="11" w:name="bookmark12"/>
          <w:bookmarkEnd w:id="11"/>
          <w:hyperlink w:anchor="bookmark12" w:history="1">
            <w:r>
              <w:rPr>
                <w:rFonts w:ascii="SimSun" w:eastAsia="SimSun" w:hAnsi="SimSun" w:cs="SimSun"/>
                <w:spacing w:val="-11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57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4"/>
                <w:szCs w:val="24"/>
              </w:rPr>
              <w:t>B</w:t>
            </w:r>
            <w:r>
              <w:rPr>
                <w:rFonts w:ascii="SimSun" w:eastAsia="SimSun" w:hAnsi="SimSun" w:cs="SimSun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7"/>
                <w:sz w:val="24"/>
                <w:szCs w:val="24"/>
              </w:rPr>
              <w:t>9</w:t>
            </w:r>
          </w:hyperlink>
        </w:p>
        <w:p>
          <w:pPr>
            <w:tabs>
              <w:tab w:val="right" w:leader="dot" w:pos="9257"/>
            </w:tabs>
            <w:spacing w:before="184" w:line="219" w:lineRule="auto"/>
            <w:ind w:left="39"/>
            <w:rPr>
              <w:rFonts w:ascii="SimSun" w:eastAsia="SimSun" w:hAnsi="SimSun" w:cs="SimSun"/>
              <w:sz w:val="24"/>
              <w:szCs w:val="24"/>
            </w:rPr>
          </w:pPr>
          <w:bookmarkStart w:id="12" w:name="bookmark13"/>
          <w:bookmarkEnd w:id="12"/>
          <w:hyperlink w:anchor="bookmark13" w:history="1"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53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2"/>
                <w:sz w:val="24"/>
                <w:szCs w:val="24"/>
              </w:rPr>
              <w:t>C</w:t>
            </w:r>
            <w:r>
              <w:rPr>
                <w:rFonts w:ascii="SimSun" w:eastAsia="SimSun" w:hAnsi="SimSun" w:cs="SimSun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>10</w:t>
            </w:r>
          </w:hyperlink>
        </w:p>
        <w:p>
          <w:pPr>
            <w:tabs>
              <w:tab w:val="right" w:leader="dot" w:pos="9257"/>
            </w:tabs>
            <w:spacing w:before="183" w:line="219" w:lineRule="auto"/>
            <w:ind w:left="39"/>
            <w:rPr>
              <w:rFonts w:ascii="SimSun" w:eastAsia="SimSun" w:hAnsi="SimSun" w:cs="SimSun"/>
              <w:sz w:val="24"/>
              <w:szCs w:val="24"/>
            </w:rPr>
          </w:pPr>
          <w:bookmarkStart w:id="13" w:name="bookmark14"/>
          <w:bookmarkEnd w:id="13"/>
          <w:hyperlink w:anchor="bookmark14" w:history="1">
            <w:r>
              <w:rPr>
                <w:rFonts w:ascii="SimSun" w:eastAsia="SimSun" w:hAnsi="SimSun" w:cs="SimSun"/>
                <w:spacing w:val="-11"/>
                <w:sz w:val="24"/>
                <w:szCs w:val="24"/>
              </w:rPr>
              <w:t>附录</w:t>
            </w:r>
            <w:r>
              <w:rPr>
                <w:rFonts w:ascii="SimSun" w:eastAsia="SimSun" w:hAnsi="SimSun" w:cs="SimSun"/>
                <w:spacing w:val="-56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1"/>
                <w:sz w:val="24"/>
                <w:szCs w:val="24"/>
              </w:rPr>
              <w:t>D</w:t>
            </w:r>
            <w:r>
              <w:rPr>
                <w:rFonts w:ascii="SimSun" w:eastAsia="SimSun" w:hAnsi="SimSun" w:cs="SimSun"/>
                <w:spacing w:val="-4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z w:val="24"/>
                <w:szCs w:val="24"/>
              </w:rPr>
              <w:tab/>
            </w:r>
            <w:r>
              <w:rPr>
                <w:rFonts w:ascii="SimSun" w:eastAsia="SimSun" w:hAnsi="SimSun" w:cs="SimSun"/>
                <w:spacing w:val="-85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spacing w:val="-14"/>
                <w:sz w:val="24"/>
                <w:szCs w:val="24"/>
              </w:rPr>
              <w:t>13</w:t>
            </w:r>
          </w:hyperlink>
        </w:p>
      </w:sdtContent>
    </w:sdt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2"/>
          <w:footerReference w:type="default" r:id="rId13"/>
          <w:pgSz w:w="11906" w:h="16839"/>
          <w:pgMar w:top="1174" w:right="850" w:bottom="1408" w:left="1785" w:header="865" w:footer="1224" w:gutter="0"/>
          <w:pgNumType w:start="6"/>
          <w:cols w:space="708"/>
        </w:sectPr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140" w:line="227" w:lineRule="auto"/>
        <w:ind w:left="4033"/>
        <w:outlineLvl w:val="0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-23"/>
          <w:sz w:val="43"/>
          <w:szCs w:val="43"/>
        </w:rPr>
        <w:t>引</w:t>
      </w:r>
      <w:r>
        <w:rPr>
          <w:rFonts w:ascii="SimHei" w:eastAsia="SimHei" w:hAnsi="SimHei" w:cs="SimHei"/>
          <w:spacing w:val="23"/>
          <w:sz w:val="43"/>
          <w:szCs w:val="43"/>
        </w:rPr>
        <w:t xml:space="preserve">  </w:t>
      </w:r>
      <w:r>
        <w:rPr>
          <w:rFonts w:ascii="SimHei" w:eastAsia="SimHei" w:hAnsi="SimHei" w:cs="SimHei"/>
          <w:spacing w:val="-23"/>
          <w:sz w:val="43"/>
          <w:szCs w:val="43"/>
        </w:rPr>
        <w:t>言</w:t>
      </w:r>
    </w:p>
    <w:p>
      <w:pPr>
        <w:spacing w:before="115" w:line="352" w:lineRule="auto"/>
        <w:ind w:left="26" w:right="192" w:firstLine="538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JJF 1071-2010《国家计量校准规范编写规则》、JJF 1001-2011《通用计量术语及</w:t>
      </w:r>
      <w:r>
        <w:rPr>
          <w:rFonts w:ascii="SimSun" w:eastAsia="SimSun" w:hAnsi="SimSun" w:cs="SimSu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定义》和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JJF 1059.1-2012《</w:t>
      </w:r>
      <w:r>
        <w:rPr>
          <w:rFonts w:ascii="SimSun" w:eastAsia="SimSun" w:hAnsi="SimSun" w:cs="SimSun"/>
          <w:spacing w:val="-1"/>
          <w:sz w:val="24"/>
          <w:szCs w:val="24"/>
        </w:rPr>
        <w:t>测量不确定度评定与表示》共同构成支持本规范制定工作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的基础性系列规范。</w:t>
      </w:r>
    </w:p>
    <w:p>
      <w:pPr>
        <w:spacing w:before="33" w:line="346" w:lineRule="auto"/>
        <w:ind w:left="20" w:right="132" w:firstLine="546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本规范参考了</w:t>
      </w:r>
      <w:r>
        <w:rPr>
          <w:rFonts w:ascii="SimSun" w:eastAsia="SimSun" w:hAnsi="SimSun" w:cs="SimSun"/>
          <w:sz w:val="24"/>
          <w:szCs w:val="24"/>
        </w:rPr>
        <w:t>GB</w:t>
      </w:r>
      <w:r>
        <w:rPr>
          <w:rFonts w:ascii="SimSun" w:eastAsia="SimSun" w:hAnsi="SimSun" w:cs="SimSun"/>
          <w:spacing w:val="1"/>
          <w:sz w:val="24"/>
          <w:szCs w:val="24"/>
        </w:rPr>
        <w:t>/T 31138-2022《加氢机》的部分内容，参照了目前国内常用加氢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</w:t>
      </w:r>
      <w:r>
        <w:rPr>
          <w:rFonts w:ascii="SimSun" w:eastAsia="SimSun" w:hAnsi="SimSun" w:cs="SimSun"/>
          <w:sz w:val="24"/>
          <w:szCs w:val="24"/>
        </w:rPr>
        <w:t>机生产厂家的性能参数及检测方法，并结合国内实</w:t>
      </w:r>
      <w:r>
        <w:rPr>
          <w:rFonts w:ascii="SimSun" w:eastAsia="SimSun" w:hAnsi="SimSun" w:cs="SimSun"/>
          <w:spacing w:val="-1"/>
          <w:sz w:val="24"/>
          <w:szCs w:val="24"/>
        </w:rPr>
        <w:t>际使用情况进行制定。</w:t>
      </w:r>
    </w:p>
    <w:p>
      <w:pPr>
        <w:spacing w:before="36" w:line="219" w:lineRule="auto"/>
        <w:ind w:left="50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本规范为首次发布。</w:t>
      </w:r>
    </w:p>
    <w:p>
      <w:pPr>
        <w:spacing w:line="219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4"/>
          <w:footerReference w:type="default" r:id="rId15"/>
          <w:pgSz w:w="11906" w:h="16839"/>
          <w:pgMar w:top="1174" w:right="850" w:bottom="1408" w:left="1785" w:header="865" w:footer="1224" w:gutter="0"/>
          <w:pgNumType w:start="7"/>
          <w:cols w:space="708"/>
        </w:sectPr>
      </w:pPr>
    </w:p>
    <w:p>
      <w:pPr>
        <w:pStyle w:val="BodyText"/>
        <w:spacing w:line="316" w:lineRule="auto"/>
      </w:pPr>
    </w:p>
    <w:p>
      <w:pPr>
        <w:spacing w:before="101" w:line="228" w:lineRule="auto"/>
        <w:ind w:left="3008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7"/>
          <w:sz w:val="31"/>
          <w:szCs w:val="31"/>
        </w:rPr>
        <w:t>加氢机校准规范</w:t>
      </w:r>
    </w:p>
    <w:p>
      <w:pPr>
        <w:pStyle w:val="BodyText"/>
        <w:spacing w:line="277" w:lineRule="auto"/>
      </w:pPr>
    </w:p>
    <w:p>
      <w:pPr>
        <w:spacing w:before="78" w:line="223" w:lineRule="auto"/>
        <w:ind w:left="42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4"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14"/>
          <w:sz w:val="24"/>
          <w:szCs w:val="24"/>
        </w:rPr>
        <w:t>范围</w:t>
      </w:r>
    </w:p>
    <w:p>
      <w:pPr>
        <w:spacing w:before="178" w:line="219" w:lineRule="auto"/>
        <w:ind w:left="50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本规范适用于公称工作压力为</w:t>
      </w:r>
      <w:r>
        <w:rPr>
          <w:rFonts w:ascii="SimSun" w:eastAsia="SimSun" w:hAnsi="SimSun" w:cs="SimSun"/>
          <w:spacing w:val="-3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35MPa/70MPa</w:t>
      </w:r>
      <w:r>
        <w:rPr>
          <w:rFonts w:ascii="SimSun" w:eastAsia="SimSun" w:hAnsi="SimSun" w:cs="SimSun"/>
          <w:spacing w:val="-3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的加氢机的校准。</w:t>
      </w:r>
    </w:p>
    <w:p>
      <w:pPr>
        <w:spacing w:before="97"/>
      </w:pPr>
    </w:p>
    <w:tbl>
      <w:tblPr>
        <w:tblStyle w:val="TableNormal0"/>
        <w:tblW w:w="6114" w:type="dxa"/>
        <w:tblInd w:w="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039"/>
        <w:gridCol w:w="4075"/>
      </w:tblGrid>
      <w:tr>
        <w:tblPrEx>
          <w:tblW w:w="6114" w:type="dxa"/>
          <w:tblInd w:w="1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16"/>
        </w:trPr>
        <w:tc>
          <w:tcPr>
            <w:tcW w:w="2039" w:type="dxa"/>
            <w:vAlign w:val="top"/>
          </w:tcPr>
          <w:p>
            <w:pPr>
              <w:spacing w:line="221" w:lineRule="auto"/>
              <w:outlineLvl w:val="0"/>
              <w:rPr>
                <w:rFonts w:ascii="SimHei" w:eastAsia="SimHei" w:hAnsi="SimHei" w:cs="SimHei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pacing w:val="8"/>
                <w:sz w:val="24"/>
                <w:szCs w:val="24"/>
              </w:rPr>
              <w:t xml:space="preserve">    </w:t>
            </w:r>
            <w:r>
              <w:rPr>
                <w:rFonts w:ascii="SimHei" w:eastAsia="SimHei" w:hAnsi="SimHei" w:cs="SimHei"/>
                <w:spacing w:val="-8"/>
                <w:sz w:val="24"/>
                <w:szCs w:val="24"/>
              </w:rPr>
              <w:t>引用文件</w:t>
            </w:r>
          </w:p>
        </w:tc>
        <w:tc>
          <w:tcPr>
            <w:tcW w:w="407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114" w:type="dxa"/>
          <w:tblInd w:w="19" w:type="dxa"/>
          <w:tblLayout w:type="fixed"/>
        </w:tblPrEx>
        <w:trPr>
          <w:trHeight w:val="427"/>
        </w:trPr>
        <w:tc>
          <w:tcPr>
            <w:tcW w:w="2039" w:type="dxa"/>
            <w:vAlign w:val="top"/>
          </w:tcPr>
          <w:p>
            <w:pPr>
              <w:pStyle w:val="TableText"/>
              <w:spacing w:before="72" w:line="225" w:lineRule="auto"/>
              <w:ind w:left="481"/>
            </w:pPr>
            <w:r>
              <w:rPr>
                <w:spacing w:val="-3"/>
              </w:rPr>
              <w:t>GB/T</w:t>
            </w:r>
            <w:r>
              <w:rPr>
                <w:spacing w:val="16"/>
              </w:rPr>
              <w:t xml:space="preserve"> </w:t>
            </w:r>
            <w:r>
              <w:rPr>
                <w:spacing w:val="-3"/>
              </w:rPr>
              <w:t>8979</w:t>
            </w:r>
          </w:p>
        </w:tc>
        <w:tc>
          <w:tcPr>
            <w:tcW w:w="4075" w:type="dxa"/>
            <w:vAlign w:val="top"/>
          </w:tcPr>
          <w:p>
            <w:pPr>
              <w:pStyle w:val="TableText"/>
              <w:spacing w:before="73" w:line="219" w:lineRule="auto"/>
              <w:ind w:left="128"/>
            </w:pPr>
            <w:r>
              <w:rPr>
                <w:spacing w:val="-2"/>
              </w:rPr>
              <w:t>纯氮 高纯氮和超纯氮</w:t>
            </w:r>
          </w:p>
        </w:tc>
      </w:tr>
      <w:tr>
        <w:tblPrEx>
          <w:tblW w:w="6114" w:type="dxa"/>
          <w:tblInd w:w="19" w:type="dxa"/>
          <w:tblLayout w:type="fixed"/>
        </w:tblPrEx>
        <w:trPr>
          <w:trHeight w:val="467"/>
        </w:trPr>
        <w:tc>
          <w:tcPr>
            <w:tcW w:w="2039" w:type="dxa"/>
            <w:vAlign w:val="top"/>
          </w:tcPr>
          <w:p>
            <w:pPr>
              <w:pStyle w:val="TableText"/>
              <w:spacing w:before="113" w:line="225" w:lineRule="auto"/>
              <w:ind w:left="481"/>
            </w:pPr>
            <w:r>
              <w:rPr>
                <w:spacing w:val="-3"/>
              </w:rPr>
              <w:t>GB/T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24499</w:t>
            </w:r>
          </w:p>
        </w:tc>
        <w:tc>
          <w:tcPr>
            <w:tcW w:w="4075" w:type="dxa"/>
            <w:vAlign w:val="top"/>
          </w:tcPr>
          <w:p>
            <w:pPr>
              <w:pStyle w:val="TableText"/>
              <w:spacing w:before="113" w:line="220" w:lineRule="auto"/>
              <w:ind w:left="125"/>
            </w:pPr>
            <w:r>
              <w:rPr>
                <w:spacing w:val="-1"/>
              </w:rPr>
              <w:t>氢气、氢能与氢能系统术语</w:t>
            </w:r>
          </w:p>
        </w:tc>
      </w:tr>
      <w:tr>
        <w:tblPrEx>
          <w:tblW w:w="6114" w:type="dxa"/>
          <w:tblInd w:w="19" w:type="dxa"/>
          <w:tblLayout w:type="fixed"/>
        </w:tblPrEx>
        <w:trPr>
          <w:trHeight w:val="467"/>
        </w:trPr>
        <w:tc>
          <w:tcPr>
            <w:tcW w:w="2039" w:type="dxa"/>
            <w:vAlign w:val="top"/>
          </w:tcPr>
          <w:p>
            <w:pPr>
              <w:pStyle w:val="TableText"/>
              <w:spacing w:before="112" w:line="225" w:lineRule="auto"/>
              <w:ind w:left="481"/>
            </w:pPr>
            <w:r>
              <w:rPr>
                <w:spacing w:val="-4"/>
              </w:rPr>
              <w:t>GB/T</w:t>
            </w:r>
            <w:r>
              <w:rPr>
                <w:spacing w:val="36"/>
              </w:rPr>
              <w:t xml:space="preserve"> </w:t>
            </w:r>
            <w:r>
              <w:rPr>
                <w:spacing w:val="-4"/>
              </w:rPr>
              <w:t>13277.1</w:t>
            </w:r>
          </w:p>
        </w:tc>
        <w:tc>
          <w:tcPr>
            <w:tcW w:w="4075" w:type="dxa"/>
            <w:vAlign w:val="top"/>
          </w:tcPr>
          <w:p>
            <w:pPr>
              <w:pStyle w:val="TableText"/>
              <w:spacing w:before="112" w:line="219" w:lineRule="auto"/>
              <w:jc w:val="right"/>
            </w:pPr>
            <w:r>
              <w:rPr>
                <w:spacing w:val="-3"/>
              </w:rPr>
              <w:t>压缩空气 第</w:t>
            </w:r>
            <w:r>
              <w:rPr>
                <w:spacing w:val="-33"/>
              </w:rPr>
              <w:t xml:space="preserve"> </w:t>
            </w:r>
            <w:r>
              <w:rPr>
                <w:spacing w:val="-3"/>
              </w:rPr>
              <w:t>1</w:t>
            </w:r>
            <w:r>
              <w:rPr>
                <w:spacing w:val="-48"/>
              </w:rPr>
              <w:t xml:space="preserve"> </w:t>
            </w:r>
            <w:r>
              <w:rPr>
                <w:spacing w:val="-3"/>
              </w:rPr>
              <w:t>部分：污染物净化等级</w:t>
            </w:r>
          </w:p>
        </w:tc>
      </w:tr>
      <w:tr>
        <w:tblPrEx>
          <w:tblW w:w="6114" w:type="dxa"/>
          <w:tblInd w:w="19" w:type="dxa"/>
          <w:tblLayout w:type="fixed"/>
        </w:tblPrEx>
        <w:trPr>
          <w:trHeight w:val="466"/>
        </w:trPr>
        <w:tc>
          <w:tcPr>
            <w:tcW w:w="2039" w:type="dxa"/>
            <w:vAlign w:val="top"/>
          </w:tcPr>
          <w:p>
            <w:pPr>
              <w:pStyle w:val="TableText"/>
              <w:spacing w:before="113" w:line="225" w:lineRule="auto"/>
              <w:ind w:left="481"/>
            </w:pPr>
            <w:r>
              <w:rPr>
                <w:spacing w:val="-3"/>
              </w:rPr>
              <w:t>GB/T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31130</w:t>
            </w:r>
          </w:p>
        </w:tc>
        <w:tc>
          <w:tcPr>
            <w:tcW w:w="4075" w:type="dxa"/>
            <w:vAlign w:val="top"/>
          </w:tcPr>
          <w:p>
            <w:pPr>
              <w:pStyle w:val="TableText"/>
              <w:spacing w:before="112" w:line="219" w:lineRule="auto"/>
              <w:ind w:left="125"/>
            </w:pPr>
            <w:r>
              <w:rPr>
                <w:spacing w:val="-2"/>
              </w:rPr>
              <w:t>科里奥利质量流量计</w:t>
            </w:r>
          </w:p>
        </w:tc>
      </w:tr>
      <w:tr>
        <w:tblPrEx>
          <w:tblW w:w="6114" w:type="dxa"/>
          <w:tblInd w:w="19" w:type="dxa"/>
          <w:tblLayout w:type="fixed"/>
        </w:tblPrEx>
        <w:trPr>
          <w:trHeight w:val="467"/>
        </w:trPr>
        <w:tc>
          <w:tcPr>
            <w:tcW w:w="2039" w:type="dxa"/>
            <w:vAlign w:val="top"/>
          </w:tcPr>
          <w:p>
            <w:pPr>
              <w:pStyle w:val="TableText"/>
              <w:spacing w:before="113" w:line="225" w:lineRule="auto"/>
              <w:ind w:left="481"/>
            </w:pPr>
            <w:r>
              <w:rPr>
                <w:spacing w:val="-3"/>
              </w:rPr>
              <w:t>GB/T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31138</w:t>
            </w:r>
          </w:p>
        </w:tc>
        <w:tc>
          <w:tcPr>
            <w:tcW w:w="4075" w:type="dxa"/>
            <w:vAlign w:val="top"/>
          </w:tcPr>
          <w:p>
            <w:pPr>
              <w:pStyle w:val="TableText"/>
              <w:spacing w:before="113" w:line="219" w:lineRule="auto"/>
              <w:ind w:left="125"/>
            </w:pPr>
            <w:r>
              <w:rPr>
                <w:spacing w:val="-4"/>
              </w:rPr>
              <w:t>加氢机</w:t>
            </w:r>
          </w:p>
        </w:tc>
      </w:tr>
      <w:tr>
        <w:tblPrEx>
          <w:tblW w:w="6114" w:type="dxa"/>
          <w:tblInd w:w="19" w:type="dxa"/>
          <w:tblLayout w:type="fixed"/>
        </w:tblPrEx>
        <w:trPr>
          <w:trHeight w:val="354"/>
        </w:trPr>
        <w:tc>
          <w:tcPr>
            <w:tcW w:w="2039" w:type="dxa"/>
            <w:vAlign w:val="top"/>
          </w:tcPr>
          <w:p>
            <w:pPr>
              <w:pStyle w:val="TableText"/>
              <w:spacing w:before="113" w:line="177" w:lineRule="auto"/>
              <w:ind w:left="481"/>
            </w:pPr>
            <w:r>
              <w:rPr>
                <w:spacing w:val="-3"/>
              </w:rPr>
              <w:t>GB/T</w:t>
            </w:r>
            <w:r>
              <w:rPr>
                <w:spacing w:val="19"/>
              </w:rPr>
              <w:t xml:space="preserve"> </w:t>
            </w:r>
            <w:r>
              <w:rPr>
                <w:spacing w:val="-3"/>
              </w:rPr>
              <w:t>37244</w:t>
            </w:r>
          </w:p>
        </w:tc>
        <w:tc>
          <w:tcPr>
            <w:tcW w:w="4075" w:type="dxa"/>
            <w:vAlign w:val="top"/>
          </w:tcPr>
          <w:p>
            <w:pPr>
              <w:pStyle w:val="TableText"/>
              <w:spacing w:before="113" w:line="177" w:lineRule="auto"/>
              <w:jc w:val="right"/>
            </w:pPr>
            <w:r>
              <w:rPr>
                <w:spacing w:val="-1"/>
              </w:rPr>
              <w:t>质子交换膜燃料电池汽车用燃料 氢气</w:t>
            </w:r>
          </w:p>
        </w:tc>
      </w:tr>
    </w:tbl>
    <w:p>
      <w:pPr>
        <w:spacing w:before="304" w:line="346" w:lineRule="auto"/>
        <w:ind w:left="41" w:right="160" w:firstLine="471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凡是注日期的引用文件，仅注日期的版本适用</w:t>
      </w:r>
      <w:r>
        <w:rPr>
          <w:rFonts w:ascii="SimSun" w:eastAsia="SimSun" w:hAnsi="SimSun" w:cs="SimSun"/>
          <w:sz w:val="24"/>
          <w:szCs w:val="24"/>
        </w:rPr>
        <w:t xml:space="preserve">于本规范；凡是不注日期的 </w:t>
      </w:r>
      <w:r>
        <w:rPr>
          <w:rFonts w:ascii="SimSun" w:eastAsia="SimSun" w:hAnsi="SimSun" w:cs="SimSun"/>
          <w:spacing w:val="-1"/>
          <w:sz w:val="24"/>
          <w:szCs w:val="24"/>
        </w:rPr>
        <w:t>引用文件，其最新版本（包括所有的修改单）适用于本规</w:t>
      </w:r>
      <w:r>
        <w:rPr>
          <w:rFonts w:ascii="SimSun" w:eastAsia="SimSun" w:hAnsi="SimSun" w:cs="SimSun"/>
          <w:spacing w:val="-2"/>
          <w:sz w:val="24"/>
          <w:szCs w:val="24"/>
        </w:rPr>
        <w:t>范。</w:t>
      </w:r>
    </w:p>
    <w:p>
      <w:pPr>
        <w:spacing w:before="192" w:line="222" w:lineRule="auto"/>
        <w:ind w:left="23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3    </w:t>
      </w:r>
      <w:r>
        <w:rPr>
          <w:rFonts w:ascii="SimHei" w:eastAsia="SimHei" w:hAnsi="SimHei" w:cs="SimHei"/>
          <w:spacing w:val="-1"/>
          <w:sz w:val="24"/>
          <w:szCs w:val="24"/>
        </w:rPr>
        <w:t>术语和计量单位</w:t>
      </w:r>
    </w:p>
    <w:p>
      <w:pPr>
        <w:spacing w:before="180" w:line="220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6"/>
          <w:sz w:val="24"/>
          <w:szCs w:val="24"/>
        </w:rPr>
        <w:t>3.1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6"/>
          <w:sz w:val="24"/>
          <w:szCs w:val="24"/>
        </w:rPr>
        <w:t>术语</w:t>
      </w:r>
    </w:p>
    <w:p>
      <w:pPr>
        <w:spacing w:before="181" w:line="219" w:lineRule="auto"/>
        <w:ind w:left="50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JJF 1001、JJF 1004</w:t>
      </w:r>
      <w:r>
        <w:rPr>
          <w:rFonts w:ascii="SimSun" w:eastAsia="SimSun" w:hAnsi="SimSun" w:cs="SimSun"/>
          <w:spacing w:val="-3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界定的及以下术语和定义适用于本规范。</w:t>
      </w:r>
    </w:p>
    <w:p>
      <w:pPr>
        <w:spacing w:before="105" w:line="214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3.1.1  加氢机 hydrogen dis</w:t>
      </w:r>
      <w:r>
        <w:rPr>
          <w:rFonts w:ascii="SimSun" w:eastAsia="SimSun" w:hAnsi="SimSun" w:cs="SimSun"/>
          <w:spacing w:val="-2"/>
          <w:sz w:val="24"/>
          <w:szCs w:val="24"/>
        </w:rPr>
        <w:t>pensers</w:t>
      </w:r>
      <w:r>
        <w:rPr>
          <w:rFonts w:ascii="SimSun" w:eastAsia="SimSun" w:hAnsi="SimSun" w:cs="SimSun"/>
          <w:spacing w:val="4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[3.1 GB/T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31138-2022]</w:t>
      </w:r>
    </w:p>
    <w:p>
      <w:pPr>
        <w:spacing w:before="267" w:line="321" w:lineRule="auto"/>
        <w:ind w:left="28" w:firstLine="47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为氢能汽车、氢能船舶、氢能有轨电车、氢能飞行器、氢能工</w:t>
      </w:r>
      <w:r>
        <w:rPr>
          <w:rFonts w:ascii="SimSun" w:eastAsia="SimSun" w:hAnsi="SimSun" w:cs="SimSun"/>
          <w:sz w:val="24"/>
          <w:szCs w:val="24"/>
        </w:rPr>
        <w:t xml:space="preserve">程车辆、氢  </w:t>
      </w:r>
      <w:r>
        <w:rPr>
          <w:rFonts w:ascii="SimSun" w:eastAsia="SimSun" w:hAnsi="SimSun" w:cs="SimSun"/>
          <w:spacing w:val="-2"/>
          <w:sz w:val="24"/>
          <w:szCs w:val="24"/>
        </w:rPr>
        <w:t>能发电装置等提供氢气充装服务，并带有控制、计量和计价等功能的专用设备。</w:t>
      </w:r>
      <w:r>
        <w:rPr>
          <w:rFonts w:ascii="SimSun" w:eastAsia="SimSun" w:hAnsi="SimSun" w:cs="SimSun"/>
          <w:spacing w:val="1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3.1.2  加氢枪 nozzle</w:t>
      </w:r>
      <w:r>
        <w:rPr>
          <w:rFonts w:ascii="SimSun" w:eastAsia="SimSun" w:hAnsi="SimSun" w:cs="SimSun"/>
          <w:spacing w:val="4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[3.3 GB/T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31138-20</w:t>
      </w:r>
      <w:r>
        <w:rPr>
          <w:rFonts w:ascii="SimSun" w:eastAsia="SimSun" w:hAnsi="SimSun" w:cs="SimSun"/>
          <w:spacing w:val="-3"/>
          <w:sz w:val="24"/>
          <w:szCs w:val="24"/>
        </w:rPr>
        <w:t>22]</w:t>
      </w:r>
    </w:p>
    <w:p>
      <w:pPr>
        <w:spacing w:before="75" w:line="342" w:lineRule="auto"/>
        <w:ind w:left="28" w:right="479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安装在加氢机加氢软管末端，用于连接车载储氢系统加注接口的部件。</w:t>
      </w:r>
      <w:r>
        <w:rPr>
          <w:rFonts w:ascii="SimSun" w:eastAsia="SimSun" w:hAnsi="SimSun" w:cs="SimSun"/>
          <w:spacing w:val="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3.1.3  加氢口 receptacle</w:t>
      </w:r>
      <w:r>
        <w:rPr>
          <w:rFonts w:ascii="SimSun" w:eastAsia="SimSun" w:hAnsi="SimSun" w:cs="SimSun"/>
          <w:spacing w:val="5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[3.4 GB/T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31138-2022]</w:t>
      </w:r>
    </w:p>
    <w:p>
      <w:pPr>
        <w:spacing w:before="42" w:line="220" w:lineRule="auto"/>
        <w:ind w:left="50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车辆上与加氢枪相连接的部件总成。</w:t>
      </w:r>
    </w:p>
    <w:p>
      <w:pPr>
        <w:spacing w:before="177" w:line="229" w:lineRule="auto"/>
        <w:ind w:left="44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注：通常也称受气口。</w:t>
      </w:r>
    </w:p>
    <w:p>
      <w:pPr>
        <w:spacing w:before="165" w:line="349" w:lineRule="auto"/>
        <w:ind w:left="26" w:right="54" w:firstLine="1"/>
        <w:rPr>
          <w:rFonts w:ascii="SimSun" w:eastAsia="SimSun" w:hAnsi="SimSun" w:cs="SimSun"/>
          <w:sz w:val="24"/>
          <w:szCs w:val="24"/>
        </w:rPr>
        <w:sectPr>
          <w:headerReference w:type="default" r:id="rId16"/>
          <w:footerReference w:type="default" r:id="rId17"/>
          <w:pgSz w:w="11906" w:h="16839"/>
          <w:pgMar w:top="1174" w:right="1744" w:bottom="645" w:left="1785" w:header="865" w:footer="459" w:gutter="0"/>
          <w:pgNumType w:start="8"/>
          <w:cols w:space="708"/>
        </w:sectPr>
      </w:pPr>
      <w:r>
        <w:rPr>
          <w:rFonts w:ascii="SimSun" w:eastAsia="SimSun" w:hAnsi="SimSun" w:cs="SimSun"/>
          <w:spacing w:val="-1"/>
          <w:sz w:val="24"/>
          <w:szCs w:val="24"/>
        </w:rPr>
        <w:t>3.1.4  车载储氢系统</w:t>
      </w:r>
      <w:r>
        <w:rPr>
          <w:rFonts w:ascii="SimSun" w:eastAsia="SimSun" w:hAnsi="SimSun" w:cs="SimSun"/>
          <w:spacing w:val="3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onboard hydrogen</w:t>
      </w:r>
      <w:r>
        <w:rPr>
          <w:rFonts w:ascii="SimSun" w:eastAsia="SimSun" w:hAnsi="SimSun" w:cs="SimSun"/>
          <w:spacing w:val="3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storage</w:t>
      </w:r>
      <w:r>
        <w:rPr>
          <w:rFonts w:ascii="SimSun" w:eastAsia="SimSun" w:hAnsi="SimSun" w:cs="SimSun"/>
          <w:spacing w:val="2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system</w:t>
      </w:r>
      <w:r>
        <w:rPr>
          <w:rFonts w:ascii="SimSun" w:eastAsia="SimSun" w:hAnsi="SimSun" w:cs="SimSun"/>
          <w:spacing w:val="5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[3.2</w:t>
      </w:r>
      <w:r>
        <w:rPr>
          <w:rFonts w:ascii="SimSun" w:eastAsia="SimSun" w:hAnsi="SimSun" w:cs="SimSun"/>
          <w:spacing w:val="1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GB/T</w:t>
      </w:r>
      <w:r>
        <w:rPr>
          <w:rFonts w:ascii="SimSun" w:eastAsia="SimSun" w:hAnsi="SimSun" w:cs="SimSun"/>
          <w:spacing w:val="2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31138-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2022</w:t>
      </w:r>
      <w:r>
        <w:rPr>
          <w:rFonts w:ascii="SimSun" w:eastAsia="SimSun" w:hAnsi="SimSun" w:cs="SimSu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]</w:t>
      </w:r>
    </w:p>
    <w:p>
      <w:pPr>
        <w:spacing w:before="25" w:line="347" w:lineRule="auto"/>
        <w:ind w:left="22" w:right="54" w:firstLine="48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4"/>
          <w:sz w:val="24"/>
          <w:szCs w:val="24"/>
        </w:rPr>
        <w:t>从氢气加注口至压力调节器进口，与高压氢气加注、储存、输送、供给和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控制有关的装置。</w:t>
      </w:r>
    </w:p>
    <w:p>
      <w:pPr>
        <w:spacing w:before="32" w:line="216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3.1.5  拉断阀 breakaway device</w:t>
      </w:r>
      <w:r>
        <w:rPr>
          <w:rFonts w:ascii="SimSun" w:eastAsia="SimSun" w:hAnsi="SimSun" w:cs="SimSun"/>
          <w:spacing w:val="6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[3.5 GB/T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31138-2022]</w:t>
      </w:r>
    </w:p>
    <w:p>
      <w:pPr>
        <w:spacing w:line="216" w:lineRule="auto"/>
        <w:rPr>
          <w:rFonts w:ascii="SimSun" w:eastAsia="SimSun" w:hAnsi="SimSun" w:cs="SimSun"/>
          <w:sz w:val="24"/>
          <w:szCs w:val="24"/>
        </w:rPr>
        <w:sectPr>
          <w:headerReference w:type="default" r:id="rId18"/>
          <w:footerReference w:type="default" r:id="rId19"/>
          <w:type w:val="nextPage"/>
          <w:pgSz w:w="11906" w:h="16839"/>
          <w:pgMar w:top="1174" w:right="1744" w:bottom="645" w:left="1785" w:header="865" w:footer="459" w:gutter="0"/>
          <w:pgNumType w:start="9"/>
          <w:cols w:space="708"/>
          <w:titlePg w:val="0"/>
        </w:sectPr>
      </w:pPr>
    </w:p>
    <w:p>
      <w:pPr>
        <w:pStyle w:val="BodyText"/>
        <w:spacing w:line="298" w:lineRule="auto"/>
      </w:pPr>
    </w:p>
    <w:p>
      <w:pPr>
        <w:spacing w:before="78" w:line="330" w:lineRule="auto"/>
        <w:ind w:left="23" w:right="525" w:firstLine="484"/>
        <w:rPr>
          <w:rFonts w:ascii="SimSun" w:eastAsia="SimSun" w:hAnsi="SimSun" w:cs="SimSun"/>
          <w:sz w:val="24"/>
          <w:szCs w:val="24"/>
        </w:rPr>
      </w:pPr>
      <w:bookmarkStart w:id="14" w:name="bookmark15"/>
      <w:bookmarkEnd w:id="14"/>
      <w:r>
        <w:rPr>
          <w:rFonts w:ascii="SimSun" w:eastAsia="SimSun" w:hAnsi="SimSun" w:cs="SimSun"/>
          <w:spacing w:val="1"/>
          <w:sz w:val="24"/>
          <w:szCs w:val="24"/>
        </w:rPr>
        <w:t>安装在加氢软管上的装置，当加氢过程出现超过张拉极限</w:t>
      </w:r>
      <w:r>
        <w:rPr>
          <w:rFonts w:ascii="SimSun" w:eastAsia="SimSun" w:hAnsi="SimSun" w:cs="SimSun"/>
          <w:sz w:val="24"/>
          <w:szCs w:val="24"/>
        </w:rPr>
        <w:t xml:space="preserve">的情况时，断开 </w:t>
      </w:r>
      <w:r>
        <w:rPr>
          <w:rFonts w:ascii="SimSun" w:eastAsia="SimSun" w:hAnsi="SimSun" w:cs="SimSun"/>
          <w:spacing w:val="-1"/>
          <w:sz w:val="24"/>
          <w:szCs w:val="24"/>
        </w:rPr>
        <w:t>加氢机上的加氢软管，并防止氢气从加氢机中泄漏。</w:t>
      </w:r>
    </w:p>
    <w:p>
      <w:pPr>
        <w:spacing w:line="215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3.1.6  加氢软管 dispenser hose</w:t>
      </w:r>
      <w:r>
        <w:rPr>
          <w:rFonts w:ascii="SimSun" w:eastAsia="SimSun" w:hAnsi="SimSun" w:cs="SimSun"/>
          <w:spacing w:val="6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[3.6 GB/T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31138-2022]</w:t>
      </w:r>
    </w:p>
    <w:p>
      <w:pPr>
        <w:spacing w:before="265" w:line="220" w:lineRule="auto"/>
        <w:ind w:left="50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z w:val="24"/>
          <w:szCs w:val="24"/>
        </w:rPr>
        <w:t>加注氢燃料的软管，加氢软管一端与拉断阀相</w:t>
      </w:r>
      <w:r>
        <w:rPr>
          <w:rFonts w:ascii="SimSun" w:eastAsia="SimSun" w:hAnsi="SimSun" w:cs="SimSun"/>
          <w:spacing w:val="-1"/>
          <w:sz w:val="24"/>
          <w:szCs w:val="24"/>
        </w:rPr>
        <w:t>连，一端与加氢枪相连。</w:t>
      </w:r>
    </w:p>
    <w:p>
      <w:pPr>
        <w:spacing w:before="105" w:line="289" w:lineRule="auto"/>
        <w:ind w:left="503" w:right="2525" w:hanging="47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3.1.7  加注速率 fueling</w:t>
      </w:r>
      <w:r>
        <w:rPr>
          <w:rFonts w:ascii="SimSun" w:eastAsia="SimSun" w:hAnsi="SimSun" w:cs="SimSun"/>
          <w:spacing w:val="1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speed</w:t>
      </w:r>
      <w:r>
        <w:rPr>
          <w:rFonts w:ascii="SimSun" w:eastAsia="SimSun" w:hAnsi="SimSun" w:cs="SimSun"/>
          <w:spacing w:val="4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[3.8 GB/T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311</w:t>
      </w:r>
      <w:r>
        <w:rPr>
          <w:rFonts w:ascii="SimSun" w:eastAsia="SimSun" w:hAnsi="SimSun" w:cs="SimSun"/>
          <w:spacing w:val="-3"/>
          <w:sz w:val="24"/>
          <w:szCs w:val="24"/>
        </w:rPr>
        <w:t>38-2022]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氢气加注时的氢气流量或储氢气瓶内压力升高的速</w:t>
      </w:r>
      <w:r>
        <w:rPr>
          <w:rFonts w:ascii="SimSun" w:eastAsia="SimSun" w:hAnsi="SimSun" w:cs="SimSun"/>
          <w:spacing w:val="-3"/>
          <w:sz w:val="24"/>
          <w:szCs w:val="24"/>
        </w:rPr>
        <w:t>率。</w:t>
      </w:r>
    </w:p>
    <w:p>
      <w:pPr>
        <w:spacing w:before="181" w:line="219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3.1.8 科里奥利质量流量计 coriolis mass flo</w:t>
      </w:r>
      <w:r>
        <w:rPr>
          <w:rFonts w:ascii="SimSun" w:eastAsia="SimSun" w:hAnsi="SimSun" w:cs="SimSun"/>
          <w:spacing w:val="-2"/>
          <w:sz w:val="24"/>
          <w:szCs w:val="24"/>
        </w:rPr>
        <w:t>w meter</w:t>
      </w:r>
      <w:r>
        <w:rPr>
          <w:rFonts w:ascii="SimSun" w:eastAsia="SimSun" w:hAnsi="SimSun" w:cs="SimSun"/>
          <w:spacing w:val="4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[3.1 GB/T</w:t>
      </w:r>
      <w:r>
        <w:rPr>
          <w:rFonts w:ascii="SimSun" w:eastAsia="SimSun" w:hAnsi="SimSun" w:cs="SimSun"/>
          <w:spacing w:val="14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31130]</w:t>
      </w:r>
    </w:p>
    <w:p>
      <w:pPr>
        <w:spacing w:before="180" w:line="347" w:lineRule="auto"/>
        <w:ind w:left="24" w:right="420" w:firstLine="50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3"/>
          <w:sz w:val="24"/>
          <w:szCs w:val="24"/>
        </w:rPr>
        <w:t>由流量检测元件（一次装置）和变送器（二次装置）组成，利用流体与振</w:t>
      </w:r>
      <w:r>
        <w:rPr>
          <w:rFonts w:ascii="SimSun" w:eastAsia="SimSun" w:hAnsi="SimSun" w:cs="SimSun"/>
          <w:spacing w:val="1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动管振动的相互作用测量质量流量和密度的装置。</w:t>
      </w:r>
    </w:p>
    <w:p>
      <w:pPr>
        <w:spacing w:before="30" w:line="227" w:lineRule="auto"/>
        <w:ind w:left="50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注：科里奥利流量计也可测量振动管内的温度。</w:t>
      </w:r>
    </w:p>
    <w:p>
      <w:pPr>
        <w:spacing w:before="164" w:line="221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3.2  计量单位</w:t>
      </w:r>
    </w:p>
    <w:p>
      <w:pPr>
        <w:spacing w:before="181" w:line="214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3.2.1  质量：千克，符号：kg。</w:t>
      </w:r>
    </w:p>
    <w:p>
      <w:pPr>
        <w:spacing w:before="190" w:line="214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3.2.2  流量：千克每分钟，符号：kg/min。</w:t>
      </w:r>
    </w:p>
    <w:p>
      <w:pPr>
        <w:spacing w:before="187" w:line="220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3.2.3  压力：兆帕，符号：MPa。</w:t>
      </w:r>
    </w:p>
    <w:p>
      <w:pPr>
        <w:spacing w:before="182" w:line="220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3.2.4  温度：摄氏度，符号：</w:t>
      </w:r>
      <w:r>
        <w:rPr>
          <w:rFonts w:ascii="SimSun" w:eastAsia="SimSun" w:hAnsi="SimSun" w:cs="SimSun"/>
          <w:spacing w:val="-7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℃。</w:t>
      </w:r>
    </w:p>
    <w:p>
      <w:pPr>
        <w:pStyle w:val="BodyText"/>
        <w:spacing w:line="334" w:lineRule="auto"/>
      </w:pPr>
    </w:p>
    <w:p>
      <w:pPr>
        <w:spacing w:before="79" w:line="221" w:lineRule="auto"/>
        <w:ind w:left="17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4"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4"/>
          <w:sz w:val="24"/>
          <w:szCs w:val="24"/>
        </w:rPr>
        <w:t>概述</w:t>
      </w:r>
    </w:p>
    <w:p>
      <w:pPr>
        <w:spacing w:before="180" w:line="221" w:lineRule="auto"/>
        <w:ind w:left="2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4.1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5"/>
          <w:sz w:val="24"/>
          <w:szCs w:val="24"/>
        </w:rPr>
        <w:t>构造</w:t>
      </w:r>
    </w:p>
    <w:p>
      <w:pPr>
        <w:spacing w:before="104" w:line="352" w:lineRule="auto"/>
        <w:ind w:left="21" w:right="366" w:firstLine="481"/>
        <w:jc w:val="both"/>
        <w:rPr>
          <w:rFonts w:ascii="SimSun" w:eastAsia="SimSun" w:hAnsi="SimSun" w:cs="SimSun"/>
          <w:sz w:val="24"/>
          <w:szCs w:val="24"/>
        </w:rPr>
        <w:sectPr>
          <w:headerReference w:type="default" r:id="rId20"/>
          <w:footerReference w:type="default" r:id="rId21"/>
          <w:pgSz w:w="11906" w:h="16839"/>
          <w:pgMar w:top="1174" w:right="1379" w:bottom="645" w:left="1785" w:header="865" w:footer="459" w:gutter="0"/>
          <w:pgNumType w:start="10"/>
          <w:cols w:space="708"/>
        </w:sectPr>
      </w:pPr>
      <w:r>
        <w:rPr>
          <w:rFonts w:ascii="SimSun" w:eastAsia="SimSun" w:hAnsi="SimSun" w:cs="SimSun"/>
          <w:spacing w:val="4"/>
          <w:sz w:val="24"/>
          <w:szCs w:val="24"/>
        </w:rPr>
        <w:t>加氢机一般由科里奥利质量流量计、电子计控器和附属装置等主要部分组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成。附属装置用于加氢机以实现正确测量和简化</w:t>
      </w:r>
      <w:r>
        <w:rPr>
          <w:rFonts w:ascii="SimSun" w:eastAsia="SimSun" w:hAnsi="SimSun" w:cs="SimSun"/>
          <w:spacing w:val="-2"/>
          <w:sz w:val="24"/>
          <w:szCs w:val="24"/>
        </w:rPr>
        <w:t>操作，主要包括：气体过滤器、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4"/>
          <w:sz w:val="24"/>
          <w:szCs w:val="24"/>
        </w:rPr>
        <w:t>进气阀、流量调节装置、换热器（可选）、拉断阀、加氢软管、加氢枪等，其</w:t>
      </w:r>
      <w:r>
        <w:rPr>
          <w:rFonts w:ascii="SimSun" w:eastAsia="SimSun" w:hAnsi="SimSun" w:cs="SimSun"/>
          <w:spacing w:val="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典型系统组成见图</w:t>
      </w:r>
      <w:r>
        <w:rPr>
          <w:rFonts w:ascii="SimSun" w:eastAsia="SimSun" w:hAnsi="SimSun" w:cs="SimSun"/>
          <w:spacing w:val="-29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4"/>
          <w:sz w:val="24"/>
          <w:szCs w:val="24"/>
        </w:rPr>
        <w:t>1。</w:t>
      </w:r>
    </w:p>
    <w:p>
      <w:pPr>
        <w:spacing w:line="3924" w:lineRule="exact"/>
        <w:ind w:firstLine="434"/>
      </w:pPr>
      <w:r>
        <w:rPr>
          <w:position w:val="-78"/>
        </w:rPr>
        <w:drawing>
          <wp:inline distT="0" distB="0" distL="0" distR="0">
            <wp:extent cx="5274563" cy="249174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563" cy="24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924" w:lineRule="exact"/>
        <w:sectPr>
          <w:headerReference w:type="default" r:id="rId23"/>
          <w:footerReference w:type="default" r:id="rId24"/>
          <w:type w:val="nextPage"/>
          <w:pgSz w:w="11906" w:h="16839"/>
          <w:pgMar w:top="1174" w:right="1379" w:bottom="645" w:left="1785" w:header="865" w:footer="459" w:gutter="0"/>
          <w:pgNumType w:start="11"/>
          <w:cols w:space="708"/>
          <w:titlePg w:val="0"/>
        </w:sectPr>
      </w:pPr>
    </w:p>
    <w:p>
      <w:pPr>
        <w:pStyle w:val="BodyText"/>
        <w:spacing w:line="336" w:lineRule="auto"/>
      </w:pPr>
    </w:p>
    <w:p>
      <w:pPr>
        <w:spacing w:before="62" w:line="228" w:lineRule="auto"/>
        <w:ind w:left="3166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spacing w:val="4"/>
          <w:sz w:val="19"/>
          <w:szCs w:val="19"/>
        </w:rPr>
        <w:t>图</w:t>
      </w:r>
      <w:r>
        <w:rPr>
          <w:rFonts w:ascii="SimSun" w:eastAsia="SimSun" w:hAnsi="SimSun" w:cs="SimSun"/>
          <w:spacing w:val="-1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>1  加氢机典型系统组成</w:t>
      </w:r>
    </w:p>
    <w:p>
      <w:pPr>
        <w:spacing w:before="212" w:line="224" w:lineRule="auto"/>
        <w:ind w:left="22"/>
        <w:rPr>
          <w:rFonts w:ascii="SimSun" w:eastAsia="SimSun" w:hAnsi="SimSun" w:cs="SimSun"/>
          <w:sz w:val="24"/>
          <w:szCs w:val="24"/>
        </w:rPr>
      </w:pPr>
      <w:bookmarkStart w:id="15" w:name="bookmark16"/>
      <w:bookmarkEnd w:id="15"/>
      <w:r>
        <w:rPr>
          <w:rFonts w:ascii="SimSun" w:eastAsia="SimSun" w:hAnsi="SimSun" w:cs="SimSun"/>
          <w:spacing w:val="-5"/>
          <w:sz w:val="24"/>
          <w:szCs w:val="24"/>
        </w:rPr>
        <w:t>4.2</w:t>
      </w:r>
      <w:r>
        <w:rPr>
          <w:rFonts w:ascii="SimSun" w:eastAsia="SimSun" w:hAnsi="SimSun" w:cs="SimSun"/>
          <w:spacing w:val="7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5"/>
          <w:sz w:val="24"/>
          <w:szCs w:val="24"/>
        </w:rPr>
        <w:t>原理</w:t>
      </w:r>
    </w:p>
    <w:p>
      <w:pPr>
        <w:spacing w:before="177" w:line="353" w:lineRule="auto"/>
        <w:ind w:left="22" w:right="119" w:firstLine="480"/>
        <w:jc w:val="both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氢气从气源接口进入加氢机进气管路，依次经过气体过滤器、进气阀</w:t>
      </w:r>
      <w:r>
        <w:rPr>
          <w:rFonts w:ascii="SimSun" w:eastAsia="SimSun" w:hAnsi="SimSun" w:cs="SimSun"/>
          <w:sz w:val="24"/>
          <w:szCs w:val="24"/>
        </w:rPr>
        <w:t xml:space="preserve">、质 </w:t>
      </w:r>
      <w:r>
        <w:rPr>
          <w:rFonts w:ascii="SimSun" w:eastAsia="SimSun" w:hAnsi="SimSun" w:cs="SimSun"/>
          <w:spacing w:val="1"/>
          <w:sz w:val="24"/>
          <w:szCs w:val="24"/>
        </w:rPr>
        <w:t>量流量计、流量调节装置、换热器（可选）、拉断阀、加氢软管、加氢</w:t>
      </w:r>
      <w:r>
        <w:rPr>
          <w:rFonts w:ascii="SimSun" w:eastAsia="SimSun" w:hAnsi="SimSun" w:cs="SimSun"/>
          <w:sz w:val="24"/>
          <w:szCs w:val="24"/>
        </w:rPr>
        <w:t xml:space="preserve">枪后通 </w:t>
      </w:r>
      <w:r>
        <w:rPr>
          <w:rFonts w:ascii="SimSun" w:eastAsia="SimSun" w:hAnsi="SimSun" w:cs="SimSun"/>
          <w:spacing w:val="1"/>
          <w:sz w:val="24"/>
          <w:szCs w:val="24"/>
        </w:rPr>
        <w:t>过加氢口充入储氢气瓶。加氢机的控制系统自动控制加氢过程，并与加</w:t>
      </w:r>
      <w:r>
        <w:rPr>
          <w:rFonts w:ascii="SimSun" w:eastAsia="SimSun" w:hAnsi="SimSun" w:cs="SimSun"/>
          <w:sz w:val="24"/>
          <w:szCs w:val="24"/>
        </w:rPr>
        <w:t xml:space="preserve">氢站站 </w:t>
      </w:r>
      <w:r>
        <w:rPr>
          <w:rFonts w:ascii="SimSun" w:eastAsia="SimSun" w:hAnsi="SimSun" w:cs="SimSun"/>
          <w:spacing w:val="-1"/>
          <w:sz w:val="24"/>
          <w:szCs w:val="24"/>
        </w:rPr>
        <w:t>控系统、加氢通信接口（可选）等实时通信。</w:t>
      </w:r>
    </w:p>
    <w:p>
      <w:pPr>
        <w:spacing w:before="190" w:line="222" w:lineRule="auto"/>
        <w:ind w:left="25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5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   </w:t>
      </w:r>
      <w:r>
        <w:rPr>
          <w:rFonts w:ascii="SimHei" w:eastAsia="SimHei" w:hAnsi="SimHei" w:cs="SimHei"/>
          <w:spacing w:val="-5"/>
          <w:sz w:val="24"/>
          <w:szCs w:val="24"/>
        </w:rPr>
        <w:t>计量特性</w:t>
      </w:r>
    </w:p>
    <w:p>
      <w:pPr>
        <w:spacing w:before="180" w:line="220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5.1  流量示值误差</w:t>
      </w:r>
    </w:p>
    <w:p>
      <w:pPr>
        <w:spacing w:before="183" w:line="219" w:lineRule="auto"/>
        <w:ind w:left="33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加氢机计量的最大允许误差一般不超过±2%。</w:t>
      </w:r>
    </w:p>
    <w:p>
      <w:pPr>
        <w:spacing w:before="182" w:line="221" w:lineRule="auto"/>
        <w:ind w:left="2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5.2  流量重复性</w:t>
      </w:r>
    </w:p>
    <w:p>
      <w:pPr>
        <w:spacing w:before="180" w:line="347" w:lineRule="auto"/>
        <w:ind w:left="263" w:right="1458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加氢机的计量重复性不应超过相应最大允许误差绝对值的</w:t>
      </w:r>
      <w:r>
        <w:rPr>
          <w:rFonts w:ascii="SimSun" w:eastAsia="SimSun" w:hAnsi="SimSun" w:cs="SimSun"/>
          <w:spacing w:val="-2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1/3。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注：以上指标不作为合格性判定。</w:t>
      </w:r>
    </w:p>
    <w:p>
      <w:pPr>
        <w:spacing w:before="191" w:line="222" w:lineRule="auto"/>
        <w:ind w:left="24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6    </w:t>
      </w:r>
      <w:r>
        <w:rPr>
          <w:rFonts w:ascii="SimHei" w:eastAsia="SimHei" w:hAnsi="SimHei" w:cs="SimHei"/>
          <w:spacing w:val="-2"/>
          <w:sz w:val="24"/>
          <w:szCs w:val="24"/>
        </w:rPr>
        <w:t>校准条件</w:t>
      </w:r>
    </w:p>
    <w:p>
      <w:pPr>
        <w:spacing w:before="179" w:line="220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6.1  环境条件</w:t>
      </w:r>
    </w:p>
    <w:p>
      <w:pPr>
        <w:spacing w:before="182" w:line="221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6.1.1  环境温度</w:t>
      </w:r>
      <w:r>
        <w:rPr>
          <w:rFonts w:ascii="SimSun" w:eastAsia="SimSun" w:hAnsi="SimSun" w:cs="SimSun"/>
          <w:spacing w:val="-10"/>
          <w:sz w:val="24"/>
          <w:szCs w:val="24"/>
        </w:rPr>
        <w:t>：（</w:t>
      </w:r>
      <w:r>
        <w:rPr>
          <w:rFonts w:ascii="SimSun" w:eastAsia="SimSun" w:hAnsi="SimSun" w:cs="SimSun"/>
          <w:spacing w:val="-1"/>
          <w:sz w:val="24"/>
          <w:szCs w:val="24"/>
        </w:rPr>
        <w:t>-40～50）</w:t>
      </w:r>
      <w:r>
        <w:rPr>
          <w:rFonts w:ascii="SimSun" w:eastAsia="SimSun" w:hAnsi="SimSun" w:cs="SimSun"/>
          <w:spacing w:val="-9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℃</w:t>
      </w:r>
      <w:r>
        <w:rPr>
          <w:rFonts w:ascii="SimSun" w:eastAsia="SimSun" w:hAnsi="SimSun" w:cs="SimSun"/>
          <w:spacing w:val="-9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;</w:t>
      </w:r>
    </w:p>
    <w:p>
      <w:pPr>
        <w:spacing w:before="181" w:line="221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6.1.2  相对湿度：20%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~</w:t>
      </w:r>
      <w:r>
        <w:rPr>
          <w:rFonts w:ascii="SimSun" w:eastAsia="SimSun" w:hAnsi="SimSun" w:cs="SimSun"/>
          <w:spacing w:val="-1"/>
          <w:sz w:val="24"/>
          <w:szCs w:val="24"/>
        </w:rPr>
        <w:t>95%；</w:t>
      </w:r>
    </w:p>
    <w:p>
      <w:pPr>
        <w:spacing w:before="181" w:line="220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6.1.3  大气压力</w:t>
      </w:r>
      <w:r>
        <w:rPr>
          <w:rFonts w:ascii="SimSun" w:eastAsia="SimSun" w:hAnsi="SimSun" w:cs="SimSun"/>
          <w:spacing w:val="-16"/>
          <w:sz w:val="24"/>
          <w:szCs w:val="24"/>
        </w:rPr>
        <w:t>：（</w:t>
      </w:r>
      <w:r>
        <w:rPr>
          <w:rFonts w:ascii="SimSun" w:eastAsia="SimSun" w:hAnsi="SimSun" w:cs="SimSun"/>
          <w:spacing w:val="1"/>
          <w:sz w:val="24"/>
          <w:szCs w:val="24"/>
        </w:rPr>
        <w:t>80～110）</w:t>
      </w:r>
      <w:r>
        <w:rPr>
          <w:rFonts w:ascii="SimSun" w:eastAsia="SimSun" w:hAnsi="SimSun" w:cs="SimSun"/>
          <w:sz w:val="24"/>
          <w:szCs w:val="24"/>
        </w:rPr>
        <w:t>kPa</w:t>
      </w:r>
      <w:r>
        <w:rPr>
          <w:rFonts w:ascii="SimSun" w:eastAsia="SimSun" w:hAnsi="SimSun" w:cs="SimSun"/>
          <w:spacing w:val="1"/>
          <w:sz w:val="24"/>
          <w:szCs w:val="24"/>
        </w:rPr>
        <w:t>。</w:t>
      </w:r>
    </w:p>
    <w:p>
      <w:pPr>
        <w:spacing w:before="181" w:line="221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6.2  主标准器及配套设备</w:t>
      </w:r>
    </w:p>
    <w:p>
      <w:pPr>
        <w:spacing w:before="181" w:line="221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6.2.1  主标准器</w:t>
      </w:r>
    </w:p>
    <w:p>
      <w:pPr>
        <w:spacing w:before="182" w:line="346" w:lineRule="auto"/>
        <w:ind w:left="24" w:right="160" w:firstLine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一般采用标准表法流量标准装置（简称：标准表法装置）校准，也可采用</w:t>
      </w:r>
      <w:r>
        <w:rPr>
          <w:rFonts w:ascii="SimSun" w:eastAsia="SimSun" w:hAnsi="SimSun" w:cs="SimSun"/>
          <w:spacing w:val="1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2"/>
          <w:sz w:val="24"/>
          <w:szCs w:val="24"/>
        </w:rPr>
        <w:t>质量法流量标准装置（简称：质量法装置）校</w:t>
      </w:r>
      <w:r>
        <w:rPr>
          <w:rFonts w:ascii="SimSun" w:eastAsia="SimSun" w:hAnsi="SimSun" w:cs="SimSun"/>
          <w:spacing w:val="1"/>
          <w:sz w:val="24"/>
          <w:szCs w:val="24"/>
        </w:rPr>
        <w:t>准（见附录D）。</w:t>
      </w:r>
    </w:p>
    <w:p>
      <w:pPr>
        <w:spacing w:before="35" w:line="344" w:lineRule="auto"/>
        <w:ind w:left="21" w:right="531" w:firstLine="48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标准表法装置流量范围：涵盖被校加氢机流量范围，一般为（0.1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~</w:t>
      </w:r>
      <w:r>
        <w:rPr>
          <w:rFonts w:ascii="SimSun" w:eastAsia="SimSun" w:hAnsi="SimSun" w:cs="SimSun"/>
          <w:spacing w:val="-1"/>
          <w:sz w:val="24"/>
          <w:szCs w:val="24"/>
        </w:rPr>
        <w:t>8）</w:t>
      </w:r>
      <w:r>
        <w:rPr>
          <w:rFonts w:ascii="SimSun" w:eastAsia="SimSun" w:hAnsi="SimSun" w:cs="SimSun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kg/min，扩展不确定度优于被校加氢机最大允许误差绝对值的</w:t>
      </w:r>
      <w:r>
        <w:rPr>
          <w:rFonts w:ascii="SimSun" w:eastAsia="SimSun" w:hAnsi="SimSun" w:cs="SimSun"/>
          <w:spacing w:val="-3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1/</w:t>
      </w:r>
      <w:r>
        <w:rPr>
          <w:rFonts w:ascii="SimSun" w:eastAsia="SimSun" w:hAnsi="SimSun" w:cs="SimSun"/>
          <w:spacing w:val="-2"/>
          <w:sz w:val="24"/>
          <w:szCs w:val="24"/>
        </w:rPr>
        <w:t>3。</w:t>
      </w:r>
    </w:p>
    <w:p>
      <w:pPr>
        <w:spacing w:before="42" w:line="221" w:lineRule="auto"/>
        <w:ind w:left="25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6.2.2  配套设备</w:t>
      </w:r>
    </w:p>
    <w:p>
      <w:pPr>
        <w:spacing w:before="181" w:line="220" w:lineRule="auto"/>
        <w:ind w:left="503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5"/>
          <w:sz w:val="24"/>
          <w:szCs w:val="24"/>
        </w:rPr>
        <w:t>配套设备见表</w:t>
      </w:r>
      <w:r>
        <w:rPr>
          <w:rFonts w:ascii="SimSun" w:eastAsia="SimSun" w:hAnsi="SimSun" w:cs="SimSun"/>
          <w:spacing w:val="-31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5"/>
          <w:sz w:val="24"/>
          <w:szCs w:val="24"/>
        </w:rPr>
        <w:t>1。</w:t>
      </w:r>
    </w:p>
    <w:p>
      <w:pPr>
        <w:spacing w:before="196" w:line="230" w:lineRule="auto"/>
        <w:ind w:left="3469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1"/>
          <w:sz w:val="20"/>
          <w:szCs w:val="20"/>
        </w:rPr>
        <w:t>表</w:t>
      </w:r>
      <w:r>
        <w:rPr>
          <w:rFonts w:ascii="SimHei" w:eastAsia="SimHei" w:hAnsi="SimHei" w:cs="SimHei"/>
          <w:spacing w:val="-2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 </w:t>
      </w:r>
      <w:r>
        <w:rPr>
          <w:rFonts w:ascii="SimHei" w:eastAsia="SimHei" w:hAnsi="SimHei" w:cs="SimHei"/>
          <w:spacing w:val="1"/>
          <w:sz w:val="20"/>
          <w:szCs w:val="20"/>
        </w:rPr>
        <w:t>配套设备</w:t>
      </w:r>
    </w:p>
    <w:tbl>
      <w:tblPr>
        <w:tblStyle w:val="TableNormal1"/>
        <w:tblW w:w="7151" w:type="dxa"/>
        <w:tblInd w:w="5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50"/>
        <w:gridCol w:w="1728"/>
        <w:gridCol w:w="2691"/>
        <w:gridCol w:w="2082"/>
      </w:tblGrid>
      <w:tr>
        <w:tblPrEx>
          <w:tblW w:w="7151" w:type="dxa"/>
          <w:tblInd w:w="59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36"/>
        </w:trPr>
        <w:tc>
          <w:tcPr>
            <w:tcW w:w="650" w:type="dxa"/>
            <w:vAlign w:val="top"/>
          </w:tcPr>
          <w:p>
            <w:pPr>
              <w:pStyle w:val="TableText"/>
              <w:spacing w:before="113" w:line="230" w:lineRule="auto"/>
              <w:ind w:left="119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序号</w:t>
            </w:r>
          </w:p>
        </w:tc>
        <w:tc>
          <w:tcPr>
            <w:tcW w:w="1728" w:type="dxa"/>
            <w:vAlign w:val="top"/>
          </w:tcPr>
          <w:p>
            <w:pPr>
              <w:pStyle w:val="TableText"/>
              <w:spacing w:before="113" w:line="230" w:lineRule="auto"/>
              <w:ind w:left="450"/>
              <w:rPr>
                <w:sz w:val="20"/>
                <w:szCs w:val="20"/>
              </w:rPr>
            </w:pPr>
            <w:r>
              <w:rPr>
                <w:spacing w:val="6"/>
                <w:sz w:val="20"/>
                <w:szCs w:val="20"/>
              </w:rPr>
              <w:t>设备名称</w:t>
            </w:r>
          </w:p>
        </w:tc>
        <w:tc>
          <w:tcPr>
            <w:tcW w:w="2691" w:type="dxa"/>
            <w:vAlign w:val="top"/>
          </w:tcPr>
          <w:p>
            <w:pPr>
              <w:pStyle w:val="TableText"/>
              <w:spacing w:before="114" w:line="228" w:lineRule="auto"/>
              <w:ind w:left="932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技术要求</w:t>
            </w:r>
          </w:p>
        </w:tc>
        <w:tc>
          <w:tcPr>
            <w:tcW w:w="2082" w:type="dxa"/>
            <w:vAlign w:val="top"/>
          </w:tcPr>
          <w:p>
            <w:pPr>
              <w:pStyle w:val="TableText"/>
              <w:spacing w:before="113" w:line="230" w:lineRule="auto"/>
              <w:ind w:left="836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用途</w:t>
            </w:r>
          </w:p>
        </w:tc>
      </w:tr>
    </w:tbl>
    <w:p>
      <w:pPr>
        <w:sectPr>
          <w:headerReference w:type="default" r:id="rId25"/>
          <w:footerReference w:type="default" r:id="rId26"/>
          <w:pgSz w:w="11906" w:h="16839"/>
          <w:pgMar w:top="1174" w:right="1785" w:bottom="645" w:left="1785" w:header="865" w:footer="459" w:gutter="0"/>
          <w:pgNumType w:start="12"/>
          <w:cols w:space="708"/>
        </w:sectPr>
      </w:pPr>
    </w:p>
    <w:tbl>
      <w:tblPr>
        <w:tblStyle w:val="TableNormal2"/>
        <w:tblW w:w="7151" w:type="dxa"/>
        <w:tblInd w:w="59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50"/>
        <w:gridCol w:w="1728"/>
        <w:gridCol w:w="2691"/>
        <w:gridCol w:w="2082"/>
      </w:tblGrid>
      <w:tr>
        <w:tblPrEx>
          <w:tblW w:w="7151" w:type="dxa"/>
          <w:tblInd w:w="590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99"/>
        </w:trPr>
        <w:tc>
          <w:tcPr>
            <w:tcW w:w="65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9" w:lineRule="auto"/>
              <w:ind w:left="29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728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9" w:lineRule="auto"/>
              <w:ind w:left="446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储氢气瓶</w:t>
            </w:r>
          </w:p>
        </w:tc>
        <w:tc>
          <w:tcPr>
            <w:tcW w:w="2691" w:type="dxa"/>
            <w:vAlign w:val="top"/>
          </w:tcPr>
          <w:p>
            <w:pPr>
              <w:pStyle w:val="TableText"/>
              <w:spacing w:before="112" w:line="239" w:lineRule="auto"/>
              <w:ind w:left="115" w:right="113" w:firstLine="85"/>
              <w:jc w:val="both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公称工作压力满足加氢机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pacing w:val="16"/>
                <w:sz w:val="20"/>
                <w:szCs w:val="20"/>
              </w:rPr>
              <w:t>公称工作压力要求，容积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应不小于</w:t>
            </w:r>
            <w:r>
              <w:rPr>
                <w:spacing w:val="-23"/>
                <w:sz w:val="20"/>
                <w:szCs w:val="20"/>
              </w:rPr>
              <w:t xml:space="preserve"> </w:t>
            </w:r>
            <w:r>
              <w:rPr>
                <w:spacing w:val="6"/>
                <w:sz w:val="20"/>
                <w:szCs w:val="20"/>
              </w:rPr>
              <w:t>50L，同时满足压</w:t>
            </w:r>
          </w:p>
        </w:tc>
        <w:tc>
          <w:tcPr>
            <w:tcW w:w="2082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28" w:lineRule="auto"/>
              <w:ind w:left="41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存储高压气体</w:t>
            </w:r>
          </w:p>
        </w:tc>
      </w:tr>
    </w:tbl>
    <w:p>
      <w:pPr>
        <w:pStyle w:val="BodyText"/>
      </w:pPr>
    </w:p>
    <w:p>
      <w:pPr>
        <w:sectPr>
          <w:headerReference w:type="default" r:id="rId27"/>
          <w:footerReference w:type="default" r:id="rId28"/>
          <w:type w:val="nextPage"/>
          <w:pgSz w:w="11906" w:h="16839"/>
          <w:pgMar w:top="1174" w:right="1785" w:bottom="645" w:left="1785" w:header="865" w:footer="459" w:gutter="0"/>
          <w:pgNumType w:start="13"/>
          <w:cols w:space="708"/>
          <w:titlePg w:val="0"/>
        </w:sectPr>
      </w:pPr>
    </w:p>
    <w:p>
      <w:pPr>
        <w:spacing w:before="24"/>
      </w:pPr>
    </w:p>
    <w:tbl>
      <w:tblPr>
        <w:tblStyle w:val="TableNormal3"/>
        <w:tblW w:w="7151" w:type="dxa"/>
        <w:tblInd w:w="68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650"/>
        <w:gridCol w:w="1728"/>
        <w:gridCol w:w="2691"/>
        <w:gridCol w:w="2082"/>
      </w:tblGrid>
      <w:tr>
        <w:tblPrEx>
          <w:tblW w:w="7151" w:type="dxa"/>
          <w:tblInd w:w="689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58"/>
        </w:trPr>
        <w:tc>
          <w:tcPr>
            <w:tcW w:w="65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91" w:type="dxa"/>
            <w:vAlign w:val="top"/>
          </w:tcPr>
          <w:p>
            <w:pPr>
              <w:pStyle w:val="TableText"/>
              <w:spacing w:before="37" w:line="228" w:lineRule="auto"/>
              <w:ind w:left="618"/>
              <w:rPr>
                <w:sz w:val="20"/>
                <w:szCs w:val="20"/>
              </w:rPr>
            </w:pPr>
            <w:bookmarkStart w:id="16" w:name="bookmark17"/>
            <w:bookmarkEnd w:id="16"/>
            <w:r>
              <w:rPr>
                <w:spacing w:val="8"/>
                <w:sz w:val="20"/>
                <w:szCs w:val="20"/>
              </w:rPr>
              <w:t>力容器监管要求</w:t>
            </w:r>
          </w:p>
        </w:tc>
        <w:tc>
          <w:tcPr>
            <w:tcW w:w="208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7151" w:type="dxa"/>
          <w:tblInd w:w="689" w:type="dxa"/>
          <w:tblLayout w:type="fixed"/>
        </w:tblPrEx>
        <w:trPr>
          <w:trHeight w:val="979"/>
        </w:trPr>
        <w:tc>
          <w:tcPr>
            <w:tcW w:w="650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189" w:lineRule="auto"/>
              <w:ind w:left="28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728" w:type="dxa"/>
            <w:vAlign w:val="top"/>
          </w:tcPr>
          <w:p>
            <w:pPr>
              <w:pStyle w:val="TableText"/>
              <w:spacing w:before="248" w:line="239" w:lineRule="auto"/>
              <w:ind w:left="661" w:right="129" w:hanging="528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压力传感器或压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力表</w:t>
            </w:r>
          </w:p>
        </w:tc>
        <w:tc>
          <w:tcPr>
            <w:tcW w:w="2691" w:type="dxa"/>
            <w:vAlign w:val="top"/>
          </w:tcPr>
          <w:p>
            <w:pPr>
              <w:pStyle w:val="TableText"/>
              <w:spacing w:before="110" w:line="228" w:lineRule="auto"/>
              <w:ind w:left="195"/>
              <w:rPr>
                <w:sz w:val="20"/>
                <w:szCs w:val="20"/>
              </w:rPr>
            </w:pPr>
            <w:r>
              <w:rPr>
                <w:spacing w:val="9"/>
                <w:sz w:val="20"/>
                <w:szCs w:val="20"/>
              </w:rPr>
              <w:t>压力范围满足加氢机公称</w:t>
            </w:r>
          </w:p>
          <w:p>
            <w:pPr>
              <w:pStyle w:val="TableText"/>
              <w:spacing w:before="24" w:line="241" w:lineRule="auto"/>
              <w:ind w:left="461" w:right="190" w:hanging="264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工作压力要求，准确度等</w:t>
            </w:r>
            <w:r>
              <w:rPr>
                <w:spacing w:val="9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级不低于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0.25</w:t>
            </w:r>
            <w:r>
              <w:rPr>
                <w:spacing w:val="-34"/>
                <w:sz w:val="20"/>
                <w:szCs w:val="20"/>
              </w:rPr>
              <w:t xml:space="preserve"> </w:t>
            </w:r>
            <w:r>
              <w:rPr>
                <w:spacing w:val="3"/>
                <w:sz w:val="20"/>
                <w:szCs w:val="20"/>
              </w:rPr>
              <w:t>级。</w:t>
            </w:r>
          </w:p>
        </w:tc>
        <w:tc>
          <w:tcPr>
            <w:tcW w:w="2082" w:type="dxa"/>
            <w:vAlign w:val="top"/>
          </w:tcPr>
          <w:p>
            <w:pPr>
              <w:pStyle w:val="TableText"/>
              <w:spacing w:before="248" w:line="239" w:lineRule="auto"/>
              <w:ind w:left="940" w:right="201" w:hanging="735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读取储氢气瓶压力</w:t>
            </w:r>
            <w:r>
              <w:rPr>
                <w:spacing w:val="5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值</w:t>
            </w:r>
          </w:p>
        </w:tc>
      </w:tr>
    </w:tbl>
    <w:p>
      <w:pPr>
        <w:spacing w:before="115" w:line="219" w:lineRule="auto"/>
        <w:ind w:left="12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6.2.3  校准介质</w:t>
      </w:r>
    </w:p>
    <w:p>
      <w:pPr>
        <w:spacing w:before="183" w:line="346" w:lineRule="auto"/>
        <w:ind w:left="122" w:right="218" w:firstLine="480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1"/>
          <w:sz w:val="24"/>
          <w:szCs w:val="24"/>
        </w:rPr>
        <w:t>校准介质为压缩氢气、压缩氮气或压缩空气，并充满管道及流量计</w:t>
      </w:r>
      <w:r>
        <w:rPr>
          <w:rFonts w:ascii="SimSun" w:eastAsia="SimSun" w:hAnsi="SimSun" w:cs="SimSun"/>
          <w:sz w:val="24"/>
          <w:szCs w:val="24"/>
        </w:rPr>
        <w:t xml:space="preserve">。气体 </w:t>
      </w:r>
      <w:r>
        <w:rPr>
          <w:rFonts w:ascii="SimSun" w:eastAsia="SimSun" w:hAnsi="SimSun" w:cs="SimSun"/>
          <w:spacing w:val="-1"/>
          <w:sz w:val="24"/>
          <w:szCs w:val="24"/>
        </w:rPr>
        <w:t>介质分别符合</w:t>
      </w:r>
      <w:r>
        <w:rPr>
          <w:rFonts w:ascii="SimSun" w:eastAsia="SimSun" w:hAnsi="SimSun" w:cs="SimSun"/>
          <w:spacing w:val="-5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1"/>
          <w:sz w:val="24"/>
          <w:szCs w:val="24"/>
        </w:rPr>
        <w:t>GB/T 37244、GB/T 8979、GB/T 24</w:t>
      </w:r>
      <w:r>
        <w:rPr>
          <w:rFonts w:ascii="SimSun" w:eastAsia="SimSun" w:hAnsi="SimSun" w:cs="SimSun"/>
          <w:spacing w:val="-2"/>
          <w:sz w:val="24"/>
          <w:szCs w:val="24"/>
        </w:rPr>
        <w:t>499</w:t>
      </w:r>
      <w:r>
        <w:rPr>
          <w:rFonts w:ascii="SimSun" w:eastAsia="SimSun" w:hAnsi="SimSun" w:cs="SimSun"/>
          <w:spacing w:val="-52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及</w:t>
      </w:r>
      <w:r>
        <w:rPr>
          <w:rFonts w:ascii="SimSun" w:eastAsia="SimSun" w:hAnsi="SimSun" w:cs="SimSun"/>
          <w:spacing w:val="-53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GB/T</w:t>
      </w:r>
      <w:r>
        <w:rPr>
          <w:rFonts w:ascii="SimSun" w:eastAsia="SimSun" w:hAnsi="SimSun" w:cs="SimSun"/>
          <w:spacing w:val="27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13277.1</w:t>
      </w:r>
      <w:r>
        <w:rPr>
          <w:rFonts w:ascii="SimSun" w:eastAsia="SimSun" w:hAnsi="SimSun" w:cs="SimSun"/>
          <w:spacing w:val="-50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要求。</w:t>
      </w:r>
    </w:p>
    <w:p>
      <w:pPr>
        <w:spacing w:before="191" w:line="221" w:lineRule="auto"/>
        <w:ind w:left="121"/>
        <w:outlineLvl w:val="0"/>
        <w:rPr>
          <w:rFonts w:ascii="SimHei" w:eastAsia="SimHei" w:hAnsi="SimHei" w:cs="SimHei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7    </w:t>
      </w:r>
      <w:r>
        <w:rPr>
          <w:rFonts w:ascii="SimHei" w:eastAsia="SimHei" w:hAnsi="SimHei" w:cs="SimHei"/>
          <w:spacing w:val="-1"/>
          <w:sz w:val="24"/>
          <w:szCs w:val="24"/>
        </w:rPr>
        <w:t>校准项目和校准方法</w:t>
      </w:r>
    </w:p>
    <w:p>
      <w:pPr>
        <w:spacing w:before="180" w:line="221" w:lineRule="auto"/>
        <w:ind w:left="12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7.1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4"/>
          <w:sz w:val="24"/>
          <w:szCs w:val="24"/>
        </w:rPr>
        <w:t>校准项目</w:t>
      </w:r>
    </w:p>
    <w:p>
      <w:pPr>
        <w:pStyle w:val="BodyText"/>
        <w:spacing w:line="439" w:lineRule="auto"/>
      </w:pPr>
    </w:p>
    <w:p>
      <w:pPr>
        <w:spacing w:before="66" w:line="230" w:lineRule="auto"/>
        <w:ind w:left="325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4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2  </w:t>
      </w:r>
      <w:r>
        <w:rPr>
          <w:rFonts w:ascii="SimHei" w:eastAsia="SimHei" w:hAnsi="SimHei" w:cs="SimHei"/>
          <w:spacing w:val="6"/>
          <w:sz w:val="20"/>
          <w:szCs w:val="20"/>
        </w:rPr>
        <w:t>校准项目一览表</w:t>
      </w:r>
    </w:p>
    <w:p>
      <w:pPr>
        <w:spacing w:line="89" w:lineRule="exact"/>
      </w:pPr>
    </w:p>
    <w:tbl>
      <w:tblPr>
        <w:tblStyle w:val="TableNormal3"/>
        <w:tblW w:w="3957" w:type="dxa"/>
        <w:tblInd w:w="228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68"/>
        <w:gridCol w:w="2589"/>
      </w:tblGrid>
      <w:tr>
        <w:tblPrEx>
          <w:tblW w:w="3957" w:type="dxa"/>
          <w:tblInd w:w="228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05"/>
        </w:trPr>
        <w:tc>
          <w:tcPr>
            <w:tcW w:w="1368" w:type="dxa"/>
            <w:vAlign w:val="top"/>
          </w:tcPr>
          <w:p>
            <w:pPr>
              <w:pStyle w:val="TableText"/>
              <w:spacing w:before="97" w:line="230" w:lineRule="auto"/>
              <w:ind w:left="478"/>
              <w:rPr>
                <w:sz w:val="20"/>
                <w:szCs w:val="20"/>
              </w:rPr>
            </w:pPr>
            <w:r>
              <w:rPr>
                <w:spacing w:val="5"/>
                <w:sz w:val="20"/>
                <w:szCs w:val="20"/>
              </w:rPr>
              <w:t>序号</w:t>
            </w:r>
          </w:p>
        </w:tc>
        <w:tc>
          <w:tcPr>
            <w:tcW w:w="2589" w:type="dxa"/>
            <w:vAlign w:val="top"/>
          </w:tcPr>
          <w:p>
            <w:pPr>
              <w:pStyle w:val="TableText"/>
              <w:spacing w:before="97" w:line="229" w:lineRule="auto"/>
              <w:ind w:left="880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校准项目</w:t>
            </w:r>
          </w:p>
        </w:tc>
      </w:tr>
      <w:tr>
        <w:tblPrEx>
          <w:tblW w:w="3957" w:type="dxa"/>
          <w:tblInd w:w="2286" w:type="dxa"/>
          <w:tblLayout w:type="fixed"/>
        </w:tblPrEx>
        <w:trPr>
          <w:trHeight w:val="400"/>
        </w:trPr>
        <w:tc>
          <w:tcPr>
            <w:tcW w:w="1368" w:type="dxa"/>
            <w:vAlign w:val="top"/>
          </w:tcPr>
          <w:p>
            <w:pPr>
              <w:pStyle w:val="TableText"/>
              <w:spacing w:before="128" w:line="189" w:lineRule="auto"/>
              <w:ind w:left="65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589" w:type="dxa"/>
            <w:vAlign w:val="top"/>
          </w:tcPr>
          <w:p>
            <w:pPr>
              <w:pStyle w:val="TableText"/>
              <w:spacing w:before="96" w:line="228" w:lineRule="auto"/>
              <w:ind w:left="669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流量示值误差</w:t>
            </w:r>
          </w:p>
        </w:tc>
      </w:tr>
      <w:tr>
        <w:tblPrEx>
          <w:tblW w:w="3957" w:type="dxa"/>
          <w:tblInd w:w="2286" w:type="dxa"/>
          <w:tblLayout w:type="fixed"/>
        </w:tblPrEx>
        <w:trPr>
          <w:trHeight w:val="405"/>
        </w:trPr>
        <w:tc>
          <w:tcPr>
            <w:tcW w:w="1368" w:type="dxa"/>
            <w:vAlign w:val="top"/>
          </w:tcPr>
          <w:p>
            <w:pPr>
              <w:pStyle w:val="TableText"/>
              <w:spacing w:before="129" w:line="189" w:lineRule="auto"/>
              <w:ind w:left="6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89" w:type="dxa"/>
            <w:vAlign w:val="top"/>
          </w:tcPr>
          <w:p>
            <w:pPr>
              <w:pStyle w:val="TableText"/>
              <w:spacing w:before="96" w:line="229" w:lineRule="auto"/>
              <w:ind w:left="775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流量重复性</w:t>
            </w:r>
          </w:p>
        </w:tc>
      </w:tr>
    </w:tbl>
    <w:p>
      <w:pPr>
        <w:spacing w:before="115" w:line="221" w:lineRule="auto"/>
        <w:ind w:left="12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4"/>
          <w:sz w:val="24"/>
          <w:szCs w:val="24"/>
        </w:rPr>
        <w:t>7.2</w:t>
      </w:r>
      <w:r>
        <w:rPr>
          <w:rFonts w:ascii="SimSun" w:eastAsia="SimSun" w:hAnsi="SimSun" w:cs="SimSun"/>
          <w:spacing w:val="5"/>
          <w:sz w:val="24"/>
          <w:szCs w:val="24"/>
        </w:rPr>
        <w:t xml:space="preserve">  </w:t>
      </w:r>
      <w:r>
        <w:rPr>
          <w:rFonts w:ascii="SimSun" w:eastAsia="SimSun" w:hAnsi="SimSun" w:cs="SimSun"/>
          <w:spacing w:val="-4"/>
          <w:sz w:val="24"/>
          <w:szCs w:val="24"/>
        </w:rPr>
        <w:t>校准方法</w:t>
      </w:r>
    </w:p>
    <w:p>
      <w:pPr>
        <w:spacing w:before="181" w:line="221" w:lineRule="auto"/>
        <w:ind w:left="127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7.2.1  校准前准备</w:t>
      </w:r>
    </w:p>
    <w:p>
      <w:pPr>
        <w:spacing w:before="181" w:line="221" w:lineRule="auto"/>
        <w:ind w:left="127"/>
        <w:rPr>
          <w:rFonts w:ascii="SimSun" w:eastAsia="SimSun" w:hAnsi="SimSun" w:cs="SimSun"/>
          <w:sz w:val="24"/>
          <w:szCs w:val="24"/>
        </w:rPr>
      </w:pPr>
      <w:hyperlink r:id="rId29" w:history="1">
        <w:r>
          <w:rPr>
            <w:rFonts w:ascii="SimSun" w:eastAsia="SimSun" w:hAnsi="SimSun" w:cs="SimSun"/>
            <w:spacing w:val="-2"/>
            <w:sz w:val="24"/>
            <w:szCs w:val="24"/>
          </w:rPr>
          <w:t>7.2.1.1</w:t>
        </w:r>
      </w:hyperlink>
      <w:r>
        <w:rPr>
          <w:rFonts w:ascii="SimSun" w:eastAsia="SimSun" w:hAnsi="SimSun" w:cs="SimSun"/>
          <w:spacing w:val="-2"/>
          <w:sz w:val="24"/>
          <w:szCs w:val="24"/>
        </w:rPr>
        <w:t xml:space="preserve"> 流量范围核查</w:t>
      </w:r>
    </w:p>
    <w:p>
      <w:pPr>
        <w:spacing w:before="180" w:line="347" w:lineRule="auto"/>
        <w:ind w:left="127" w:right="3237" w:firstLine="474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3"/>
          <w:sz w:val="24"/>
          <w:szCs w:val="24"/>
        </w:rPr>
        <w:t>加氢机的最大氢气流量应不大于</w:t>
      </w:r>
      <w:r>
        <w:rPr>
          <w:rFonts w:ascii="SimSun" w:eastAsia="SimSun" w:hAnsi="SimSun" w:cs="SimSun"/>
          <w:spacing w:val="-38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3"/>
          <w:sz w:val="24"/>
          <w:szCs w:val="24"/>
        </w:rPr>
        <w:t>7.2kg/min。</w:t>
      </w:r>
      <w:r>
        <w:rPr>
          <w:rFonts w:ascii="SimSun" w:eastAsia="SimSun" w:hAnsi="SimSun" w:cs="SimSun"/>
          <w:sz w:val="24"/>
          <w:szCs w:val="24"/>
        </w:rPr>
        <w:t xml:space="preserve"> </w:t>
      </w:r>
      <w:hyperlink r:id="rId30" w:history="1">
        <w:r>
          <w:rPr>
            <w:rFonts w:ascii="SimSun" w:eastAsia="SimSun" w:hAnsi="SimSun" w:cs="SimSun"/>
            <w:spacing w:val="-2"/>
            <w:sz w:val="24"/>
            <w:szCs w:val="24"/>
          </w:rPr>
          <w:t>7.2.1.2</w:t>
        </w:r>
      </w:hyperlink>
      <w:r>
        <w:rPr>
          <w:rFonts w:ascii="SimSun" w:eastAsia="SimSun" w:hAnsi="SimSun" w:cs="SimSun"/>
          <w:spacing w:val="-2"/>
          <w:sz w:val="24"/>
          <w:szCs w:val="24"/>
        </w:rPr>
        <w:t xml:space="preserve"> 压力等级核查</w:t>
      </w:r>
    </w:p>
    <w:p>
      <w:pPr>
        <w:spacing w:before="35" w:line="219" w:lineRule="auto"/>
        <w:ind w:left="60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2"/>
          <w:sz w:val="24"/>
          <w:szCs w:val="24"/>
        </w:rPr>
        <w:t>加氢机压力等级应满足表</w:t>
      </w:r>
      <w:r>
        <w:rPr>
          <w:rFonts w:ascii="SimSun" w:eastAsia="SimSun" w:hAnsi="SimSun" w:cs="SimSun"/>
          <w:spacing w:val="-45"/>
          <w:sz w:val="24"/>
          <w:szCs w:val="24"/>
        </w:rPr>
        <w:t xml:space="preserve"> </w:t>
      </w:r>
      <w:r>
        <w:rPr>
          <w:rFonts w:ascii="SimSun" w:eastAsia="SimSun" w:hAnsi="SimSun" w:cs="SimSun"/>
          <w:spacing w:val="-2"/>
          <w:sz w:val="24"/>
          <w:szCs w:val="24"/>
        </w:rPr>
        <w:t>3。</w:t>
      </w:r>
    </w:p>
    <w:p>
      <w:pPr>
        <w:spacing w:before="198" w:line="229" w:lineRule="auto"/>
        <w:ind w:left="3493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spacing w:val="6"/>
          <w:sz w:val="20"/>
          <w:szCs w:val="20"/>
        </w:rPr>
        <w:t>表</w:t>
      </w:r>
      <w:r>
        <w:rPr>
          <w:rFonts w:ascii="SimHei" w:eastAsia="SimHei" w:hAnsi="SimHei" w:cs="SimHei"/>
          <w:spacing w:val="-34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3</w:t>
      </w:r>
      <w:r>
        <w:rPr>
          <w:rFonts w:ascii="SimHei" w:eastAsia="SimHei" w:hAnsi="SimHei" w:cs="SimHei"/>
          <w:spacing w:val="6"/>
          <w:sz w:val="20"/>
          <w:szCs w:val="20"/>
        </w:rPr>
        <w:t xml:space="preserve"> </w:t>
      </w:r>
      <w:r>
        <w:rPr>
          <w:rFonts w:ascii="SimHei" w:eastAsia="SimHei" w:hAnsi="SimHei" w:cs="SimHei"/>
          <w:spacing w:val="6"/>
          <w:sz w:val="20"/>
          <w:szCs w:val="20"/>
        </w:rPr>
        <w:t>加氢机压力等级</w:t>
      </w:r>
    </w:p>
    <w:p>
      <w:pPr>
        <w:spacing w:line="90" w:lineRule="exact"/>
      </w:pPr>
    </w:p>
    <w:tbl>
      <w:tblPr>
        <w:tblStyle w:val="TableNormal3"/>
        <w:tblW w:w="852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133"/>
        <w:gridCol w:w="2129"/>
        <w:gridCol w:w="2130"/>
        <w:gridCol w:w="2134"/>
      </w:tblGrid>
      <w:tr>
        <w:tblPrEx>
          <w:tblW w:w="852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52"/>
        </w:trPr>
        <w:tc>
          <w:tcPr>
            <w:tcW w:w="2133" w:type="dxa"/>
            <w:vAlign w:val="top"/>
          </w:tcPr>
          <w:p>
            <w:pPr>
              <w:pStyle w:val="TableText"/>
              <w:spacing w:before="35" w:line="228" w:lineRule="auto"/>
              <w:ind w:left="12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加氢机工作压力等级</w:t>
            </w:r>
          </w:p>
          <w:p>
            <w:pPr>
              <w:pStyle w:val="TableText"/>
              <w:spacing w:before="26" w:line="215" w:lineRule="auto"/>
              <w:ind w:left="846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(HSL)</w:t>
            </w: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35" w:line="234" w:lineRule="auto"/>
              <w:ind w:left="450" w:right="432" w:hanging="3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公称工作压力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pacing w:val="10"/>
                <w:sz w:val="20"/>
                <w:szCs w:val="20"/>
              </w:rPr>
              <w:t>（</w:t>
            </w:r>
            <w:r>
              <w:rPr>
                <w:sz w:val="20"/>
                <w:szCs w:val="20"/>
              </w:rPr>
              <w:t>NWP</w:t>
            </w:r>
            <w:r>
              <w:rPr>
                <w:spacing w:val="10"/>
                <w:sz w:val="20"/>
                <w:szCs w:val="20"/>
              </w:rPr>
              <w:t xml:space="preserve">）/ </w:t>
            </w:r>
            <w:r>
              <w:rPr>
                <w:sz w:val="20"/>
                <w:szCs w:val="20"/>
              </w:rPr>
              <w:t>MPa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35" w:line="234" w:lineRule="auto"/>
              <w:ind w:left="294" w:right="273" w:firstLine="148"/>
              <w:rPr>
                <w:sz w:val="20"/>
                <w:szCs w:val="20"/>
              </w:rPr>
            </w:pPr>
            <w:r>
              <w:rPr>
                <w:spacing w:val="7"/>
                <w:sz w:val="20"/>
                <w:szCs w:val="20"/>
              </w:rPr>
              <w:t>最大工作压力</w:t>
            </w:r>
            <w:r>
              <w:rPr>
                <w:spacing w:val="2"/>
                <w:sz w:val="20"/>
                <w:szCs w:val="20"/>
              </w:rPr>
              <w:t xml:space="preserve">  </w:t>
            </w:r>
            <w:r>
              <w:rPr>
                <w:spacing w:val="8"/>
                <w:sz w:val="20"/>
                <w:szCs w:val="20"/>
              </w:rPr>
              <w:t>（1.25</w:t>
            </w:r>
            <w:r>
              <w:rPr>
                <w:sz w:val="20"/>
                <w:szCs w:val="20"/>
              </w:rPr>
              <w:t>NWP</w:t>
            </w:r>
            <w:r>
              <w:rPr>
                <w:spacing w:val="8"/>
                <w:sz w:val="20"/>
                <w:szCs w:val="20"/>
              </w:rPr>
              <w:t>）/</w:t>
            </w:r>
            <w:r>
              <w:rPr>
                <w:sz w:val="20"/>
                <w:szCs w:val="20"/>
              </w:rPr>
              <w:t>MPa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35" w:line="234" w:lineRule="auto"/>
              <w:ind w:left="242" w:right="225" w:hanging="7"/>
              <w:rPr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最大允许工作压力</w:t>
            </w:r>
            <w:r>
              <w:rPr>
                <w:spacing w:val="2"/>
                <w:sz w:val="20"/>
                <w:szCs w:val="20"/>
              </w:rPr>
              <w:t xml:space="preserve"> </w:t>
            </w:r>
            <w:r>
              <w:rPr>
                <w:spacing w:val="7"/>
                <w:sz w:val="20"/>
                <w:szCs w:val="20"/>
              </w:rPr>
              <w:t>（1.375</w:t>
            </w:r>
            <w:r>
              <w:rPr>
                <w:sz w:val="20"/>
                <w:szCs w:val="20"/>
              </w:rPr>
              <w:t>NWP</w:t>
            </w:r>
            <w:r>
              <w:rPr>
                <w:spacing w:val="7"/>
                <w:sz w:val="20"/>
                <w:szCs w:val="20"/>
              </w:rPr>
              <w:t>）/</w:t>
            </w:r>
            <w:r>
              <w:rPr>
                <w:sz w:val="20"/>
                <w:szCs w:val="20"/>
              </w:rPr>
              <w:t>MPa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276"/>
        </w:trPr>
        <w:tc>
          <w:tcPr>
            <w:tcW w:w="2133" w:type="dxa"/>
            <w:vAlign w:val="top"/>
          </w:tcPr>
          <w:p>
            <w:pPr>
              <w:pStyle w:val="TableText"/>
              <w:spacing w:before="68" w:line="182" w:lineRule="auto"/>
              <w:ind w:left="91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H35</w:t>
            </w: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68" w:line="182" w:lineRule="auto"/>
              <w:ind w:left="967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35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68" w:line="182" w:lineRule="auto"/>
              <w:ind w:left="80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43.75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67" w:line="183" w:lineRule="auto"/>
              <w:ind w:left="755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48.125</w:t>
            </w:r>
          </w:p>
        </w:tc>
      </w:tr>
      <w:tr>
        <w:tblPrEx>
          <w:tblW w:w="8526" w:type="dxa"/>
          <w:tblInd w:w="2" w:type="dxa"/>
          <w:tblLayout w:type="fixed"/>
        </w:tblPrEx>
        <w:trPr>
          <w:trHeight w:val="281"/>
        </w:trPr>
        <w:tc>
          <w:tcPr>
            <w:tcW w:w="2133" w:type="dxa"/>
            <w:vAlign w:val="top"/>
          </w:tcPr>
          <w:p>
            <w:pPr>
              <w:pStyle w:val="TableText"/>
              <w:spacing w:before="68" w:line="187" w:lineRule="auto"/>
              <w:ind w:left="910"/>
              <w:rPr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t>H70</w:t>
            </w:r>
          </w:p>
        </w:tc>
        <w:tc>
          <w:tcPr>
            <w:tcW w:w="2129" w:type="dxa"/>
            <w:vAlign w:val="top"/>
          </w:tcPr>
          <w:p>
            <w:pPr>
              <w:pStyle w:val="TableText"/>
              <w:spacing w:before="68" w:line="187" w:lineRule="auto"/>
              <w:ind w:left="968"/>
              <w:rPr>
                <w:sz w:val="20"/>
                <w:szCs w:val="20"/>
              </w:rPr>
            </w:pPr>
            <w:r>
              <w:rPr>
                <w:spacing w:val="-2"/>
                <w:sz w:val="20"/>
                <w:szCs w:val="20"/>
              </w:rPr>
              <w:t>70</w:t>
            </w:r>
          </w:p>
        </w:tc>
        <w:tc>
          <w:tcPr>
            <w:tcW w:w="2130" w:type="dxa"/>
            <w:vAlign w:val="top"/>
          </w:tcPr>
          <w:p>
            <w:pPr>
              <w:pStyle w:val="TableText"/>
              <w:spacing w:before="68" w:line="187" w:lineRule="auto"/>
              <w:ind w:left="861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87.5</w:t>
            </w:r>
          </w:p>
        </w:tc>
        <w:tc>
          <w:tcPr>
            <w:tcW w:w="2134" w:type="dxa"/>
            <w:vAlign w:val="top"/>
          </w:tcPr>
          <w:p>
            <w:pPr>
              <w:pStyle w:val="TableText"/>
              <w:spacing w:before="68" w:line="187" w:lineRule="auto"/>
              <w:ind w:left="809"/>
              <w:rPr>
                <w:sz w:val="20"/>
                <w:szCs w:val="20"/>
              </w:rPr>
            </w:pPr>
            <w:r>
              <w:rPr>
                <w:spacing w:val="3"/>
                <w:sz w:val="20"/>
                <w:szCs w:val="20"/>
              </w:rPr>
              <w:t>96.25</w:t>
            </w:r>
          </w:p>
        </w:tc>
      </w:tr>
    </w:tbl>
    <w:p>
      <w:pPr>
        <w:spacing w:before="113" w:line="221" w:lineRule="auto"/>
        <w:ind w:left="127"/>
        <w:rPr>
          <w:rFonts w:ascii="SimSun" w:eastAsia="SimSun" w:hAnsi="SimSun" w:cs="SimSun"/>
          <w:sz w:val="24"/>
          <w:szCs w:val="24"/>
        </w:rPr>
      </w:pPr>
      <w:hyperlink r:id="rId31" w:history="1">
        <w:r>
          <w:rPr>
            <w:rFonts w:ascii="SimSun" w:eastAsia="SimSun" w:hAnsi="SimSun" w:cs="SimSun"/>
            <w:spacing w:val="-2"/>
            <w:sz w:val="24"/>
            <w:szCs w:val="24"/>
          </w:rPr>
          <w:t>7.2.1.3</w:t>
        </w:r>
      </w:hyperlink>
      <w:r>
        <w:rPr>
          <w:rFonts w:ascii="SimSun" w:eastAsia="SimSun" w:hAnsi="SimSun" w:cs="SimSun"/>
          <w:spacing w:val="-2"/>
          <w:sz w:val="24"/>
          <w:szCs w:val="24"/>
        </w:rPr>
        <w:t xml:space="preserve"> 安全阀核查</w:t>
      </w:r>
    </w:p>
    <w:p>
      <w:pPr>
        <w:spacing w:before="181" w:line="219" w:lineRule="auto"/>
        <w:ind w:left="602"/>
        <w:rPr>
          <w:rFonts w:ascii="SimSun" w:eastAsia="SimSun" w:hAnsi="SimSun" w:cs="SimSun"/>
          <w:sz w:val="24"/>
          <w:szCs w:val="24"/>
        </w:rPr>
      </w:pPr>
      <w:r>
        <w:rPr>
          <w:rFonts w:ascii="SimSun" w:eastAsia="SimSun" w:hAnsi="SimSun" w:cs="SimSun"/>
          <w:spacing w:val="-1"/>
          <w:sz w:val="24"/>
          <w:szCs w:val="24"/>
        </w:rPr>
        <w:t>加氢机的加注管道上应设置全启式安全阀和相应的安全泄放措施。</w:t>
      </w:r>
    </w:p>
    <w:p>
      <w:pPr>
        <w:spacing w:before="183" w:line="221" w:lineRule="auto"/>
        <w:ind w:left="127"/>
        <w:rPr>
          <w:rFonts w:ascii="SimSun" w:eastAsia="SimSun" w:hAnsi="SimSun" w:cs="SimSun"/>
          <w:sz w:val="24"/>
          <w:szCs w:val="24"/>
        </w:rPr>
      </w:pPr>
      <w:hyperlink r:id="rId32" w:history="1">
        <w:r>
          <w:rPr>
            <w:rFonts w:ascii="SimSun" w:eastAsia="SimSun" w:hAnsi="SimSun" w:cs="SimSun"/>
            <w:spacing w:val="-2"/>
            <w:sz w:val="24"/>
            <w:szCs w:val="24"/>
          </w:rPr>
          <w:t>7.2.1.4</w:t>
        </w:r>
      </w:hyperlink>
      <w:r>
        <w:rPr>
          <w:rFonts w:ascii="SimSun" w:eastAsia="SimSun" w:hAnsi="SimSun" w:cs="SimSun"/>
          <w:spacing w:val="-2"/>
          <w:sz w:val="24"/>
          <w:szCs w:val="24"/>
        </w:rPr>
        <w:t xml:space="preserve">  气密性核查</w:t>
      </w:r>
      <w:r>
        <w:rPr>
          <w:rFonts w:ascii="SimSun" w:eastAsia="SimSun" w:hAnsi="SimSun" w:cs="SimSun"/>
          <w:sz w:val="24"/>
          <w:szCs w:val="24"/>
        </w:rPr>
        <w:br/>
      </w:r>
      <w:r>
        <w:rPr>
          <w:rFonts w:ascii="SimSun" w:eastAsia="SimSun" w:hAnsi="SimSun" w:cs="SimSun"/>
          <w:sz w:val="24"/>
          <w:szCs w:val="24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3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https://d.book118.com/627052101156006051</w:t>
        </w:r>
      </w:hyperlink>
    </w:p>
    <w:p>
      <w:pPr>
        <w:spacing w:before="183" w:line="221" w:lineRule="auto"/>
        <w:ind w:left="127"/>
        <w:rPr>
          <w:rFonts w:ascii="SimSun" w:eastAsia="SimSun" w:hAnsi="SimSun" w:cs="SimSun"/>
          <w:sz w:val="24"/>
          <w:szCs w:val="24"/>
        </w:rPr>
      </w:pPr>
    </w:p>
    <w:sectPr>
      <w:headerReference w:type="default" r:id="rId34"/>
      <w:footerReference w:type="default" r:id="rId35"/>
      <w:pgSz w:w="11906" w:h="16839"/>
      <w:pgMar w:top="1174" w:right="1687" w:bottom="645" w:left="1687" w:header="865" w:footer="459" w:gutter="0"/>
      <w:pgNumType w:start="1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-3"/>
        <w:sz w:val="20"/>
        <w:szCs w:val="20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1" w:lineRule="auto"/>
      <w:jc w:val="right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823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823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821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8219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0"/>
      <w:jc w:val="right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right="10"/>
      <w:jc w:val="right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4" w:lineRule="auto"/>
      <w:ind w:left="8316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pacing w:val="1"/>
        <w:sz w:val="20"/>
        <w:szCs w:val="20"/>
      </w:rPr>
      <w:t>4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996"/>
      <w:rPr>
        <w:rFonts w:ascii="SimHei" w:eastAsia="SimHei" w:hAnsi="SimHei" w:cs="SimHei"/>
        <w:sz w:val="20"/>
        <w:szCs w:val="20"/>
      </w:rPr>
    </w:pPr>
    <w:r>
      <w:pict>
        <v:shape id="_x0000_s2049" style="width:462.9pt;height:0.75pt;margin-top:57.15pt;margin-left:89.85pt;mso-position-horizontal-relative:page;mso-position-vertical-relative:page;position:absolute;z-index:251658240" coordorigin="0,0" coordsize="9257,15" o:allowincell="f" path="m,l9257,l9257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(京)107-2023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996"/>
      <w:rPr>
        <w:rFonts w:ascii="SimHei" w:eastAsia="SimHei" w:hAnsi="SimHei" w:cs="SimHei"/>
        <w:sz w:val="20"/>
        <w:szCs w:val="20"/>
      </w:rPr>
    </w:pPr>
    <w:r>
      <w:pict>
        <v:shape id="_x0000_s2050" style="width:462.9pt;height:0.75pt;margin-top:57.15pt;margin-left:89.85pt;mso-position-horizontal-relative:page;mso-position-vertical-relative:page;position:absolute;z-index:251659264" coordorigin="0,0" coordsize="9257,15" o:allowincell="f" path="m,l9257,l9257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(京)107-2023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862"/>
      <w:rPr>
        <w:rFonts w:ascii="SimHei" w:eastAsia="SimHei" w:hAnsi="SimHei" w:cs="SimHei"/>
        <w:sz w:val="20"/>
        <w:szCs w:val="20"/>
      </w:rPr>
    </w:pPr>
    <w:r>
      <w:pict>
        <v:shape id="_x0000_s2051" style="width:462.9pt;height:0.75pt;margin-top:57.15pt;margin-left:89.85pt;mso-position-horizontal-relative:page;mso-position-vertical-relative:page;position:absolute;z-index:251660288" coordorigin="0,0" coordsize="9257,15" o:allowincell="f" path="m,l9257,l9257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(京)107-2023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862"/>
      <w:rPr>
        <w:rFonts w:ascii="SimHei" w:eastAsia="SimHei" w:hAnsi="SimHei" w:cs="SimHei"/>
        <w:sz w:val="20"/>
        <w:szCs w:val="20"/>
      </w:rPr>
    </w:pPr>
    <w:r>
      <w:pict>
        <v:shape id="_x0000_s2052" style="width:462.9pt;height:0.75pt;margin-top:57.15pt;margin-left:89.85pt;mso-position-horizontal-relative:page;mso-position-vertical-relative:page;position:absolute;z-index:251661312" coordorigin="0,0" coordsize="9257,15" o:allowincell="f" path="m,l9257,l9257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(京)107-2023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862"/>
      <w:rPr>
        <w:rFonts w:ascii="SimHei" w:eastAsia="SimHei" w:hAnsi="SimHei" w:cs="SimHei"/>
        <w:sz w:val="20"/>
        <w:szCs w:val="20"/>
      </w:rPr>
    </w:pPr>
    <w:r>
      <w:pict>
        <v:shape id="_x0000_s2053" style="width:462.9pt;height:0.75pt;margin-top:57.15pt;margin-left:89.85pt;mso-position-horizontal-relative:page;mso-position-vertical-relative:page;position:absolute;z-index:251662336" coordorigin="0,0" coordsize="9257,15" o:allowincell="f" path="m,l9257,l9257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(京)107-2023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4" style="width:415.3pt;height:0.75pt;margin-top:57.15pt;margin-left:90pt;mso-position-horizontal-relative:page;mso-position-vertical-relative:page;position:absolute;z-index:251663360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(京)107-2023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5" style="width:415.3pt;height:0.75pt;margin-top:57.15pt;margin-left:90pt;mso-position-horizontal-relative:page;mso-position-vertical-relative:page;position:absolute;z-index:251664384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(京)107-2023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6" style="width:415.3pt;height:0.75pt;margin-top:57.15pt;margin-left:90pt;mso-position-horizontal-relative:page;mso-position-vertical-relative:page;position:absolute;z-index:251665408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(京)107-2023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7" style="width:415.3pt;height:0.75pt;margin-top:57.15pt;margin-left:90pt;mso-position-horizontal-relative:page;mso-position-vertical-relative:page;position:absolute;z-index:251666432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(京)107-2023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8" style="width:415.3pt;height:0.75pt;margin-top:57.15pt;margin-left:90pt;mso-position-horizontal-relative:page;mso-position-vertical-relative:page;position:absolute;z-index:251667456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(京)107-2023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389"/>
      <w:rPr>
        <w:rFonts w:ascii="SimHei" w:eastAsia="SimHei" w:hAnsi="SimHei" w:cs="SimHei"/>
        <w:sz w:val="20"/>
        <w:szCs w:val="20"/>
      </w:rPr>
    </w:pPr>
    <w:r>
      <w:pict>
        <v:shape id="_x0000_s2059" style="width:415.3pt;height:0.75pt;margin-top:57.15pt;margin-left:90pt;mso-position-horizontal-relative:page;mso-position-vertical-relative:page;position:absolute;z-index:251668480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(京)107-2023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6" w:line="231" w:lineRule="auto"/>
      <w:ind w:left="3488"/>
      <w:rPr>
        <w:rFonts w:ascii="SimHei" w:eastAsia="SimHei" w:hAnsi="SimHei" w:cs="SimHei"/>
        <w:sz w:val="20"/>
        <w:szCs w:val="20"/>
      </w:rPr>
    </w:pPr>
    <w:r>
      <w:pict>
        <v:shape id="_x0000_s2060" style="width:415.3pt;height:0.75pt;margin-top:57.15pt;margin-left:90pt;mso-position-horizontal-relative:page;mso-position-vertical-relative:page;position:absolute;z-index:251669504" coordorigin="0,0" coordsize="8305,15" o:allowincell="f" path="m,l8305,l8305,14l,14l,xe" filled="t" fillcolor="black" stroked="f"/>
      </w:pict>
    </w:r>
    <w:r>
      <w:rPr>
        <w:rFonts w:ascii="SimHei" w:eastAsia="SimHei" w:hAnsi="SimHei" w:cs="SimHei"/>
        <w:sz w:val="20"/>
        <w:szCs w:val="20"/>
      </w:rPr>
      <w:t>JJF</w:t>
    </w:r>
    <w:r>
      <w:rPr>
        <w:rFonts w:ascii="SimHei" w:eastAsia="SimHei" w:hAnsi="SimHei" w:cs="SimHei"/>
        <w:spacing w:val="5"/>
        <w:sz w:val="20"/>
        <w:szCs w:val="20"/>
      </w:rPr>
      <w:t>(京)107-2023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header" Target="header4.xml" /><Relationship Id="rId13" Type="http://schemas.openxmlformats.org/officeDocument/2006/relationships/footer" Target="footer1.xml" /><Relationship Id="rId14" Type="http://schemas.openxmlformats.org/officeDocument/2006/relationships/header" Target="header5.xml" /><Relationship Id="rId15" Type="http://schemas.openxmlformats.org/officeDocument/2006/relationships/footer" Target="footer2.xml" /><Relationship Id="rId16" Type="http://schemas.openxmlformats.org/officeDocument/2006/relationships/header" Target="header6.xml" /><Relationship Id="rId17" Type="http://schemas.openxmlformats.org/officeDocument/2006/relationships/footer" Target="footer3.xml" /><Relationship Id="rId18" Type="http://schemas.openxmlformats.org/officeDocument/2006/relationships/header" Target="header7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5.xml" /><Relationship Id="rId22" Type="http://schemas.openxmlformats.org/officeDocument/2006/relationships/image" Target="media/image6.jpeg" /><Relationship Id="rId23" Type="http://schemas.openxmlformats.org/officeDocument/2006/relationships/header" Target="header9.xml" /><Relationship Id="rId24" Type="http://schemas.openxmlformats.org/officeDocument/2006/relationships/footer" Target="footer6.xml" /><Relationship Id="rId25" Type="http://schemas.openxmlformats.org/officeDocument/2006/relationships/header" Target="header10.xml" /><Relationship Id="rId26" Type="http://schemas.openxmlformats.org/officeDocument/2006/relationships/footer" Target="footer7.xml" /><Relationship Id="rId27" Type="http://schemas.openxmlformats.org/officeDocument/2006/relationships/header" Target="header11.xml" /><Relationship Id="rId28" Type="http://schemas.openxmlformats.org/officeDocument/2006/relationships/footer" Target="footer8.xml" /><Relationship Id="rId29" Type="http://schemas.openxmlformats.org/officeDocument/2006/relationships/hyperlink" Target="7.2.1.1" TargetMode="External" /><Relationship Id="rId3" Type="http://schemas.openxmlformats.org/officeDocument/2006/relationships/fontTable" Target="fontTable.xml" /><Relationship Id="rId30" Type="http://schemas.openxmlformats.org/officeDocument/2006/relationships/hyperlink" Target="7.2.1.2" TargetMode="External" /><Relationship Id="rId31" Type="http://schemas.openxmlformats.org/officeDocument/2006/relationships/hyperlink" Target="7.2.1.3" TargetMode="External" /><Relationship Id="rId32" Type="http://schemas.openxmlformats.org/officeDocument/2006/relationships/hyperlink" Target="7.2.1.4" TargetMode="External" /><Relationship Id="rId33" Type="http://schemas.openxmlformats.org/officeDocument/2006/relationships/hyperlink" Target="https://d.book118.com/627052101156006051" TargetMode="External" /><Relationship Id="rId34" Type="http://schemas.openxmlformats.org/officeDocument/2006/relationships/header" Target="header12.xml" /><Relationship Id="rId35" Type="http://schemas.openxmlformats.org/officeDocument/2006/relationships/footer" Target="footer9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MT_TtV9</dc:creator>
  <cp:revision>0</cp:revision>
  <dcterms:created xsi:type="dcterms:W3CDTF">2023-06-15T11:05:28Z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2024-03-12T10:44:43Z</vt:filetime>
  </property>
  <property fmtid="{D5CDD505-2E9C-101B-9397-08002B2CF9AE}" pid="3" name="CRO">
    <vt:lpwstr>wqlLaW5nc29mdCBQREYgdG8gV1BTIDEwMA</vt:lpwstr>
  </property>
</Properties>
</file>