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微球载体材料项目规划设计蓝图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52" w:history="1">
        <w:r>
          <w:rPr>
            <w:rFonts w:ascii="仿宋" w:eastAsia="仿宋" w:hAnsi="仿宋" w:cs="仿宋" w:hint="eastAsia"/>
            <w:lang w:eastAsia="zh-CN"/>
          </w:rPr>
          <w:t>概论</w:t>
        </w:r>
        <w:r>
          <w:tab/>
        </w:r>
        <w:r>
          <w:fldChar w:fldCharType="begin"/>
        </w:r>
        <w:r>
          <w:instrText xml:space="preserve"> PAGEREF _Toc22952 \h </w:instrText>
        </w:r>
        <w:r>
          <w:fldChar w:fldCharType="separate"/>
        </w:r>
        <w:r>
          <w:t>3</w:t>
        </w:r>
        <w:r>
          <w:fldChar w:fldCharType="end"/>
        </w:r>
      </w:hyperlink>
    </w:p>
    <w:p>
      <w:pPr>
        <w:pStyle w:val="TOC1"/>
        <w:tabs>
          <w:tab w:val="right" w:leader="dot" w:pos="8306"/>
        </w:tabs>
      </w:pPr>
      <w:hyperlink w:anchor="_Toc22927" w:history="1">
        <w:r>
          <w:rPr>
            <w:rFonts w:ascii="仿宋" w:eastAsia="仿宋" w:hAnsi="仿宋" w:cs="仿宋" w:hint="eastAsia"/>
            <w:lang w:eastAsia="zh-CN"/>
          </w:rPr>
          <w:t>一、微球载体材料项目概论</w:t>
        </w:r>
        <w:r>
          <w:tab/>
        </w:r>
        <w:r>
          <w:fldChar w:fldCharType="begin"/>
        </w:r>
        <w:r>
          <w:instrText xml:space="preserve"> PAGEREF _Toc22927 \h </w:instrText>
        </w:r>
        <w:r>
          <w:fldChar w:fldCharType="separate"/>
        </w:r>
        <w:r>
          <w:t>3</w:t>
        </w:r>
        <w:r>
          <w:fldChar w:fldCharType="end"/>
        </w:r>
      </w:hyperlink>
    </w:p>
    <w:p>
      <w:pPr>
        <w:pStyle w:val="TOC2"/>
        <w:tabs>
          <w:tab w:val="right" w:leader="dot" w:pos="8306"/>
        </w:tabs>
      </w:pPr>
      <w:hyperlink w:anchor="_Toc20965" w:history="1">
        <w:r>
          <w:rPr>
            <w:rFonts w:ascii="仿宋" w:eastAsia="仿宋" w:hAnsi="仿宋" w:cs="仿宋" w:hint="eastAsia"/>
            <w:lang w:eastAsia="zh-CN"/>
          </w:rPr>
          <w:t>(一)、微球载体材料项目概况</w:t>
        </w:r>
        <w:r>
          <w:tab/>
        </w:r>
        <w:r>
          <w:fldChar w:fldCharType="begin"/>
        </w:r>
        <w:r>
          <w:instrText xml:space="preserve"> PAGEREF _Toc20965 \h </w:instrText>
        </w:r>
        <w:r>
          <w:fldChar w:fldCharType="separate"/>
        </w:r>
        <w:r>
          <w:t>3</w:t>
        </w:r>
        <w:r>
          <w:fldChar w:fldCharType="end"/>
        </w:r>
      </w:hyperlink>
    </w:p>
    <w:p>
      <w:pPr>
        <w:pStyle w:val="TOC2"/>
        <w:tabs>
          <w:tab w:val="right" w:leader="dot" w:pos="8306"/>
        </w:tabs>
      </w:pPr>
      <w:hyperlink w:anchor="_Toc7793" w:history="1">
        <w:r>
          <w:rPr>
            <w:rFonts w:ascii="仿宋" w:eastAsia="仿宋" w:hAnsi="仿宋" w:cs="仿宋" w:hint="eastAsia"/>
            <w:lang w:eastAsia="zh-CN"/>
          </w:rPr>
          <w:t>(二)、微球载体材料项目目标</w:t>
        </w:r>
        <w:r>
          <w:tab/>
        </w:r>
        <w:r>
          <w:fldChar w:fldCharType="begin"/>
        </w:r>
        <w:r>
          <w:instrText xml:space="preserve"> PAGEREF _Toc7793 \h </w:instrText>
        </w:r>
        <w:r>
          <w:fldChar w:fldCharType="separate"/>
        </w:r>
        <w:r>
          <w:t>5</w:t>
        </w:r>
        <w:r>
          <w:fldChar w:fldCharType="end"/>
        </w:r>
      </w:hyperlink>
    </w:p>
    <w:p>
      <w:pPr>
        <w:pStyle w:val="TOC2"/>
        <w:tabs>
          <w:tab w:val="right" w:leader="dot" w:pos="8306"/>
        </w:tabs>
      </w:pPr>
      <w:hyperlink w:anchor="_Toc32534" w:history="1">
        <w:r>
          <w:rPr>
            <w:rFonts w:ascii="仿宋" w:eastAsia="仿宋" w:hAnsi="仿宋" w:cs="仿宋" w:hint="eastAsia"/>
            <w:lang w:eastAsia="zh-CN"/>
          </w:rPr>
          <w:t>(三)、微球载体材料项目提出的理由</w:t>
        </w:r>
        <w:r>
          <w:tab/>
        </w:r>
        <w:r>
          <w:fldChar w:fldCharType="begin"/>
        </w:r>
        <w:r>
          <w:instrText xml:space="preserve"> PAGEREF _Toc32534 \h </w:instrText>
        </w:r>
        <w:r>
          <w:fldChar w:fldCharType="separate"/>
        </w:r>
        <w:r>
          <w:t>6</w:t>
        </w:r>
        <w:r>
          <w:fldChar w:fldCharType="end"/>
        </w:r>
      </w:hyperlink>
    </w:p>
    <w:p>
      <w:pPr>
        <w:pStyle w:val="TOC2"/>
        <w:tabs>
          <w:tab w:val="right" w:leader="dot" w:pos="8306"/>
        </w:tabs>
      </w:pPr>
      <w:hyperlink w:anchor="_Toc5500" w:history="1">
        <w:r>
          <w:rPr>
            <w:rFonts w:ascii="仿宋" w:eastAsia="仿宋" w:hAnsi="仿宋" w:cs="仿宋" w:hint="eastAsia"/>
            <w:lang w:eastAsia="zh-CN"/>
          </w:rPr>
          <w:t>(四)、微球载体材料项目意义</w:t>
        </w:r>
        <w:r>
          <w:tab/>
        </w:r>
        <w:r>
          <w:fldChar w:fldCharType="begin"/>
        </w:r>
        <w:r>
          <w:instrText xml:space="preserve"> PAGEREF _Toc5500 \h </w:instrText>
        </w:r>
        <w:r>
          <w:fldChar w:fldCharType="separate"/>
        </w:r>
        <w:r>
          <w:t>8</w:t>
        </w:r>
        <w:r>
          <w:fldChar w:fldCharType="end"/>
        </w:r>
      </w:hyperlink>
    </w:p>
    <w:p>
      <w:pPr>
        <w:pStyle w:val="TOC2"/>
        <w:tabs>
          <w:tab w:val="right" w:leader="dot" w:pos="8306"/>
        </w:tabs>
      </w:pPr>
      <w:hyperlink w:anchor="_Toc18363" w:history="1">
        <w:r>
          <w:rPr>
            <w:rFonts w:ascii="仿宋" w:eastAsia="仿宋" w:hAnsi="仿宋" w:cs="仿宋" w:hint="eastAsia"/>
            <w:lang w:eastAsia="zh-CN"/>
          </w:rPr>
          <w:t>(五)、微球载体材料项目背景</w:t>
        </w:r>
        <w:r>
          <w:tab/>
        </w:r>
        <w:r>
          <w:fldChar w:fldCharType="begin"/>
        </w:r>
        <w:r>
          <w:instrText xml:space="preserve"> PAGEREF _Toc18363 \h </w:instrText>
        </w:r>
        <w:r>
          <w:fldChar w:fldCharType="separate"/>
        </w:r>
        <w:r>
          <w:t>9</w:t>
        </w:r>
        <w:r>
          <w:fldChar w:fldCharType="end"/>
        </w:r>
      </w:hyperlink>
    </w:p>
    <w:p>
      <w:pPr>
        <w:pStyle w:val="TOC1"/>
        <w:tabs>
          <w:tab w:val="right" w:leader="dot" w:pos="8306"/>
        </w:tabs>
      </w:pPr>
      <w:hyperlink w:anchor="_Toc13656" w:history="1">
        <w:r>
          <w:rPr>
            <w:rFonts w:ascii="仿宋" w:eastAsia="仿宋" w:hAnsi="仿宋" w:cs="仿宋" w:hint="eastAsia"/>
            <w:lang w:eastAsia="zh-CN"/>
          </w:rPr>
          <w:t>二、微球载体材料项目建设单位说明</w:t>
        </w:r>
        <w:r>
          <w:tab/>
        </w:r>
        <w:r>
          <w:fldChar w:fldCharType="begin"/>
        </w:r>
        <w:r>
          <w:instrText xml:space="preserve"> PAGEREF _Toc13656 \h </w:instrText>
        </w:r>
        <w:r>
          <w:fldChar w:fldCharType="separate"/>
        </w:r>
        <w:r>
          <w:t>10</w:t>
        </w:r>
        <w:r>
          <w:fldChar w:fldCharType="end"/>
        </w:r>
      </w:hyperlink>
    </w:p>
    <w:p>
      <w:pPr>
        <w:pStyle w:val="TOC2"/>
        <w:tabs>
          <w:tab w:val="right" w:leader="dot" w:pos="8306"/>
        </w:tabs>
      </w:pPr>
      <w:hyperlink w:anchor="_Toc29022" w:history="1">
        <w:r>
          <w:rPr>
            <w:rFonts w:ascii="仿宋" w:eastAsia="仿宋" w:hAnsi="仿宋" w:cs="仿宋" w:hint="eastAsia"/>
            <w:lang w:eastAsia="zh-CN"/>
          </w:rPr>
          <w:t>(一)、微球载体材料项目承办单位基本情况</w:t>
        </w:r>
        <w:r>
          <w:tab/>
        </w:r>
        <w:r>
          <w:fldChar w:fldCharType="begin"/>
        </w:r>
        <w:r>
          <w:instrText xml:space="preserve"> PAGEREF _Toc29022 \h </w:instrText>
        </w:r>
        <w:r>
          <w:fldChar w:fldCharType="separate"/>
        </w:r>
        <w:r>
          <w:t>10</w:t>
        </w:r>
        <w:r>
          <w:fldChar w:fldCharType="end"/>
        </w:r>
      </w:hyperlink>
    </w:p>
    <w:p>
      <w:pPr>
        <w:pStyle w:val="TOC2"/>
        <w:tabs>
          <w:tab w:val="right" w:leader="dot" w:pos="8306"/>
        </w:tabs>
      </w:pPr>
      <w:hyperlink w:anchor="_Toc14567" w:history="1">
        <w:r>
          <w:rPr>
            <w:rFonts w:ascii="仿宋" w:eastAsia="仿宋" w:hAnsi="仿宋" w:cs="仿宋" w:hint="eastAsia"/>
            <w:lang w:eastAsia="zh-CN"/>
          </w:rPr>
          <w:t>(二)、公司经济效益分析</w:t>
        </w:r>
        <w:r>
          <w:tab/>
        </w:r>
        <w:r>
          <w:fldChar w:fldCharType="begin"/>
        </w:r>
        <w:r>
          <w:instrText xml:space="preserve"> PAGEREF _Toc14567 \h </w:instrText>
        </w:r>
        <w:r>
          <w:fldChar w:fldCharType="separate"/>
        </w:r>
        <w:r>
          <w:t>10</w:t>
        </w:r>
        <w:r>
          <w:fldChar w:fldCharType="end"/>
        </w:r>
      </w:hyperlink>
    </w:p>
    <w:p>
      <w:pPr>
        <w:pStyle w:val="TOC1"/>
        <w:tabs>
          <w:tab w:val="right" w:leader="dot" w:pos="8306"/>
        </w:tabs>
      </w:pPr>
      <w:hyperlink w:anchor="_Toc4335" w:history="1">
        <w:r>
          <w:rPr>
            <w:rFonts w:ascii="仿宋" w:eastAsia="仿宋" w:hAnsi="仿宋" w:cs="仿宋" w:hint="eastAsia"/>
            <w:lang w:eastAsia="zh-CN"/>
          </w:rPr>
          <w:t>三、微球载体材料项目建设背景及必要性分析</w:t>
        </w:r>
        <w:r>
          <w:tab/>
        </w:r>
        <w:r>
          <w:fldChar w:fldCharType="begin"/>
        </w:r>
        <w:r>
          <w:instrText xml:space="preserve"> PAGEREF _Toc4335 \h </w:instrText>
        </w:r>
        <w:r>
          <w:fldChar w:fldCharType="separate"/>
        </w:r>
        <w:r>
          <w:t>11</w:t>
        </w:r>
        <w:r>
          <w:fldChar w:fldCharType="end"/>
        </w:r>
      </w:hyperlink>
    </w:p>
    <w:p>
      <w:pPr>
        <w:pStyle w:val="TOC2"/>
        <w:tabs>
          <w:tab w:val="right" w:leader="dot" w:pos="8306"/>
        </w:tabs>
      </w:pPr>
      <w:hyperlink w:anchor="_Toc22686" w:history="1">
        <w:r>
          <w:rPr>
            <w:rFonts w:ascii="仿宋" w:eastAsia="仿宋" w:hAnsi="仿宋" w:cs="仿宋" w:hint="eastAsia"/>
            <w:lang w:eastAsia="zh-CN"/>
          </w:rPr>
          <w:t>(一)、微球载体材料项目背景分析</w:t>
        </w:r>
        <w:r>
          <w:tab/>
        </w:r>
        <w:r>
          <w:fldChar w:fldCharType="begin"/>
        </w:r>
        <w:r>
          <w:instrText xml:space="preserve"> PAGEREF _Toc22686 \h </w:instrText>
        </w:r>
        <w:r>
          <w:fldChar w:fldCharType="separate"/>
        </w:r>
        <w:r>
          <w:t>11</w:t>
        </w:r>
        <w:r>
          <w:fldChar w:fldCharType="end"/>
        </w:r>
      </w:hyperlink>
    </w:p>
    <w:p>
      <w:pPr>
        <w:pStyle w:val="TOC2"/>
        <w:tabs>
          <w:tab w:val="right" w:leader="dot" w:pos="8306"/>
        </w:tabs>
      </w:pPr>
      <w:hyperlink w:anchor="_Toc16174" w:history="1">
        <w:r>
          <w:rPr>
            <w:rFonts w:ascii="仿宋" w:eastAsia="仿宋" w:hAnsi="仿宋" w:cs="仿宋" w:hint="eastAsia"/>
            <w:lang w:eastAsia="zh-CN"/>
          </w:rPr>
          <w:t>(二)、微球载体材料项目建设必要性分析</w:t>
        </w:r>
        <w:r>
          <w:tab/>
        </w:r>
        <w:r>
          <w:fldChar w:fldCharType="begin"/>
        </w:r>
        <w:r>
          <w:instrText xml:space="preserve"> PAGEREF _Toc16174 \h </w:instrText>
        </w:r>
        <w:r>
          <w:fldChar w:fldCharType="separate"/>
        </w:r>
        <w:r>
          <w:t>13</w:t>
        </w:r>
        <w:r>
          <w:fldChar w:fldCharType="end"/>
        </w:r>
      </w:hyperlink>
    </w:p>
    <w:p>
      <w:pPr>
        <w:pStyle w:val="TOC1"/>
        <w:tabs>
          <w:tab w:val="right" w:leader="dot" w:pos="8306"/>
        </w:tabs>
      </w:pPr>
      <w:hyperlink w:anchor="_Toc3032" w:history="1">
        <w:r>
          <w:rPr>
            <w:rFonts w:ascii="仿宋" w:eastAsia="仿宋" w:hAnsi="仿宋" w:cs="仿宋" w:hint="eastAsia"/>
            <w:lang w:eastAsia="zh-CN"/>
          </w:rPr>
          <w:t>四、工艺说明</w:t>
        </w:r>
        <w:r>
          <w:tab/>
        </w:r>
        <w:r>
          <w:fldChar w:fldCharType="begin"/>
        </w:r>
        <w:r>
          <w:instrText xml:space="preserve"> PAGEREF _Toc3032 \h </w:instrText>
        </w:r>
        <w:r>
          <w:fldChar w:fldCharType="separate"/>
        </w:r>
        <w:r>
          <w:t>14</w:t>
        </w:r>
        <w:r>
          <w:fldChar w:fldCharType="end"/>
        </w:r>
      </w:hyperlink>
    </w:p>
    <w:p>
      <w:pPr>
        <w:pStyle w:val="TOC2"/>
        <w:tabs>
          <w:tab w:val="right" w:leader="dot" w:pos="8306"/>
        </w:tabs>
      </w:pPr>
      <w:hyperlink w:anchor="_Toc14652" w:history="1">
        <w:r>
          <w:rPr>
            <w:rFonts w:ascii="仿宋" w:eastAsia="仿宋" w:hAnsi="仿宋" w:cs="仿宋" w:hint="eastAsia"/>
            <w:lang w:eastAsia="zh-CN"/>
          </w:rPr>
          <w:t>(一)、技术管理特点</w:t>
        </w:r>
        <w:r>
          <w:tab/>
        </w:r>
        <w:r>
          <w:fldChar w:fldCharType="begin"/>
        </w:r>
        <w:r>
          <w:instrText xml:space="preserve"> PAGEREF _Toc14652 \h </w:instrText>
        </w:r>
        <w:r>
          <w:fldChar w:fldCharType="separate"/>
        </w:r>
        <w:r>
          <w:t>14</w:t>
        </w:r>
        <w:r>
          <w:fldChar w:fldCharType="end"/>
        </w:r>
      </w:hyperlink>
    </w:p>
    <w:p>
      <w:pPr>
        <w:pStyle w:val="TOC2"/>
        <w:tabs>
          <w:tab w:val="right" w:leader="dot" w:pos="8306"/>
        </w:tabs>
      </w:pPr>
      <w:hyperlink w:anchor="_Toc31133" w:history="1">
        <w:r>
          <w:rPr>
            <w:rFonts w:ascii="仿宋" w:eastAsia="仿宋" w:hAnsi="仿宋" w:cs="仿宋" w:hint="eastAsia"/>
            <w:lang w:eastAsia="zh-CN"/>
          </w:rPr>
          <w:t>(二)、微球载体材料项目工艺技术设计方案</w:t>
        </w:r>
        <w:r>
          <w:tab/>
        </w:r>
        <w:r>
          <w:fldChar w:fldCharType="begin"/>
        </w:r>
        <w:r>
          <w:instrText xml:space="preserve"> PAGEREF _Toc31133 \h </w:instrText>
        </w:r>
        <w:r>
          <w:fldChar w:fldCharType="separate"/>
        </w:r>
        <w:r>
          <w:t>15</w:t>
        </w:r>
        <w:r>
          <w:fldChar w:fldCharType="end"/>
        </w:r>
      </w:hyperlink>
    </w:p>
    <w:p>
      <w:pPr>
        <w:pStyle w:val="TOC2"/>
        <w:tabs>
          <w:tab w:val="right" w:leader="dot" w:pos="8306"/>
        </w:tabs>
      </w:pPr>
      <w:hyperlink w:anchor="_Toc5825" w:history="1">
        <w:r>
          <w:rPr>
            <w:rFonts w:ascii="仿宋" w:eastAsia="仿宋" w:hAnsi="仿宋" w:cs="仿宋" w:hint="eastAsia"/>
            <w:lang w:eastAsia="zh-CN"/>
          </w:rPr>
          <w:t>(三)、设备选型方案</w:t>
        </w:r>
        <w:r>
          <w:tab/>
        </w:r>
        <w:r>
          <w:fldChar w:fldCharType="begin"/>
        </w:r>
        <w:r>
          <w:instrText xml:space="preserve"> PAGEREF _Toc5825 \h </w:instrText>
        </w:r>
        <w:r>
          <w:fldChar w:fldCharType="separate"/>
        </w:r>
        <w:r>
          <w:t>17</w:t>
        </w:r>
        <w:r>
          <w:fldChar w:fldCharType="end"/>
        </w:r>
      </w:hyperlink>
    </w:p>
    <w:p>
      <w:pPr>
        <w:pStyle w:val="TOC1"/>
        <w:tabs>
          <w:tab w:val="right" w:leader="dot" w:pos="8306"/>
        </w:tabs>
      </w:pPr>
      <w:hyperlink w:anchor="_Toc15533" w:history="1">
        <w:r>
          <w:rPr>
            <w:rFonts w:ascii="仿宋" w:eastAsia="仿宋" w:hAnsi="仿宋" w:cs="仿宋" w:hint="eastAsia"/>
            <w:lang w:eastAsia="zh-CN"/>
          </w:rPr>
          <w:t>五、微球载体材料项目可持续发展</w:t>
        </w:r>
        <w:r>
          <w:tab/>
        </w:r>
        <w:r>
          <w:fldChar w:fldCharType="begin"/>
        </w:r>
        <w:r>
          <w:instrText xml:space="preserve"> PAGEREF _Toc15533 \h </w:instrText>
        </w:r>
        <w:r>
          <w:fldChar w:fldCharType="separate"/>
        </w:r>
        <w:r>
          <w:t>18</w:t>
        </w:r>
        <w:r>
          <w:fldChar w:fldCharType="end"/>
        </w:r>
      </w:hyperlink>
    </w:p>
    <w:p>
      <w:pPr>
        <w:pStyle w:val="TOC2"/>
        <w:tabs>
          <w:tab w:val="right" w:leader="dot" w:pos="8306"/>
        </w:tabs>
      </w:pPr>
      <w:hyperlink w:anchor="_Toc19028" w:history="1">
        <w:r>
          <w:rPr>
            <w:rFonts w:ascii="仿宋" w:eastAsia="仿宋" w:hAnsi="仿宋" w:cs="仿宋" w:hint="eastAsia"/>
            <w:lang w:eastAsia="zh-CN"/>
          </w:rPr>
          <w:t>(一)、可持续战略与实践</w:t>
        </w:r>
        <w:r>
          <w:tab/>
        </w:r>
        <w:r>
          <w:fldChar w:fldCharType="begin"/>
        </w:r>
        <w:r>
          <w:instrText xml:space="preserve"> PAGEREF _Toc19028 \h </w:instrText>
        </w:r>
        <w:r>
          <w:fldChar w:fldCharType="separate"/>
        </w:r>
        <w:r>
          <w:t>18</w:t>
        </w:r>
        <w:r>
          <w:fldChar w:fldCharType="end"/>
        </w:r>
      </w:hyperlink>
    </w:p>
    <w:p>
      <w:pPr>
        <w:pStyle w:val="TOC2"/>
        <w:tabs>
          <w:tab w:val="right" w:leader="dot" w:pos="8306"/>
        </w:tabs>
      </w:pPr>
      <w:hyperlink w:anchor="_Toc31949" w:history="1">
        <w:r>
          <w:rPr>
            <w:rFonts w:ascii="仿宋" w:eastAsia="仿宋" w:hAnsi="仿宋" w:cs="仿宋" w:hint="eastAsia"/>
            <w:lang w:eastAsia="zh-CN"/>
          </w:rPr>
          <w:t>(二)、环保与社会责任</w:t>
        </w:r>
        <w:r>
          <w:tab/>
        </w:r>
        <w:r>
          <w:fldChar w:fldCharType="begin"/>
        </w:r>
        <w:r>
          <w:instrText xml:space="preserve"> PAGEREF _Toc31949 \h </w:instrText>
        </w:r>
        <w:r>
          <w:fldChar w:fldCharType="separate"/>
        </w:r>
        <w:r>
          <w:t>19</w:t>
        </w:r>
        <w:r>
          <w:fldChar w:fldCharType="end"/>
        </w:r>
      </w:hyperlink>
    </w:p>
    <w:p>
      <w:pPr>
        <w:pStyle w:val="TOC1"/>
        <w:tabs>
          <w:tab w:val="right" w:leader="dot" w:pos="8306"/>
        </w:tabs>
      </w:pPr>
      <w:hyperlink w:anchor="_Toc1539" w:history="1">
        <w:r>
          <w:rPr>
            <w:rFonts w:ascii="仿宋" w:eastAsia="仿宋" w:hAnsi="仿宋" w:cs="仿宋" w:hint="eastAsia"/>
            <w:lang w:eastAsia="zh-CN"/>
          </w:rPr>
          <w:t>六、产品规划分析</w:t>
        </w:r>
        <w:r>
          <w:tab/>
        </w:r>
        <w:r>
          <w:fldChar w:fldCharType="begin"/>
        </w:r>
        <w:r>
          <w:instrText xml:space="preserve"> PAGEREF _Toc1539 \h </w:instrText>
        </w:r>
        <w:r>
          <w:fldChar w:fldCharType="separate"/>
        </w:r>
        <w:r>
          <w:t>20</w:t>
        </w:r>
        <w:r>
          <w:fldChar w:fldCharType="end"/>
        </w:r>
      </w:hyperlink>
    </w:p>
    <w:p>
      <w:pPr>
        <w:pStyle w:val="TOC2"/>
        <w:tabs>
          <w:tab w:val="right" w:leader="dot" w:pos="8306"/>
        </w:tabs>
      </w:pPr>
      <w:hyperlink w:anchor="_Toc12209" w:history="1">
        <w:r>
          <w:rPr>
            <w:rFonts w:ascii="仿宋" w:eastAsia="仿宋" w:hAnsi="仿宋" w:cs="仿宋" w:hint="eastAsia"/>
            <w:lang w:eastAsia="zh-CN"/>
          </w:rPr>
          <w:t>(一)、产品规划</w:t>
        </w:r>
        <w:r>
          <w:tab/>
        </w:r>
        <w:r>
          <w:fldChar w:fldCharType="begin"/>
        </w:r>
        <w:r>
          <w:instrText xml:space="preserve"> PAGEREF _Toc12209 \h </w:instrText>
        </w:r>
        <w:r>
          <w:fldChar w:fldCharType="separate"/>
        </w:r>
        <w:r>
          <w:t>20</w:t>
        </w:r>
        <w:r>
          <w:fldChar w:fldCharType="end"/>
        </w:r>
      </w:hyperlink>
    </w:p>
    <w:p>
      <w:pPr>
        <w:pStyle w:val="TOC2"/>
        <w:tabs>
          <w:tab w:val="right" w:leader="dot" w:pos="8306"/>
        </w:tabs>
      </w:pPr>
      <w:hyperlink w:anchor="_Toc11560" w:history="1">
        <w:r>
          <w:rPr>
            <w:rFonts w:ascii="仿宋" w:eastAsia="仿宋" w:hAnsi="仿宋" w:cs="仿宋" w:hint="eastAsia"/>
            <w:lang w:eastAsia="zh-CN"/>
          </w:rPr>
          <w:t>(二)、建设规模</w:t>
        </w:r>
        <w:r>
          <w:tab/>
        </w:r>
        <w:r>
          <w:fldChar w:fldCharType="begin"/>
        </w:r>
        <w:r>
          <w:instrText xml:space="preserve"> PAGEREF _Toc11560 \h </w:instrText>
        </w:r>
        <w:r>
          <w:fldChar w:fldCharType="separate"/>
        </w:r>
        <w:r>
          <w:t>21</w:t>
        </w:r>
        <w:r>
          <w:fldChar w:fldCharType="end"/>
        </w:r>
      </w:hyperlink>
    </w:p>
    <w:p>
      <w:pPr>
        <w:pStyle w:val="TOC1"/>
        <w:tabs>
          <w:tab w:val="right" w:leader="dot" w:pos="8306"/>
        </w:tabs>
      </w:pPr>
      <w:hyperlink w:anchor="_Toc9714" w:history="1">
        <w:r>
          <w:rPr>
            <w:rFonts w:ascii="仿宋" w:eastAsia="仿宋" w:hAnsi="仿宋" w:cs="仿宋" w:hint="eastAsia"/>
            <w:lang w:eastAsia="zh-CN"/>
          </w:rPr>
          <w:t>七、微球载体材料项目人力资源管理</w:t>
        </w:r>
        <w:r>
          <w:tab/>
        </w:r>
        <w:r>
          <w:fldChar w:fldCharType="begin"/>
        </w:r>
        <w:r>
          <w:instrText xml:space="preserve"> PAGEREF _Toc9714 \h </w:instrText>
        </w:r>
        <w:r>
          <w:fldChar w:fldCharType="separate"/>
        </w:r>
        <w:r>
          <w:t>22</w:t>
        </w:r>
        <w:r>
          <w:fldChar w:fldCharType="end"/>
        </w:r>
      </w:hyperlink>
    </w:p>
    <w:p>
      <w:pPr>
        <w:pStyle w:val="TOC2"/>
        <w:tabs>
          <w:tab w:val="right" w:leader="dot" w:pos="8306"/>
        </w:tabs>
      </w:pPr>
      <w:hyperlink w:anchor="_Toc1526" w:history="1">
        <w:r>
          <w:rPr>
            <w:rFonts w:ascii="仿宋" w:eastAsia="仿宋" w:hAnsi="仿宋" w:cs="仿宋" w:hint="eastAsia"/>
            <w:lang w:eastAsia="zh-CN"/>
          </w:rPr>
          <w:t>(一)、建立健全的预算管理制度</w:t>
        </w:r>
        <w:r>
          <w:tab/>
        </w:r>
        <w:r>
          <w:fldChar w:fldCharType="begin"/>
        </w:r>
        <w:r>
          <w:instrText xml:space="preserve"> PAGEREF _Toc1526 \h </w:instrText>
        </w:r>
        <w:r>
          <w:fldChar w:fldCharType="separate"/>
        </w:r>
        <w:r>
          <w:t>22</w:t>
        </w:r>
        <w:r>
          <w:fldChar w:fldCharType="end"/>
        </w:r>
      </w:hyperlink>
    </w:p>
    <w:p>
      <w:pPr>
        <w:pStyle w:val="TOC2"/>
        <w:tabs>
          <w:tab w:val="right" w:leader="dot" w:pos="8306"/>
        </w:tabs>
      </w:pPr>
      <w:hyperlink w:anchor="_Toc27888" w:history="1">
        <w:r>
          <w:rPr>
            <w:rFonts w:ascii="仿宋" w:eastAsia="仿宋" w:hAnsi="仿宋" w:cs="仿宋" w:hint="eastAsia"/>
            <w:lang w:eastAsia="zh-CN"/>
          </w:rPr>
          <w:t>(二)、加强资金流动监控</w:t>
        </w:r>
        <w:r>
          <w:tab/>
        </w:r>
        <w:r>
          <w:fldChar w:fldCharType="begin"/>
        </w:r>
        <w:r>
          <w:instrText xml:space="preserve"> PAGEREF _Toc27888 \h </w:instrText>
        </w:r>
        <w:r>
          <w:fldChar w:fldCharType="separate"/>
        </w:r>
        <w:r>
          <w:t>23</w:t>
        </w:r>
        <w:r>
          <w:fldChar w:fldCharType="end"/>
        </w:r>
      </w:hyperlink>
    </w:p>
    <w:p>
      <w:pPr>
        <w:pStyle w:val="TOC2"/>
        <w:tabs>
          <w:tab w:val="right" w:leader="dot" w:pos="8306"/>
        </w:tabs>
      </w:pPr>
      <w:hyperlink w:anchor="_Toc12387" w:history="1">
        <w:r>
          <w:rPr>
            <w:rFonts w:ascii="仿宋" w:eastAsia="仿宋" w:hAnsi="仿宋" w:cs="仿宋" w:hint="eastAsia"/>
            <w:lang w:eastAsia="zh-CN"/>
          </w:rPr>
          <w:t>(三)、制定完善的风险控制机制</w:t>
        </w:r>
        <w:r>
          <w:tab/>
        </w:r>
        <w:r>
          <w:fldChar w:fldCharType="begin"/>
        </w:r>
        <w:r>
          <w:instrText xml:space="preserve"> PAGEREF _Toc12387 \h </w:instrText>
        </w:r>
        <w:r>
          <w:fldChar w:fldCharType="separate"/>
        </w:r>
        <w:r>
          <w:t>24</w:t>
        </w:r>
        <w:r>
          <w:fldChar w:fldCharType="end"/>
        </w:r>
      </w:hyperlink>
    </w:p>
    <w:p>
      <w:pPr>
        <w:pStyle w:val="TOC2"/>
        <w:tabs>
          <w:tab w:val="right" w:leader="dot" w:pos="8306"/>
        </w:tabs>
      </w:pPr>
      <w:hyperlink w:anchor="_Toc5268" w:history="1">
        <w:r>
          <w:rPr>
            <w:rFonts w:ascii="仿宋" w:eastAsia="仿宋" w:hAnsi="仿宋" w:cs="仿宋" w:hint="eastAsia"/>
            <w:lang w:eastAsia="zh-CN"/>
          </w:rPr>
          <w:t>(四)、优化成本管理</w:t>
        </w:r>
        <w:r>
          <w:tab/>
        </w:r>
        <w:r>
          <w:fldChar w:fldCharType="begin"/>
        </w:r>
        <w:r>
          <w:instrText xml:space="preserve"> PAGEREF _Toc5268 \h </w:instrText>
        </w:r>
        <w:r>
          <w:fldChar w:fldCharType="separate"/>
        </w:r>
        <w:r>
          <w:t>26</w:t>
        </w:r>
        <w:r>
          <w:fldChar w:fldCharType="end"/>
        </w:r>
      </w:hyperlink>
    </w:p>
    <w:p>
      <w:pPr>
        <w:pStyle w:val="TOC1"/>
        <w:tabs>
          <w:tab w:val="right" w:leader="dot" w:pos="8306"/>
        </w:tabs>
      </w:pPr>
      <w:hyperlink w:anchor="_Toc21844" w:history="1">
        <w:r>
          <w:rPr>
            <w:rFonts w:ascii="仿宋" w:eastAsia="仿宋" w:hAnsi="仿宋" w:cs="仿宋" w:hint="eastAsia"/>
            <w:lang w:eastAsia="zh-CN"/>
          </w:rPr>
          <w:t>八、微球载体材料项目计划安排</w:t>
        </w:r>
        <w:r>
          <w:tab/>
        </w:r>
        <w:r>
          <w:fldChar w:fldCharType="begin"/>
        </w:r>
        <w:r>
          <w:instrText xml:space="preserve"> PAGEREF _Toc21844 \h </w:instrText>
        </w:r>
        <w:r>
          <w:fldChar w:fldCharType="separate"/>
        </w:r>
        <w:r>
          <w:t>27</w:t>
        </w:r>
        <w:r>
          <w:fldChar w:fldCharType="end"/>
        </w:r>
      </w:hyperlink>
    </w:p>
    <w:p>
      <w:pPr>
        <w:pStyle w:val="TOC2"/>
        <w:tabs>
          <w:tab w:val="right" w:leader="dot" w:pos="8306"/>
        </w:tabs>
      </w:pPr>
      <w:hyperlink w:anchor="_Toc8266" w:history="1">
        <w:r>
          <w:rPr>
            <w:rFonts w:ascii="仿宋" w:eastAsia="仿宋" w:hAnsi="仿宋" w:cs="仿宋" w:hint="eastAsia"/>
            <w:lang w:eastAsia="zh-CN"/>
          </w:rPr>
          <w:t>(一)、建设周期</w:t>
        </w:r>
        <w:r>
          <w:tab/>
        </w:r>
        <w:r>
          <w:fldChar w:fldCharType="begin"/>
        </w:r>
        <w:r>
          <w:instrText xml:space="preserve"> PAGEREF _Toc8266 \h </w:instrText>
        </w:r>
        <w:r>
          <w:fldChar w:fldCharType="separate"/>
        </w:r>
        <w:r>
          <w:t>27</w:t>
        </w:r>
        <w:r>
          <w:fldChar w:fldCharType="end"/>
        </w:r>
      </w:hyperlink>
    </w:p>
    <w:p>
      <w:pPr>
        <w:pStyle w:val="TOC2"/>
        <w:tabs>
          <w:tab w:val="right" w:leader="dot" w:pos="8306"/>
        </w:tabs>
      </w:pPr>
      <w:hyperlink w:anchor="_Toc22583" w:history="1">
        <w:r>
          <w:rPr>
            <w:rFonts w:ascii="仿宋" w:eastAsia="仿宋" w:hAnsi="仿宋" w:cs="仿宋" w:hint="eastAsia"/>
            <w:lang w:eastAsia="zh-CN"/>
          </w:rPr>
          <w:t>(二)、建设进度</w:t>
        </w:r>
        <w:r>
          <w:tab/>
        </w:r>
        <w:r>
          <w:fldChar w:fldCharType="begin"/>
        </w:r>
        <w:r>
          <w:instrText xml:space="preserve"> PAGEREF _Toc22583 \h </w:instrText>
        </w:r>
        <w:r>
          <w:fldChar w:fldCharType="separate"/>
        </w:r>
        <w:r>
          <w:t>28</w:t>
        </w:r>
        <w:r>
          <w:fldChar w:fldCharType="end"/>
        </w:r>
      </w:hyperlink>
    </w:p>
    <w:p>
      <w:pPr>
        <w:pStyle w:val="TOC2"/>
        <w:tabs>
          <w:tab w:val="right" w:leader="dot" w:pos="8306"/>
        </w:tabs>
      </w:pPr>
      <w:hyperlink w:anchor="_Toc25776" w:history="1">
        <w:r>
          <w:rPr>
            <w:rFonts w:ascii="仿宋" w:eastAsia="仿宋" w:hAnsi="仿宋" w:cs="仿宋" w:hint="eastAsia"/>
            <w:lang w:eastAsia="zh-CN"/>
          </w:rPr>
          <w:t>(三)、进度安排注意事项</w:t>
        </w:r>
        <w:r>
          <w:tab/>
        </w:r>
        <w:r>
          <w:fldChar w:fldCharType="begin"/>
        </w:r>
        <w:r>
          <w:instrText xml:space="preserve"> PAGEREF _Toc25776 \h </w:instrText>
        </w:r>
        <w:r>
          <w:fldChar w:fldCharType="separate"/>
        </w:r>
        <w:r>
          <w:t>29</w:t>
        </w:r>
        <w:r>
          <w:fldChar w:fldCharType="end"/>
        </w:r>
      </w:hyperlink>
    </w:p>
    <w:p>
      <w:pPr>
        <w:pStyle w:val="TOC2"/>
        <w:tabs>
          <w:tab w:val="right" w:leader="dot" w:pos="8306"/>
        </w:tabs>
      </w:pPr>
      <w:hyperlink w:anchor="_Toc26230" w:history="1">
        <w:r>
          <w:rPr>
            <w:rFonts w:ascii="仿宋" w:eastAsia="仿宋" w:hAnsi="仿宋" w:cs="仿宋" w:hint="eastAsia"/>
            <w:lang w:eastAsia="zh-CN"/>
          </w:rPr>
          <w:t>(四)、人力资源配置</w:t>
        </w:r>
        <w:r>
          <w:tab/>
        </w:r>
        <w:r>
          <w:fldChar w:fldCharType="begin"/>
        </w:r>
        <w:r>
          <w:instrText xml:space="preserve"> PAGEREF _Toc26230 \h </w:instrText>
        </w:r>
        <w:r>
          <w:fldChar w:fldCharType="separate"/>
        </w:r>
        <w:r>
          <w:t>31</w:t>
        </w:r>
        <w:r>
          <w:fldChar w:fldCharType="end"/>
        </w:r>
      </w:hyperlink>
    </w:p>
    <w:p>
      <w:pPr>
        <w:pStyle w:val="TOC1"/>
        <w:tabs>
          <w:tab w:val="right" w:leader="dot" w:pos="8306"/>
        </w:tabs>
      </w:pPr>
      <w:hyperlink w:anchor="_Toc24519" w:history="1">
        <w:r>
          <w:rPr>
            <w:rFonts w:ascii="仿宋" w:eastAsia="仿宋" w:hAnsi="仿宋" w:cs="仿宋" w:hint="eastAsia"/>
            <w:lang w:eastAsia="zh-CN"/>
          </w:rPr>
          <w:t>九、微球载体材料项目财务管理</w:t>
        </w:r>
        <w:r>
          <w:tab/>
        </w:r>
        <w:r>
          <w:fldChar w:fldCharType="begin"/>
        </w:r>
        <w:r>
          <w:instrText xml:space="preserve"> PAGEREF _Toc24519 \h </w:instrText>
        </w:r>
        <w:r>
          <w:fldChar w:fldCharType="separate"/>
        </w:r>
        <w:r>
          <w:t>31</w:t>
        </w:r>
        <w:r>
          <w:fldChar w:fldCharType="end"/>
        </w:r>
      </w:hyperlink>
    </w:p>
    <w:p>
      <w:pPr>
        <w:pStyle w:val="TOC2"/>
        <w:tabs>
          <w:tab w:val="right" w:leader="dot" w:pos="8306"/>
        </w:tabs>
      </w:pPr>
      <w:hyperlink w:anchor="_Toc23389" w:history="1">
        <w:r>
          <w:rPr>
            <w:rFonts w:ascii="仿宋" w:eastAsia="仿宋" w:hAnsi="仿宋" w:cs="仿宋" w:hint="eastAsia"/>
            <w:lang w:eastAsia="zh-CN"/>
          </w:rPr>
          <w:t>(一)、资金需求大</w:t>
        </w:r>
        <w:r>
          <w:tab/>
        </w:r>
        <w:r>
          <w:fldChar w:fldCharType="begin"/>
        </w:r>
        <w:r>
          <w:instrText xml:space="preserve"> PAGEREF _Toc23389 \h </w:instrText>
        </w:r>
        <w:r>
          <w:fldChar w:fldCharType="separate"/>
        </w:r>
        <w:r>
          <w:t>31</w:t>
        </w:r>
        <w:r>
          <w:fldChar w:fldCharType="end"/>
        </w:r>
      </w:hyperlink>
    </w:p>
    <w:p>
      <w:pPr>
        <w:pStyle w:val="TOC2"/>
        <w:tabs>
          <w:tab w:val="right" w:leader="dot" w:pos="8306"/>
        </w:tabs>
      </w:pPr>
      <w:hyperlink w:anchor="_Toc18349" w:history="1">
        <w:r>
          <w:rPr>
            <w:rFonts w:ascii="仿宋" w:eastAsia="仿宋" w:hAnsi="仿宋" w:cs="仿宋" w:hint="eastAsia"/>
            <w:lang w:eastAsia="zh-CN"/>
          </w:rPr>
          <w:t>(二)、研发周期长</w:t>
        </w:r>
        <w:r>
          <w:tab/>
        </w:r>
        <w:r>
          <w:fldChar w:fldCharType="begin"/>
        </w:r>
        <w:r>
          <w:instrText xml:space="preserve"> PAGEREF _Toc18349 \h </w:instrText>
        </w:r>
        <w:r>
          <w:fldChar w:fldCharType="separate"/>
        </w:r>
        <w:r>
          <w:t>32</w:t>
        </w:r>
        <w:r>
          <w:fldChar w:fldCharType="end"/>
        </w:r>
      </w:hyperlink>
    </w:p>
    <w:p>
      <w:pPr>
        <w:pStyle w:val="TOC2"/>
        <w:tabs>
          <w:tab w:val="right" w:leader="dot" w:pos="8306"/>
        </w:tabs>
      </w:pPr>
      <w:hyperlink w:anchor="_Toc25716" w:history="1">
        <w:r>
          <w:rPr>
            <w:rFonts w:ascii="仿宋" w:eastAsia="仿宋" w:hAnsi="仿宋" w:cs="仿宋" w:hint="eastAsia"/>
            <w:lang w:eastAsia="zh-CN"/>
          </w:rPr>
          <w:t>(三)、市场风险大</w:t>
        </w:r>
        <w:r>
          <w:tab/>
        </w:r>
        <w:r>
          <w:fldChar w:fldCharType="begin"/>
        </w:r>
        <w:r>
          <w:instrText xml:space="preserve"> PAGEREF _Toc25716 \h </w:instrText>
        </w:r>
        <w:r>
          <w:fldChar w:fldCharType="separate"/>
        </w:r>
        <w:r>
          <w:t>34</w:t>
        </w:r>
        <w:r>
          <w:fldChar w:fldCharType="end"/>
        </w:r>
      </w:hyperlink>
    </w:p>
    <w:p>
      <w:pPr>
        <w:pStyle w:val="TOC2"/>
        <w:tabs>
          <w:tab w:val="right" w:leader="dot" w:pos="8306"/>
        </w:tabs>
      </w:pPr>
      <w:hyperlink w:anchor="_Toc11306" w:history="1">
        <w:r>
          <w:rPr>
            <w:rFonts w:ascii="仿宋" w:eastAsia="仿宋" w:hAnsi="仿宋" w:cs="仿宋" w:hint="eastAsia"/>
            <w:lang w:eastAsia="zh-CN"/>
          </w:rPr>
          <w:t>(四)、利润率高</w:t>
        </w:r>
        <w:r>
          <w:tab/>
        </w:r>
        <w:r>
          <w:fldChar w:fldCharType="begin"/>
        </w:r>
        <w:r>
          <w:instrText xml:space="preserve"> PAGEREF _Toc11306 \h </w:instrText>
        </w:r>
        <w:r>
          <w:fldChar w:fldCharType="separate"/>
        </w:r>
        <w:r>
          <w:t>36</w:t>
        </w:r>
        <w:r>
          <w:fldChar w:fldCharType="end"/>
        </w:r>
      </w:hyperlink>
    </w:p>
    <w:p>
      <w:pPr>
        <w:pStyle w:val="TOC1"/>
        <w:tabs>
          <w:tab w:val="right" w:leader="dot" w:pos="8306"/>
        </w:tabs>
      </w:pPr>
      <w:hyperlink w:anchor="_Toc29015" w:history="1">
        <w:r>
          <w:rPr>
            <w:rFonts w:ascii="仿宋" w:eastAsia="仿宋" w:hAnsi="仿宋" w:cs="仿宋" w:hint="eastAsia"/>
            <w:lang w:eastAsia="zh-CN"/>
          </w:rPr>
          <w:t>十、微球载体材料项目投资规划</w:t>
        </w:r>
        <w:r>
          <w:tab/>
        </w:r>
        <w:r>
          <w:fldChar w:fldCharType="begin"/>
        </w:r>
        <w:r>
          <w:instrText xml:space="preserve"> PAGEREF _Toc29015 \h </w:instrText>
        </w:r>
        <w:r>
          <w:fldChar w:fldCharType="separate"/>
        </w:r>
        <w:r>
          <w:t>39</w:t>
        </w:r>
        <w:r>
          <w:fldChar w:fldCharType="end"/>
        </w:r>
      </w:hyperlink>
    </w:p>
    <w:p>
      <w:pPr>
        <w:pStyle w:val="TOC2"/>
        <w:tabs>
          <w:tab w:val="right" w:leader="dot" w:pos="8306"/>
        </w:tabs>
      </w:pPr>
      <w:hyperlink w:anchor="_Toc10641" w:history="1">
        <w:r>
          <w:rPr>
            <w:rFonts w:ascii="仿宋" w:eastAsia="仿宋" w:hAnsi="仿宋" w:cs="仿宋" w:hint="eastAsia"/>
            <w:lang w:eastAsia="zh-CN"/>
          </w:rPr>
          <w:t>(一)、微球载体材料项目总投资估算</w:t>
        </w:r>
        <w:r>
          <w:tab/>
        </w:r>
        <w:r>
          <w:fldChar w:fldCharType="begin"/>
        </w:r>
        <w:r>
          <w:instrText xml:space="preserve"> PAGEREF _Toc10641 \h </w:instrText>
        </w:r>
        <w:r>
          <w:fldChar w:fldCharType="separate"/>
        </w:r>
        <w:r>
          <w:t>39</w:t>
        </w:r>
        <w:r>
          <w:fldChar w:fldCharType="end"/>
        </w:r>
      </w:hyperlink>
    </w:p>
    <w:p>
      <w:pPr>
        <w:pStyle w:val="TOC2"/>
        <w:tabs>
          <w:tab w:val="right" w:leader="dot" w:pos="8306"/>
        </w:tabs>
      </w:pPr>
      <w:hyperlink w:anchor="_Toc5006" w:history="1">
        <w:r>
          <w:rPr>
            <w:rFonts w:ascii="仿宋" w:eastAsia="仿宋" w:hAnsi="仿宋" w:cs="仿宋" w:hint="eastAsia"/>
            <w:lang w:eastAsia="zh-CN"/>
          </w:rPr>
          <w:t>(二)、资金筹措</w:t>
        </w:r>
        <w:r>
          <w:tab/>
        </w:r>
        <w:r>
          <w:fldChar w:fldCharType="begin"/>
        </w:r>
        <w:r>
          <w:instrText xml:space="preserve"> PAGEREF _Toc5006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1" w:history="1">
        <w:r>
          <w:rPr>
            <w:rFonts w:ascii="仿宋" w:eastAsia="仿宋" w:hAnsi="仿宋" w:cs="仿宋" w:hint="eastAsia"/>
            <w:lang w:eastAsia="zh-CN"/>
          </w:rPr>
          <w:t>十一、微球载体材料项目创新与研发</w:t>
        </w:r>
        <w:r>
          <w:tab/>
        </w:r>
        <w:r>
          <w:fldChar w:fldCharType="begin"/>
        </w:r>
        <w:r>
          <w:instrText xml:space="preserve"> PAGEREF _Toc24521 \h </w:instrText>
        </w:r>
        <w:r>
          <w:fldChar w:fldCharType="separate"/>
        </w:r>
        <w:r>
          <w:t>41</w:t>
        </w:r>
        <w:r>
          <w:fldChar w:fldCharType="end"/>
        </w:r>
      </w:hyperlink>
    </w:p>
    <w:p>
      <w:pPr>
        <w:pStyle w:val="TOC2"/>
        <w:tabs>
          <w:tab w:val="right" w:leader="dot" w:pos="8306"/>
        </w:tabs>
      </w:pPr>
      <w:hyperlink w:anchor="_Toc22009" w:history="1">
        <w:r>
          <w:rPr>
            <w:rFonts w:ascii="仿宋" w:eastAsia="仿宋" w:hAnsi="仿宋" w:cs="仿宋" w:hint="eastAsia"/>
            <w:lang w:eastAsia="zh-CN"/>
          </w:rPr>
          <w:t>(一)、创新策略与方向</w:t>
        </w:r>
        <w:r>
          <w:tab/>
        </w:r>
        <w:r>
          <w:fldChar w:fldCharType="begin"/>
        </w:r>
        <w:r>
          <w:instrText xml:space="preserve"> PAGEREF _Toc22009 \h </w:instrText>
        </w:r>
        <w:r>
          <w:fldChar w:fldCharType="separate"/>
        </w:r>
        <w:r>
          <w:t>41</w:t>
        </w:r>
        <w:r>
          <w:fldChar w:fldCharType="end"/>
        </w:r>
      </w:hyperlink>
    </w:p>
    <w:p>
      <w:pPr>
        <w:pStyle w:val="TOC2"/>
        <w:tabs>
          <w:tab w:val="right" w:leader="dot" w:pos="8306"/>
        </w:tabs>
      </w:pPr>
      <w:hyperlink w:anchor="_Toc13941" w:history="1">
        <w:r>
          <w:rPr>
            <w:rFonts w:ascii="仿宋" w:eastAsia="仿宋" w:hAnsi="仿宋" w:cs="仿宋" w:hint="eastAsia"/>
            <w:lang w:eastAsia="zh-CN"/>
          </w:rPr>
          <w:t>(二)、研发规划与投入</w:t>
        </w:r>
        <w:r>
          <w:tab/>
        </w:r>
        <w:r>
          <w:fldChar w:fldCharType="begin"/>
        </w:r>
        <w:r>
          <w:instrText xml:space="preserve"> PAGEREF _Toc13941 \h </w:instrText>
        </w:r>
        <w:r>
          <w:fldChar w:fldCharType="separate"/>
        </w:r>
        <w:r>
          <w:t>42</w:t>
        </w:r>
        <w:r>
          <w:fldChar w:fldCharType="end"/>
        </w:r>
      </w:hyperlink>
    </w:p>
    <w:p>
      <w:pPr>
        <w:pStyle w:val="TOC1"/>
        <w:tabs>
          <w:tab w:val="right" w:leader="dot" w:pos="8306"/>
        </w:tabs>
      </w:pPr>
      <w:hyperlink w:anchor="_Toc4298" w:history="1">
        <w:r>
          <w:rPr>
            <w:rFonts w:ascii="仿宋" w:eastAsia="仿宋" w:hAnsi="仿宋" w:cs="仿宋" w:hint="eastAsia"/>
            <w:lang w:eastAsia="zh-CN"/>
          </w:rPr>
          <w:t>十二、微球载体材料项目社会影响</w:t>
        </w:r>
        <w:r>
          <w:tab/>
        </w:r>
        <w:r>
          <w:fldChar w:fldCharType="begin"/>
        </w:r>
        <w:r>
          <w:instrText xml:space="preserve"> PAGEREF _Toc4298 \h </w:instrText>
        </w:r>
        <w:r>
          <w:fldChar w:fldCharType="separate"/>
        </w:r>
        <w:r>
          <w:t>44</w:t>
        </w:r>
        <w:r>
          <w:fldChar w:fldCharType="end"/>
        </w:r>
      </w:hyperlink>
    </w:p>
    <w:p>
      <w:pPr>
        <w:pStyle w:val="TOC2"/>
        <w:tabs>
          <w:tab w:val="right" w:leader="dot" w:pos="8306"/>
        </w:tabs>
      </w:pPr>
      <w:hyperlink w:anchor="_Toc32667" w:history="1">
        <w:r>
          <w:rPr>
            <w:rFonts w:ascii="仿宋" w:eastAsia="仿宋" w:hAnsi="仿宋" w:cs="仿宋" w:hint="eastAsia"/>
            <w:lang w:eastAsia="zh-CN"/>
          </w:rPr>
          <w:t>(一)、社会责任与义务</w:t>
        </w:r>
        <w:r>
          <w:tab/>
        </w:r>
        <w:r>
          <w:fldChar w:fldCharType="begin"/>
        </w:r>
        <w:r>
          <w:instrText xml:space="preserve"> PAGEREF _Toc32667 \h </w:instrText>
        </w:r>
        <w:r>
          <w:fldChar w:fldCharType="separate"/>
        </w:r>
        <w:r>
          <w:t>44</w:t>
        </w:r>
        <w:r>
          <w:fldChar w:fldCharType="end"/>
        </w:r>
      </w:hyperlink>
    </w:p>
    <w:p>
      <w:pPr>
        <w:pStyle w:val="TOC2"/>
        <w:tabs>
          <w:tab w:val="right" w:leader="dot" w:pos="8306"/>
        </w:tabs>
      </w:pPr>
      <w:hyperlink w:anchor="_Toc9767" w:history="1">
        <w:r>
          <w:rPr>
            <w:rFonts w:ascii="仿宋" w:eastAsia="仿宋" w:hAnsi="仿宋" w:cs="仿宋" w:hint="eastAsia"/>
            <w:lang w:eastAsia="zh-CN"/>
          </w:rPr>
          <w:t>(二)、社会参与与沟通</w:t>
        </w:r>
        <w:r>
          <w:tab/>
        </w:r>
        <w:r>
          <w:fldChar w:fldCharType="begin"/>
        </w:r>
        <w:r>
          <w:instrText xml:space="preserve"> PAGEREF _Toc9767 \h </w:instrText>
        </w:r>
        <w:r>
          <w:fldChar w:fldCharType="separate"/>
        </w:r>
        <w:r>
          <w:t>45</w:t>
        </w:r>
        <w:r>
          <w:fldChar w:fldCharType="end"/>
        </w:r>
      </w:hyperlink>
    </w:p>
    <w:p>
      <w:pPr>
        <w:pStyle w:val="TOC1"/>
        <w:tabs>
          <w:tab w:val="right" w:leader="dot" w:pos="8306"/>
        </w:tabs>
      </w:pPr>
      <w:hyperlink w:anchor="_Toc21559" w:history="1">
        <w:r>
          <w:rPr>
            <w:rFonts w:ascii="仿宋" w:eastAsia="仿宋" w:hAnsi="仿宋" w:cs="仿宋" w:hint="eastAsia"/>
            <w:lang w:eastAsia="zh-CN"/>
          </w:rPr>
          <w:t>十三、微球载体材料项目治理与监督</w:t>
        </w:r>
        <w:r>
          <w:tab/>
        </w:r>
        <w:r>
          <w:fldChar w:fldCharType="begin"/>
        </w:r>
        <w:r>
          <w:instrText xml:space="preserve"> PAGEREF _Toc21559 \h </w:instrText>
        </w:r>
        <w:r>
          <w:fldChar w:fldCharType="separate"/>
        </w:r>
        <w:r>
          <w:t>45</w:t>
        </w:r>
        <w:r>
          <w:fldChar w:fldCharType="end"/>
        </w:r>
      </w:hyperlink>
    </w:p>
    <w:p>
      <w:pPr>
        <w:pStyle w:val="TOC2"/>
        <w:tabs>
          <w:tab w:val="right" w:leader="dot" w:pos="8306"/>
        </w:tabs>
      </w:pPr>
      <w:hyperlink w:anchor="_Toc13535" w:history="1">
        <w:r>
          <w:rPr>
            <w:rFonts w:ascii="仿宋" w:eastAsia="仿宋" w:hAnsi="仿宋" w:cs="仿宋" w:hint="eastAsia"/>
            <w:lang w:eastAsia="zh-CN"/>
          </w:rPr>
          <w:t>(一)、微球载体材料项目治理结构</w:t>
        </w:r>
        <w:r>
          <w:tab/>
        </w:r>
        <w:r>
          <w:fldChar w:fldCharType="begin"/>
        </w:r>
        <w:r>
          <w:instrText xml:space="preserve"> PAGEREF _Toc13535 \h </w:instrText>
        </w:r>
        <w:r>
          <w:fldChar w:fldCharType="separate"/>
        </w:r>
        <w:r>
          <w:t>45</w:t>
        </w:r>
        <w:r>
          <w:fldChar w:fldCharType="end"/>
        </w:r>
      </w:hyperlink>
    </w:p>
    <w:p>
      <w:pPr>
        <w:pStyle w:val="TOC2"/>
        <w:tabs>
          <w:tab w:val="right" w:leader="dot" w:pos="8306"/>
        </w:tabs>
      </w:pPr>
      <w:hyperlink w:anchor="_Toc8851" w:history="1">
        <w:r>
          <w:rPr>
            <w:rFonts w:ascii="仿宋" w:eastAsia="仿宋" w:hAnsi="仿宋" w:cs="仿宋" w:hint="eastAsia"/>
            <w:lang w:eastAsia="zh-CN"/>
          </w:rPr>
          <w:t>(二)、监督与审计</w:t>
        </w:r>
        <w:r>
          <w:tab/>
        </w:r>
        <w:r>
          <w:fldChar w:fldCharType="begin"/>
        </w:r>
        <w:r>
          <w:instrText xml:space="preserve"> PAGEREF _Toc8851 \h </w:instrText>
        </w:r>
        <w:r>
          <w:fldChar w:fldCharType="separate"/>
        </w:r>
        <w:r>
          <w:t>47</w:t>
        </w:r>
        <w:r>
          <w:fldChar w:fldCharType="end"/>
        </w:r>
      </w:hyperlink>
    </w:p>
    <w:p>
      <w:pPr>
        <w:pStyle w:val="TOC1"/>
        <w:tabs>
          <w:tab w:val="right" w:leader="dot" w:pos="8306"/>
        </w:tabs>
      </w:pPr>
      <w:hyperlink w:anchor="_Toc31200" w:history="1">
        <w:r>
          <w:rPr>
            <w:rFonts w:ascii="仿宋" w:eastAsia="仿宋" w:hAnsi="仿宋" w:cs="仿宋" w:hint="eastAsia"/>
            <w:lang w:eastAsia="zh-CN"/>
          </w:rPr>
          <w:t>十四、微球载体材料项目实施保障措施</w:t>
        </w:r>
        <w:r>
          <w:tab/>
        </w:r>
        <w:r>
          <w:fldChar w:fldCharType="begin"/>
        </w:r>
        <w:r>
          <w:instrText xml:space="preserve"> PAGEREF _Toc31200 \h </w:instrText>
        </w:r>
        <w:r>
          <w:fldChar w:fldCharType="separate"/>
        </w:r>
        <w:r>
          <w:t>48</w:t>
        </w:r>
        <w:r>
          <w:fldChar w:fldCharType="end"/>
        </w:r>
      </w:hyperlink>
    </w:p>
    <w:p>
      <w:pPr>
        <w:pStyle w:val="TOC2"/>
        <w:tabs>
          <w:tab w:val="right" w:leader="dot" w:pos="8306"/>
        </w:tabs>
      </w:pPr>
      <w:hyperlink w:anchor="_Toc25710" w:history="1">
        <w:r>
          <w:rPr>
            <w:rFonts w:ascii="仿宋" w:eastAsia="仿宋" w:hAnsi="仿宋" w:cs="仿宋" w:hint="eastAsia"/>
            <w:lang w:eastAsia="zh-CN"/>
          </w:rPr>
          <w:t>(一)、微球载体材料项目实施保障机制</w:t>
        </w:r>
        <w:r>
          <w:tab/>
        </w:r>
        <w:r>
          <w:fldChar w:fldCharType="begin"/>
        </w:r>
        <w:r>
          <w:instrText xml:space="preserve"> PAGEREF _Toc25710 \h </w:instrText>
        </w:r>
        <w:r>
          <w:fldChar w:fldCharType="separate"/>
        </w:r>
        <w:r>
          <w:t>48</w:t>
        </w:r>
        <w:r>
          <w:fldChar w:fldCharType="end"/>
        </w:r>
      </w:hyperlink>
    </w:p>
    <w:p>
      <w:pPr>
        <w:pStyle w:val="TOC2"/>
        <w:tabs>
          <w:tab w:val="right" w:leader="dot" w:pos="8306"/>
        </w:tabs>
      </w:pPr>
      <w:hyperlink w:anchor="_Toc7762" w:history="1">
        <w:r>
          <w:rPr>
            <w:rFonts w:ascii="仿宋" w:eastAsia="仿宋" w:hAnsi="仿宋" w:cs="仿宋" w:hint="eastAsia"/>
            <w:lang w:eastAsia="zh-CN"/>
          </w:rPr>
          <w:t>(二)、微球载体材料项目法律合规要求</w:t>
        </w:r>
        <w:r>
          <w:tab/>
        </w:r>
        <w:r>
          <w:fldChar w:fldCharType="begin"/>
        </w:r>
        <w:r>
          <w:instrText xml:space="preserve"> PAGEREF _Toc7762 \h </w:instrText>
        </w:r>
        <w:r>
          <w:fldChar w:fldCharType="separate"/>
        </w:r>
        <w:r>
          <w:t>52</w:t>
        </w:r>
        <w:r>
          <w:fldChar w:fldCharType="end"/>
        </w:r>
      </w:hyperlink>
    </w:p>
    <w:p>
      <w:pPr>
        <w:pStyle w:val="TOC2"/>
        <w:tabs>
          <w:tab w:val="right" w:leader="dot" w:pos="8306"/>
        </w:tabs>
      </w:pPr>
      <w:hyperlink w:anchor="_Toc25388" w:history="1">
        <w:r>
          <w:rPr>
            <w:rFonts w:ascii="仿宋" w:eastAsia="仿宋" w:hAnsi="仿宋" w:cs="仿宋" w:hint="eastAsia"/>
            <w:lang w:eastAsia="zh-CN"/>
          </w:rPr>
          <w:t>(三)、微球载体材料项目合同管理与法律事务</w:t>
        </w:r>
        <w:r>
          <w:tab/>
        </w:r>
        <w:r>
          <w:fldChar w:fldCharType="begin"/>
        </w:r>
        <w:r>
          <w:instrText xml:space="preserve"> PAGEREF _Toc25388 \h </w:instrText>
        </w:r>
        <w:r>
          <w:fldChar w:fldCharType="separate"/>
        </w:r>
        <w:r>
          <w:t>56</w:t>
        </w:r>
        <w:r>
          <w:fldChar w:fldCharType="end"/>
        </w:r>
      </w:hyperlink>
    </w:p>
    <w:p>
      <w:pPr>
        <w:pStyle w:val="TOC2"/>
        <w:tabs>
          <w:tab w:val="right" w:leader="dot" w:pos="8306"/>
        </w:tabs>
      </w:pPr>
      <w:hyperlink w:anchor="_Toc24444" w:history="1">
        <w:r>
          <w:rPr>
            <w:rFonts w:ascii="仿宋" w:eastAsia="仿宋" w:hAnsi="仿宋" w:cs="仿宋" w:hint="eastAsia"/>
            <w:lang w:eastAsia="zh-CN"/>
          </w:rPr>
          <w:t>(四)、微球载体材料项目知识产权保护策略</w:t>
        </w:r>
        <w:r>
          <w:tab/>
        </w:r>
        <w:r>
          <w:fldChar w:fldCharType="begin"/>
        </w:r>
        <w:r>
          <w:instrText xml:space="preserve"> PAGEREF _Toc24444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27"/>
      <w:r>
        <w:rPr>
          <w:rFonts w:ascii="仿宋" w:eastAsia="仿宋" w:hAnsi="仿宋" w:cs="仿宋" w:hint="eastAsia"/>
          <w:sz w:val="28"/>
          <w:lang w:eastAsia="zh-CN"/>
        </w:rPr>
        <w:t>一、微球载体材料项目概论</w:t>
      </w:r>
      <w:bookmarkEnd w:id="2"/>
    </w:p>
    <w:p>
      <w:pPr>
        <w:pStyle w:val="Heading2"/>
        <w:rPr>
          <w:rFonts w:ascii="仿宋" w:eastAsia="仿宋" w:hAnsi="仿宋" w:cs="仿宋" w:hint="eastAsia"/>
          <w:lang w:eastAsia="zh-CN"/>
        </w:rPr>
      </w:pPr>
      <w:bookmarkStart w:id="3" w:name="_Toc20965"/>
      <w:r>
        <w:rPr>
          <w:rFonts w:ascii="仿宋" w:eastAsia="仿宋" w:hAnsi="仿宋" w:cs="仿宋" w:hint="eastAsia"/>
          <w:lang w:eastAsia="zh-CN"/>
        </w:rPr>
        <w:t>(一)、微球载体材料项目概况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起源追溯至对市场的深入洞察。市场的不断演变与变革为微球载体材料项目提供了难得的机遇。当前市场存在的需求缺口和变革的大环境共同构成了微球载体材料项目的背景。这个微球载体材料项目旨在充分利用市场机遇，填补行业中尚未满足的需求，为客户提供全新的解决方案。市场的变革和需求的增长使得这个微球载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微球载体材料项目名称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微球载体材料项目正式命名为微球载体材料。这个名称不仅仅是一个标识，更代表了微球载体材料项目的核心理念和愿景。它蕴含着微球载体材料项目所要解决问题的关键字，具有强烈的表达和辨识度，为微球载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微球载体材料项目目标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核心目标是提供一种全新、高效的解决方案，满足客户日益增长的需求。微球载体材料项目追求的不仅仅是满足市场需求，更是在市场中获得卓越的竞争优势。通过不断提升产品或服务的质量和创新水平，微球载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微球载体材料项目范围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全面涵盖了产品研发、制造、市场推广和售后服务，确保从产品设计到最终用户体验的全方位关注。这一全面的微球载体材料项目范围是为了确保微球载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微球载体材料项目时间表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微球载体材料项目计划在未来18个月内完成，包括研发、测试、市场试点和正式推出等不同阶段。这个时间表的合理设计是为了确保微球载体材料项目各个阶段的顺利推进，以便按时交付高质量的成果。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微球载体材料项目预算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总预算估算为XX百万美元，主要分配在研发、市场推广、人员培训和运营等方面。这一充足的预算为微球载体材料项目提供了充足的资源，确保微球载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微球载体材料项目风险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可能面临的风险包括市场接受度低、技术难题、竞争激烈等。微球载体材料项目团队已经制定了相应的风险应对计划，通过前瞻性的风险管理，确保微球载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微球载体材料项目团队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微球载体材料项目汇聚了一支经验丰富、多领域专业素养的核心团队，确保微球载体材料项目在各个方面都能拥有高水平的执行力。团队的协同作战是微球载体材料项目成功的关键因素之一。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微球载体材料项目背景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微球载体材料项目的背景根植于市场对更高效、创新产品的渴望，同时也受到科技发展对行业格局的深刻改变的影响。这为微球载体材料项目提供了广阔的发展空间和市场需求。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微球载体材料项目现状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截至目前，微球载体材料项目已完成市场调研和技术验证，取得了初步的成功。这为微球载体材料项目在未来的发展奠定了坚实的基础，为更远大的目标打下了坚实的基石。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793"/>
      <w:r>
        <w:rPr>
          <w:rFonts w:ascii="仿宋" w:eastAsia="仿宋" w:hAnsi="仿宋" w:cs="仿宋" w:hint="eastAsia"/>
          <w:sz w:val="28"/>
          <w:lang w:eastAsia="zh-CN"/>
        </w:rPr>
        <w:t>(二)、微球载体材料项目目标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keyword》微球载体材料项目首要业务目标是在市场中占据有利地位，实现产品/服务的成功推广和销售。通过不断提升产品质量、创新性，微球载体材料项目追求成为行业中的领导者，赢得更多客户的青睐。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在科技迅速发展的时代，微球载体材料项目着眼于技术创新。通过持续的研发和技术升级，微球载体材料项目旨在推出更具创新性的产品或服务，以满足市场对新鲜、先进解决方案的需求。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为了建立可持续的客户关系，微球载体材料项目设定了客户满意度目标。通过提供卓越的产品质量和优质的客户服务，微球载体材料项目追求赢得客户的信任和忠诚度，确保他们的满意度达到行业领先水平。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微球载体材料项目注重社会责任和可持续发展。通过实施环保、社会责任微球载体材料项目，微球载体材料项目致力于在经济发展的同时保护环境，促进社会公平，实现可持续经营。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微球载体材料项目的团队是实现目标的核心驱动力。因此，微球载体材料项目设定了团队发展目标，包括提升团队成员的专业技能、培养领导力，以及搭建协同高效的团队工作氛围。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534"/>
      <w:r>
        <w:rPr>
          <w:rFonts w:ascii="仿宋" w:eastAsia="仿宋" w:hAnsi="仿宋" w:cs="仿宋" w:hint="eastAsia"/>
          <w:sz w:val="28"/>
          <w:lang w:eastAsia="zh-CN"/>
        </w:rPr>
        <w:t>(三)、微球载体材料项目提出的理由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微球载体材料项目提出的理由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提出源于对市场机遇的深刻洞察。当前市场中存在的需求缺口和行业发展趋势表明，有巨大的商业机会等待被开发。通过准确捕捉市场机遇，微球载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理念基于对技术创新的信仰。通过持续的研发和技术投入，微球载体材料项目有望推出更具创新性的产品或服务。在科技飞速发展的当下，微球载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提出是为了增强企业的行业竞争力。通过提升产品或服务的质量和独特性，微球载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响应了消费者需求的变化。随着社会和科技的不断发展，消费者对产品和服务的需求也在发生变化。通过深入了解并及时回应消费者的新需求，微球载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微球载体材料项目的提出是企业战略发展规划的一部分。在面对日益激烈的市场竞争和不断变化的商业环境中，微球载体材料项目作为企业战略的一环，旨在为企业开辟新的增长领域，巩固企业在行业中的地位。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微球载体材料项目的提出不仅仅是基于商业考量，还注重社会责任。通过推出环保、社会责任等方面的微球载体材料项目，微球载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微球载体材料项目的提出反映了对利益相关者期望的关注。包括客户、员工、投资者等利益相关者在企业发展中都有着各自的期望，微球载体材料项目力求在满足这些期望的同时，取得更大的共赢。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500"/>
      <w:r>
        <w:rPr>
          <w:rFonts w:ascii="仿宋" w:eastAsia="仿宋" w:hAnsi="仿宋" w:cs="仿宋" w:hint="eastAsia"/>
          <w:sz w:val="28"/>
          <w:lang w:eastAsia="zh-CN"/>
        </w:rPr>
        <w:t>(四)、微球载体材料项目意义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在实施微球载体材料项目的过程中，我们不仅仅是在追逐商业成功，更是为企业和社会的多个层面创造了深远的意义。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首要意义在于提升企业的市场竞争力。通过持续的创新和对产品质量的高标准要求，微球载体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球载体材料项目的推进将促使行业技术水平的提升。通过引入先进技术和创新性解决方案，微球载体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球载体材料项目不仅创造了大量就业机会，提高了就业水平，还注重社会责任和环保。通过参与社会公益事业和推动环保微球载体材料项目，微球载体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综合而言，微球载体材料项目意义重大，不仅推动了企业的发展，也为行业和社会的进步贡献了积极力量。这是一个全面而深刻的影响，将在未来产生可持续的正面效应。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363"/>
      <w:r>
        <w:rPr>
          <w:rFonts w:ascii="仿宋" w:eastAsia="仿宋" w:hAnsi="仿宋" w:cs="仿宋" w:hint="eastAsia"/>
          <w:sz w:val="28"/>
          <w:lang w:eastAsia="zh-CN"/>
        </w:rPr>
        <w:t>(五)、微球载体材料项目背景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在当今迅猛发展的商业环境中，微球载体材料项目的动因根植于对多方面因素的审慎考量。这个微球载体材料项目的提出并非孤立的决策，而是对企业所处背景深入思考的产物。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球载体材料项目背后的首要原因。科技的迅速发展和全球市场的快速变化使得企业必须灵活应对。微球载体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竞争的激烈程度也是微球载体材料项目背景中不可忽视的一环。企业需要在激烈竞争中脱颖而出，为此，微球载体材料项目致力于打破常规，提供独特的价值主张，以吸引客户并确保市场份额的增长。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技术的迅速发展为企业带来了机遇与挑战。作为微球载体材料项目启动的背景之一，对新兴技术的应用将有助于提升企业的技术水平，使其在不断演进的商业环境中保持竞争优势。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此外，社会对企业责任的期望也在逐渐升高。微球载体材料项目充分融入了社会责任的理念，通过可持续经营和社会公益微球载体材料项目，企图为社会贡献一份力量，在商业成功的同时关注社会价值。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656"/>
      <w:r>
        <w:rPr>
          <w:rFonts w:ascii="仿宋" w:eastAsia="仿宋" w:hAnsi="仿宋" w:cs="仿宋" w:hint="eastAsia"/>
          <w:sz w:val="28"/>
          <w:lang w:eastAsia="zh-CN"/>
        </w:rPr>
        <w:t>二、微球载体材料项目建设单位说明</w:t>
      </w:r>
      <w:bookmarkEnd w:id="8"/>
    </w:p>
    <w:p>
      <w:pPr>
        <w:pStyle w:val="Heading2"/>
        <w:rPr>
          <w:rFonts w:ascii="仿宋" w:eastAsia="仿宋" w:hAnsi="仿宋" w:cs="仿宋" w:hint="eastAsia"/>
          <w:lang w:eastAsia="zh-CN"/>
        </w:rPr>
      </w:pPr>
      <w:bookmarkStart w:id="9" w:name="_Toc29022"/>
      <w:r>
        <w:rPr>
          <w:rFonts w:ascii="仿宋" w:eastAsia="仿宋" w:hAnsi="仿宋" w:cs="仿宋" w:hint="eastAsia"/>
          <w:lang w:eastAsia="zh-CN"/>
        </w:rPr>
        <w:t>(一)、微球载体材料项目承办单位基本情况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56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球载体材料项目承办单位的XXXX，我们着眼于实现可持续的经济效益。通过技术创新和解决方案的提供，公司预计在微球载体材料项目执行期间将获得可观的收入增长。这一收入来源主要包括微球载体材料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同时，我们注重成本控制和效率提升，以确保微球载体材料项目的可持续盈利。透过精细的管理和资源优化，公司期望实现微球载体材料项目利润最大化。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球载体材料项目实施进行全面的投资评估，包括微球载体材料项目启动阶段的资金投入和后续运营成本。通过对微球载体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球载体材料项目实施过程中具备足够的资金流动性，公司将进行详尽的现金流分析。这包括资金需求的合理预测、微球载体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335"/>
      <w:r>
        <w:rPr>
          <w:rFonts w:ascii="仿宋" w:eastAsia="仿宋" w:hAnsi="仿宋" w:cs="仿宋" w:hint="eastAsia"/>
          <w:sz w:val="28"/>
          <w:lang w:eastAsia="zh-CN"/>
        </w:rPr>
        <w:t>三、微球载体材料项目建设背景及必要性分析</w:t>
      </w:r>
      <w:bookmarkEnd w:id="11"/>
    </w:p>
    <w:p>
      <w:pPr>
        <w:pStyle w:val="Heading2"/>
        <w:rPr>
          <w:rFonts w:ascii="仿宋" w:eastAsia="仿宋" w:hAnsi="仿宋" w:cs="仿宋" w:hint="eastAsia"/>
          <w:lang w:eastAsia="zh-CN"/>
        </w:rPr>
      </w:pPr>
      <w:bookmarkStart w:id="12" w:name="_Toc22686"/>
      <w:r>
        <w:rPr>
          <w:rFonts w:ascii="仿宋" w:eastAsia="仿宋" w:hAnsi="仿宋" w:cs="仿宋" w:hint="eastAsia"/>
          <w:lang w:eastAsia="zh-CN"/>
        </w:rPr>
        <w:t>(一)、微球载体材料项目背景分析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微球载体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球载体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球载体材料项目在这个潮流中的定位。同时，我们将关注行业内涌现的新兴机遇，以便微球载体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球载体材料项目提供了强大的发展动力。我们将聚焦于行业内最新的技术发展趋势，包括但不限于人工智能、大数据分析、物联网等领域。通过深度的技术研究，我们将确保微球载体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球载体材料项目发展的源泉。我们将投入更多的精力对市场需求进行深入剖析，超越表面的需求，深入挖掘潜在的市场痛点和机遇。通过对市场需求的细致了解，微球载体材料项目将更有针对性地设计解决方案，满足市场的多样化需求，从而更好地促进微球载体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微球载体材料项目战略至关重要。我们将对竞争态势进行更为深入的分析，包括但不限于市场份额、产品特点、客户满意度等多个维度。通过深度的竞争分析，微球载体材料项目将能够更准确地把握市场脉搏，制定具有竞争力的微球载体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球载体材料项目的发展具有直接的影响。我们将进行更为全面的法规和政策分析，了解行业发展中的潜在法律风险和合规挑战。通过充分了解和遵守相关法规，微球载体材料项目将确保在法律框架内合法合规运营，为微球载体材料项目的稳健发展提供有力支持。</w:t>
      </w:r>
    </w:p>
    <w:p>
      <w:pPr>
        <w:pStyle w:val="Heading2"/>
        <w:ind w:firstLine="560" w:firstLineChars="200"/>
        <w:rPr>
          <w:rFonts w:ascii="仿宋" w:eastAsia="仿宋" w:hAnsi="仿宋" w:cs="仿宋" w:hint="eastAsia"/>
          <w:sz w:val="28"/>
          <w:lang w:eastAsia="zh-CN"/>
        </w:rPr>
      </w:pPr>
      <w:bookmarkStart w:id="13" w:name="_Toc16174"/>
      <w:r>
        <w:rPr>
          <w:rFonts w:ascii="仿宋" w:eastAsia="仿宋" w:hAnsi="仿宋" w:cs="仿宋" w:hint="eastAsia"/>
          <w:sz w:val="28"/>
          <w:lang w:eastAsia="zh-CN"/>
        </w:rPr>
        <w:t>(二)、微球载体材料项目建设必要性分析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建设的迫切性源于对行业发展趋势的深刻洞察。我们正处于一个行业变革的时代，科技创新、数字化转型成为企业发展的关键动力。微球载体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建设不仅仅是为了跟上潮流，更是为了通过技术创新推动企业的持续发展。通过引入先进的技术和解决方案，微球载体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球载体材料项目的建设成为必然选择，通过提高产品质量、拓展服务领域，从而在竞争中获得更多的机会。微球载体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球载体材料项目建设的必要性体现在对客户需求更精准的满足。通过微球载体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建设的背后是对企业持续创新的追求。只有通过不断创新，企业才能在竞争中立于不败之地。微球载体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65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球载体材料项目的技术管理特点体现在其创新导向。通过引入最先进的技术趋势和解决方案，微球载体材料项目致力于提升科技含量、提高质量和效率水平。这意味着我们将采用最新的工具和方法，确保微球载体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球载体材料项目技术管理的显著特征。通过整合不同领域的技术资源，我们实现了跨学科的协同工作。这有助于优化技术架构，提高整体效能。此外，整合性策略还促进了不同技术团队之间的紧密沟通和高效合作，确保微球载体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球载体材料项目所采用的技术。通过不断优化技术方案，微球载体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球载体材料项目团队将在微球载体材料项目初期识别可能的技术风险，并采取相应的预防和应对措施。通过建立健全的风险评估机制，微球载体材料项目能够在实施过程中及时发现并解决潜在的技术问题，保障微球载体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球载体材料项目中，技术将成为微球载体材料项目成功的有力支持。这一深度剖析揭示了技术管理在微球载体材料项目实施中的关键作用，为微球载体材料项目的技术基础奠定了坚实的基础。</w:t>
      </w:r>
    </w:p>
    <w:p>
      <w:pPr>
        <w:pStyle w:val="Heading2"/>
        <w:ind w:firstLine="560" w:firstLineChars="200"/>
        <w:rPr>
          <w:rFonts w:ascii="仿宋" w:eastAsia="仿宋" w:hAnsi="仿宋" w:cs="仿宋" w:hint="eastAsia"/>
          <w:sz w:val="28"/>
          <w:lang w:eastAsia="zh-CN"/>
        </w:rPr>
      </w:pPr>
      <w:bookmarkStart w:id="16" w:name="_Toc31133"/>
      <w:r>
        <w:rPr>
          <w:rFonts w:ascii="仿宋" w:eastAsia="仿宋" w:hAnsi="仿宋" w:cs="仿宋" w:hint="eastAsia"/>
          <w:sz w:val="28"/>
          <w:lang w:eastAsia="zh-CN"/>
        </w:rPr>
        <w:t>(二)、微球载体材料项目工艺技术设计方案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球载体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球载体材料项目将严格按照相关行业规范要求进行组织。通过有效控制产品质量，微球载体材料项目将致力于为顾客提供优质的微球载体材料项目产品和良好的服务。这体现了微球载体材料项目对于生产活动合规性和质量标准的高度重视，为微球载体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球载体材料项目注重生态效益和清洁生产原则。微球载体材料项目建设将紧密结合地方特色经济发展，与社会经济发展规划和区域环境保护规划方案相协调一致。通过与当地区域自然生态系统的结合，微球载体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球载体材料项目产品具有多样化的客户需求和个性化的特点。因此，微球载体材料项目产品规格品种多样，且单批生产数量较小。为满足这一特点，微球载体材料项目承办单位将建设先进的柔性制造生产线。通过广泛应用柔性制造技术，微球载体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https://d.book118.com/627143132063006034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微球载体材料项目规划设计蓝图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06193"/>
    <w:rsid w:val="23606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43132063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2024-01-24T20:48:00Z</dcterms:created>
  <dcterms:modified xsi:type="dcterms:W3CDTF">2024-01-24T20:48:41Z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DAD09078652E46768D5C47A3BC0A777A_11</vt:lpwstr>
  </property>
  <property fmtid="{D5CDD505-2E9C-101B-9397-08002B2CF9AE}" pid="3" name="KSOProductBuildVer">
    <vt:lpwstr>2052-12.1.0.16120</vt:lpwstr>
  </property>
</Properties>
</file>