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Pr>
      <w:r>
        <w:rPr>
          <w:rFonts w:ascii="宋体" w:eastAsia="宋体" w:hAnsi="宋体" w:cs="宋体"/>
          <w:kern w:val="0"/>
          <w:sz w:val="24"/>
          <w:szCs w:val="24"/>
          <w:lang w:val="en-US" w:eastAsia="zh-CN" w:bidi="ar"/>
        </w:rPr>
        <w:t>1、地基基础分项工程、分部（子分部）工程质量的验收，均应在施工单位自检合格的基础上进行。施工单位确认自检合格后</w:t>
      </w:r>
      <w:r>
        <w:rPr>
          <w:rFonts w:ascii="宋体" w:eastAsia="宋体" w:hAnsi="宋体" w:cs="宋体"/>
          <w:b/>
          <w:bCs/>
          <w:kern w:val="0"/>
          <w:sz w:val="24"/>
          <w:szCs w:val="24"/>
          <w:lang w:val="en-US" w:eastAsia="zh-CN" w:bidi="ar"/>
        </w:rPr>
        <w:t>提出工程验收申请</w:t>
      </w:r>
      <w:r>
        <w:rPr>
          <w:rFonts w:ascii="宋体" w:eastAsia="宋体" w:hAnsi="宋体" w:cs="宋体"/>
          <w:kern w:val="0"/>
          <w:sz w:val="24"/>
          <w:szCs w:val="24"/>
          <w:lang w:val="en-US" w:eastAsia="zh-CN" w:bidi="ar"/>
        </w:rPr>
        <w:t>，然后由</w:t>
      </w:r>
      <w:r>
        <w:rPr>
          <w:rFonts w:ascii="宋体" w:eastAsia="宋体" w:hAnsi="宋体" w:cs="宋体"/>
          <w:b/>
          <w:bCs/>
          <w:kern w:val="0"/>
          <w:sz w:val="24"/>
          <w:szCs w:val="24"/>
          <w:lang w:val="en-US" w:eastAsia="zh-CN" w:bidi="ar"/>
        </w:rPr>
        <w:t>总监理工程师或建设单位项目负责人</w:t>
      </w:r>
      <w:r>
        <w:rPr>
          <w:rFonts w:ascii="宋体" w:eastAsia="宋体" w:hAnsi="宋体" w:cs="宋体"/>
          <w:kern w:val="0"/>
          <w:sz w:val="24"/>
          <w:szCs w:val="24"/>
          <w:lang w:val="en-US" w:eastAsia="zh-CN" w:bidi="ar"/>
        </w:rPr>
        <w:t>组织</w:t>
      </w:r>
      <w:r>
        <w:rPr>
          <w:rFonts w:ascii="宋体" w:eastAsia="宋体" w:hAnsi="宋体" w:cs="宋体"/>
          <w:b/>
          <w:bCs/>
          <w:kern w:val="0"/>
          <w:sz w:val="24"/>
          <w:szCs w:val="24"/>
          <w:lang w:val="en-US" w:eastAsia="zh-CN" w:bidi="ar"/>
        </w:rPr>
        <w:t>勘察、设计及施工单位的项目负责人、技术质量负责人，共同按设计要求和有关规范规定进行验收。</w:t>
      </w:r>
      <w:r>
        <w:rPr>
          <w:rFonts w:ascii="宋体" w:eastAsia="宋体" w:hAnsi="宋体" w:cs="宋体"/>
          <w:kern w:val="0"/>
          <w:sz w:val="24"/>
          <w:szCs w:val="24"/>
          <w:lang w:val="en-US" w:eastAsia="zh-CN" w:bidi="ar"/>
        </w:rPr>
        <w:br/>
      </w:r>
    </w:p>
    <w:p>
      <w:pPr>
        <w:pStyle w:val="NormalWeb"/>
        <w:keepNext w:val="0"/>
        <w:keepLines w:val="0"/>
        <w:widowControl/>
        <w:suppressLineNumbers w:val="0"/>
      </w:pPr>
      <w:r>
        <w:drawing>
          <wp:inline distT="0" distB="0" distL="114300" distR="114300">
            <wp:extent cx="5273675" cy="1358900"/>
            <wp:effectExtent l="0" t="0" r="317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5273675" cy="1358900"/>
                    </a:xfrm>
                    <a:prstGeom prst="rect">
                      <a:avLst/>
                    </a:prstGeom>
                    <a:noFill/>
                    <a:ln>
                      <a:noFill/>
                    </a:ln>
                  </pic:spPr>
                </pic:pic>
              </a:graphicData>
            </a:graphic>
          </wp:inline>
        </w:drawing>
      </w:r>
      <w:r>
        <w:rPr>
          <w:rFonts w:ascii="宋体" w:eastAsia="宋体" w:hAnsi="宋体" w:cs="宋体"/>
          <w:kern w:val="0"/>
          <w:sz w:val="24"/>
          <w:szCs w:val="24"/>
          <w:lang w:val="en-US" w:eastAsia="zh-CN" w:bidi="ar"/>
        </w:rPr>
        <w:br/>
      </w:r>
    </w:p>
    <w:p>
      <w:pPr>
        <w:pStyle w:val="NormalWeb"/>
        <w:keepNext w:val="0"/>
        <w:keepLines w:val="0"/>
        <w:widowControl/>
        <w:numPr>
          <w:ilvl w:val="0"/>
          <w:numId w:val="1"/>
        </w:numPr>
        <w:suppressLineNumbers w:val="0"/>
        <w:sectPr>
          <w:pgSz w:w="11906" w:h="16838"/>
          <w:pgMar w:top="1440" w:right="1800" w:bottom="1440" w:left="1800" w:header="851" w:footer="992" w:gutter="0"/>
          <w:cols w:num="1" w:space="425"/>
          <w:docGrid w:type="lines" w:linePitch="312" w:charSpace="0"/>
        </w:sectPr>
      </w:pPr>
      <w:r>
        <w:rPr>
          <w:rFonts w:ascii="宋体" w:eastAsia="宋体" w:hAnsi="宋体" w:cs="宋体"/>
          <w:kern w:val="0"/>
          <w:sz w:val="24"/>
          <w:szCs w:val="24"/>
          <w:lang w:val="en-US" w:eastAsia="zh-CN" w:bidi="ar"/>
        </w:rPr>
        <w:t>施工组织设计【2017一（2）、2014一（1）、2013-8】</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（1）单位工程施工组织设计由项</w:t>
      </w:r>
      <w:r>
        <w:rPr>
          <w:rFonts w:ascii="宋体" w:eastAsia="宋体" w:hAnsi="宋体" w:cs="宋体"/>
          <w:b/>
          <w:bCs/>
          <w:kern w:val="0"/>
          <w:sz w:val="24"/>
          <w:szCs w:val="24"/>
          <w:lang w:val="en-US" w:eastAsia="zh-CN" w:bidi="ar"/>
        </w:rPr>
        <w:t>目负责人主持编制</w:t>
      </w:r>
      <w:r>
        <w:rPr>
          <w:rFonts w:ascii="宋体" w:eastAsia="宋体" w:hAnsi="宋体" w:cs="宋体"/>
          <w:kern w:val="0"/>
          <w:sz w:val="24"/>
          <w:szCs w:val="24"/>
          <w:lang w:val="en-US" w:eastAsia="zh-CN" w:bidi="ar"/>
        </w:rPr>
        <w:t>，项目经理部全体管理人员参加，施</w:t>
      </w:r>
      <w:r>
        <w:rPr>
          <w:rFonts w:ascii="宋体" w:eastAsia="宋体" w:hAnsi="宋体" w:cs="宋体"/>
          <w:b/>
          <w:bCs/>
          <w:kern w:val="0"/>
          <w:sz w:val="24"/>
          <w:szCs w:val="24"/>
          <w:lang w:val="en-US" w:eastAsia="zh-CN" w:bidi="ar"/>
        </w:rPr>
        <w:t>工单位主管部门审核</w:t>
      </w:r>
      <w:r>
        <w:rPr>
          <w:rFonts w:ascii="宋体" w:eastAsia="宋体" w:hAnsi="宋体" w:cs="宋体"/>
          <w:kern w:val="0"/>
          <w:sz w:val="24"/>
          <w:szCs w:val="24"/>
          <w:lang w:val="en-US" w:eastAsia="zh-CN" w:bidi="ar"/>
        </w:rPr>
        <w:t>，</w:t>
      </w:r>
      <w:r>
        <w:rPr>
          <w:rFonts w:ascii="宋体" w:eastAsia="宋体" w:hAnsi="宋体" w:cs="宋体"/>
          <w:b/>
          <w:bCs/>
          <w:kern w:val="0"/>
          <w:sz w:val="24"/>
          <w:szCs w:val="24"/>
          <w:lang w:val="en-US" w:eastAsia="zh-CN" w:bidi="ar"/>
        </w:rPr>
        <w:t>施工单位技术负责人或其授权的技术人员审批。</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（2）群体工程应编制施工组织总设计，并根据单位工程开工情况及其特点及时编制单位工程施工组织设计。施工组织总设计应由总承包单位技术负责人审批。</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（3）单位工程施工组织设计经上级单位技术负责人或其授权人审批后，应在工程开工前由施工单位项目负责人组织，对项目部全体管理人员及主要分包单位逐级进行交底并做好交底记录。</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（4）过程检查可按照工程施工阶段进行。通常划分为地基基础、主体结构、装饰装修和机电设备安装三个阶段。过程检查由企业技术负责人或主管部门负责人主持。【2011-25、2021变更】</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（5）单位工程施工组织设计审批后加盖受控章，由项目资料员报送及发放并登记记录，报送监理方及建设方，发放企业主管部门、项目相关部门、主要分包单位。【2016】</w:t>
      </w:r>
      <w:r>
        <w:rPr>
          <w:rFonts w:ascii="宋体" w:eastAsia="宋体" w:hAnsi="宋体" w:cs="宋体"/>
          <w:kern w:val="0"/>
          <w:sz w:val="24"/>
          <w:szCs w:val="24"/>
          <w:lang w:val="en-US" w:eastAsia="zh-CN" w:bidi="ar"/>
        </w:rPr>
        <w:br/>
      </w:r>
      <w:r>
        <w:t>。</w:t>
      </w:r>
    </w:p>
    <w:p>
      <w:pPr>
        <w:pStyle w:val="NormalWeb"/>
        <w:keepNext w:val="0"/>
        <w:keepLines w:val="0"/>
        <w:widowControl/>
        <w:numPr>
          <w:numId w:val="0"/>
        </w:numPr>
        <w:suppressLineNumbers w:val="0"/>
        <w:ind w:right="0" w:rightChars="0"/>
      </w:pPr>
      <w:r>
        <w:drawing>
          <wp:inline distT="0" distB="0" distL="114300" distR="114300">
            <wp:extent cx="5268595" cy="2186305"/>
            <wp:effectExtent l="0" t="0" r="825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5268595" cy="2186305"/>
                    </a:xfrm>
                    <a:prstGeom prst="rect">
                      <a:avLst/>
                    </a:prstGeom>
                    <a:noFill/>
                    <a:ln>
                      <a:noFill/>
                    </a:ln>
                  </pic:spPr>
                </pic:pic>
              </a:graphicData>
            </a:graphic>
          </wp:inline>
        </w:drawing>
      </w:r>
    </w:p>
    <w:p>
      <w:pPr>
        <w:pStyle w:val="NormalWeb"/>
        <w:keepNext w:val="0"/>
        <w:keepLines w:val="0"/>
        <w:widowControl/>
        <w:suppressLineNumbers w:val="0"/>
      </w:pPr>
      <w:r>
        <w:rPr>
          <w:rFonts w:ascii="宋体" w:eastAsia="宋体" w:hAnsi="宋体" w:cs="宋体"/>
          <w:kern w:val="0"/>
          <w:sz w:val="24"/>
          <w:szCs w:val="24"/>
          <w:lang w:val="en-US" w:eastAsia="zh-CN" w:bidi="ar"/>
        </w:rPr>
        <w:t>3、施工现场临时用电设备在5台及以上或设备总容量在50kw及以上者，应编制用电组织设计。临时用电设备在5台以下和设备总容量在50kw以下者，应制定安全用电和电气防火措施。临时用电组织设计及安全用电和电气防火措施应由</w:t>
      </w:r>
      <w:r>
        <w:rPr>
          <w:rFonts w:ascii="宋体" w:eastAsia="宋体" w:hAnsi="宋体" w:cs="宋体"/>
          <w:b/>
          <w:bCs/>
          <w:kern w:val="0"/>
          <w:sz w:val="24"/>
          <w:szCs w:val="24"/>
          <w:lang w:val="en-US" w:eastAsia="zh-CN" w:bidi="ar"/>
        </w:rPr>
        <w:t>电气工程技术人员组织编制</w:t>
      </w:r>
      <w:r>
        <w:rPr>
          <w:rFonts w:ascii="宋体" w:eastAsia="宋体" w:hAnsi="宋体" w:cs="宋体"/>
          <w:kern w:val="0"/>
          <w:sz w:val="24"/>
          <w:szCs w:val="24"/>
          <w:lang w:val="en-US" w:eastAsia="zh-CN" w:bidi="ar"/>
        </w:rPr>
        <w:t>，</w:t>
      </w:r>
      <w:r>
        <w:rPr>
          <w:rFonts w:ascii="宋体" w:eastAsia="宋体" w:hAnsi="宋体" w:cs="宋体" w:hint="eastAsia"/>
          <w:kern w:val="0"/>
          <w:sz w:val="24"/>
          <w:szCs w:val="24"/>
          <w:lang w:val="en-US" w:eastAsia="zh-CN" w:bidi="ar"/>
        </w:rPr>
        <w:t>经相</w:t>
      </w:r>
      <w:r>
        <w:rPr>
          <w:rFonts w:ascii="宋体" w:eastAsia="宋体" w:hAnsi="宋体" w:cs="宋体" w:hint="eastAsia"/>
          <w:b/>
          <w:bCs/>
          <w:kern w:val="0"/>
          <w:sz w:val="24"/>
          <w:szCs w:val="24"/>
          <w:lang w:val="en-US" w:eastAsia="zh-CN" w:bidi="ar"/>
        </w:rPr>
        <w:t>关部门审核</w:t>
      </w:r>
      <w:r>
        <w:rPr>
          <w:rFonts w:ascii="宋体" w:eastAsia="宋体" w:hAnsi="宋体" w:cs="宋体" w:hint="eastAsia"/>
          <w:kern w:val="0"/>
          <w:sz w:val="24"/>
          <w:szCs w:val="24"/>
          <w:lang w:val="en-US" w:eastAsia="zh-CN" w:bidi="ar"/>
        </w:rPr>
        <w:t>，</w:t>
      </w:r>
      <w:r>
        <w:rPr>
          <w:rFonts w:ascii="宋体" w:eastAsia="宋体" w:hAnsi="宋体" w:cs="宋体" w:hint="eastAsia"/>
          <w:b/>
          <w:bCs/>
          <w:kern w:val="0"/>
          <w:sz w:val="24"/>
          <w:szCs w:val="24"/>
          <w:lang w:val="en-US" w:eastAsia="zh-CN" w:bidi="ar"/>
        </w:rPr>
        <w:t>具有法人资格的企业技术负责人批准后实施</w:t>
      </w:r>
      <w:r>
        <w:rPr>
          <w:rFonts w:ascii="宋体" w:eastAsia="宋体" w:hAnsi="宋体" w:cs="宋体" w:hint="eastAsia"/>
          <w:kern w:val="0"/>
          <w:sz w:val="24"/>
          <w:szCs w:val="24"/>
          <w:lang w:val="en-US" w:eastAsia="zh-CN" w:bidi="ar"/>
        </w:rPr>
        <w:t>，</w:t>
      </w:r>
      <w:r>
        <w:rPr>
          <w:rFonts w:ascii="宋体" w:eastAsia="宋体" w:hAnsi="宋体" w:cs="宋体"/>
          <w:kern w:val="0"/>
          <w:sz w:val="24"/>
          <w:szCs w:val="24"/>
          <w:lang w:val="en-US" w:eastAsia="zh-CN" w:bidi="ar"/>
        </w:rPr>
        <w:t>经</w:t>
      </w:r>
      <w:r>
        <w:rPr>
          <w:rFonts w:ascii="宋体" w:eastAsia="宋体" w:hAnsi="宋体" w:cs="宋体"/>
          <w:b/>
          <w:bCs/>
          <w:kern w:val="0"/>
          <w:sz w:val="24"/>
          <w:szCs w:val="24"/>
          <w:lang w:val="en-US" w:eastAsia="zh-CN" w:bidi="ar"/>
        </w:rPr>
        <w:t>编制、审核、批准部门</w:t>
      </w:r>
      <w:r>
        <w:rPr>
          <w:rFonts w:ascii="宋体" w:eastAsia="宋体" w:hAnsi="宋体" w:cs="宋体"/>
          <w:kern w:val="0"/>
          <w:sz w:val="24"/>
          <w:szCs w:val="24"/>
          <w:lang w:val="en-US" w:eastAsia="zh-CN" w:bidi="ar"/>
        </w:rPr>
        <w:t>和</w:t>
      </w:r>
      <w:r>
        <w:rPr>
          <w:rFonts w:ascii="宋体" w:eastAsia="宋体" w:hAnsi="宋体" w:cs="宋体"/>
          <w:b/>
          <w:bCs/>
          <w:kern w:val="0"/>
          <w:sz w:val="24"/>
          <w:szCs w:val="24"/>
          <w:lang w:val="en-US" w:eastAsia="zh-CN" w:bidi="ar"/>
        </w:rPr>
        <w:t>使用单位</w:t>
      </w:r>
      <w:r>
        <w:rPr>
          <w:rFonts w:ascii="宋体" w:eastAsia="宋体" w:hAnsi="宋体" w:cs="宋体"/>
          <w:kern w:val="0"/>
          <w:sz w:val="24"/>
          <w:szCs w:val="24"/>
          <w:lang w:val="en-US" w:eastAsia="zh-CN" w:bidi="ar"/>
        </w:rPr>
        <w:t>共同验收合格后方可投入使用。</w:t>
      </w:r>
      <w:r>
        <w:rPr>
          <w:rFonts w:ascii="宋体" w:eastAsia="宋体" w:hAnsi="宋体" w:cs="宋体"/>
          <w:kern w:val="0"/>
          <w:sz w:val="24"/>
          <w:szCs w:val="24"/>
          <w:lang w:val="en-US" w:eastAsia="zh-CN" w:bidi="ar"/>
        </w:rPr>
        <w:br/>
      </w:r>
      <w:r>
        <w:drawing>
          <wp:inline distT="0" distB="0" distL="114300" distR="114300">
            <wp:extent cx="5269230" cy="888365"/>
            <wp:effectExtent l="0" t="0" r="762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5269230" cy="888365"/>
                    </a:xfrm>
                    <a:prstGeom prst="rect">
                      <a:avLst/>
                    </a:prstGeom>
                    <a:noFill/>
                    <a:ln>
                      <a:noFill/>
                    </a:ln>
                  </pic:spPr>
                </pic:pic>
              </a:graphicData>
            </a:graphic>
          </wp:inline>
        </w:drawing>
      </w:r>
    </w:p>
    <w:p>
      <w:r>
        <w:drawing>
          <wp:inline distT="0" distB="0" distL="114300" distR="114300">
            <wp:extent cx="5271135" cy="1416685"/>
            <wp:effectExtent l="0" t="0" r="5715" b="1206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5271135" cy="1416685"/>
                    </a:xfrm>
                    <a:prstGeom prst="rect">
                      <a:avLst/>
                    </a:prstGeom>
                    <a:noFill/>
                    <a:ln>
                      <a:noFill/>
                    </a:ln>
                  </pic:spPr>
                </pic:pic>
              </a:graphicData>
            </a:graphic>
          </wp:inline>
        </w:drawing>
      </w:r>
    </w:p>
    <w:p>
      <w:pPr>
        <w:pStyle w:val="NormalWeb"/>
        <w:keepNext w:val="0"/>
        <w:keepLines w:val="0"/>
        <w:widowControl/>
        <w:numPr>
          <w:ilvl w:val="0"/>
          <w:numId w:val="2"/>
        </w:numPr>
        <w:suppressLineNumbers w:val="0"/>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kern w:val="0"/>
          <w:sz w:val="24"/>
          <w:szCs w:val="24"/>
          <w:lang w:val="en-US" w:eastAsia="zh-CN" w:bidi="ar"/>
        </w:rPr>
        <w:t>检测试验管理基本规定</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施工现场应建立健全检测试验管理制度，施工项目技术负责人应组织检查检测试验管理制度的执行情况。检测试验管理制度应包括：</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6、施工检测试验计划</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施工检测试验计划应在工程施工前由施工项目技术负责人组织有关人员编制【2019二（1）】，并应报送监理单位进行审查和监督实施。</w:t>
      </w:r>
      <w:r>
        <w:rPr>
          <w:rFonts w:ascii="宋体" w:eastAsia="宋体" w:hAnsi="宋体" w:cs="宋体"/>
          <w:kern w:val="0"/>
          <w:sz w:val="24"/>
          <w:szCs w:val="24"/>
          <w:lang w:val="en-US" w:eastAsia="zh-CN" w:bidi="ar"/>
        </w:rPr>
        <w:br/>
      </w:r>
    </w:p>
    <w:p>
      <w:pPr>
        <w:pStyle w:val="NormalWeb"/>
        <w:keepNext w:val="0"/>
        <w:keepLines w:val="0"/>
        <w:widowControl/>
        <w:numPr>
          <w:ilvl w:val="0"/>
          <w:numId w:val="0"/>
        </w:numPr>
        <w:suppressLineNumbers w:val="0"/>
        <w:ind w:left="0"/>
      </w:pPr>
      <w:r>
        <w:rPr>
          <w:rFonts w:ascii="宋体" w:eastAsia="宋体" w:hAnsi="宋体" w:cs="宋体"/>
          <w:kern w:val="0"/>
          <w:sz w:val="24"/>
          <w:szCs w:val="24"/>
          <w:lang w:val="en-US" w:eastAsia="zh-CN" w:bidi="ar"/>
        </w:rPr>
        <w:br/>
      </w:r>
      <w:r>
        <w:drawing>
          <wp:inline distT="0" distB="0" distL="114300" distR="114300">
            <wp:extent cx="5274310" cy="1141095"/>
            <wp:effectExtent l="0" t="0" r="254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5274310" cy="1141095"/>
                    </a:xfrm>
                    <a:prstGeom prst="rect">
                      <a:avLst/>
                    </a:prstGeom>
                    <a:noFill/>
                    <a:ln>
                      <a:noFill/>
                    </a:ln>
                  </pic:spPr>
                </pic:pic>
              </a:graphicData>
            </a:graphic>
          </wp:inline>
        </w:drawing>
      </w:r>
    </w:p>
    <w:p>
      <w:pPr>
        <w:pStyle w:val="NormalWeb"/>
        <w:keepNext w:val="0"/>
        <w:keepLines w:val="0"/>
        <w:widowControl/>
        <w:numPr>
          <w:ilvl w:val="0"/>
          <w:numId w:val="2"/>
        </w:numPr>
        <w:suppressLineNumbers w:val="0"/>
        <w:ind w:left="0" w:firstLine="0" w:leftChars="0" w:firstLineChars="0"/>
      </w:pPr>
      <w:r>
        <w:rPr>
          <w:rFonts w:ascii="宋体" w:eastAsia="宋体" w:hAnsi="宋体" w:cs="宋体"/>
          <w:kern w:val="0"/>
          <w:sz w:val="24"/>
          <w:szCs w:val="24"/>
          <w:lang w:val="en-US" w:eastAsia="zh-CN" w:bidi="ar"/>
        </w:rPr>
        <w:t>建筑工程验收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（1）检验批应由专业监理工程师（建设单位项目技术负责人）组织施工单位项目专业质量检查员、专业工长（技术）等进行验收。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（2）分项工程应由监理工程师（建设单位项目专业技术负责人）组织施工单位项目专业技术负责人进行验收。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（3）分部工程</w:t>
      </w:r>
      <w:r>
        <w:rPr>
          <w:rFonts w:ascii="宋体" w:eastAsia="宋体" w:hAnsi="宋体" w:cs="宋体"/>
          <w:kern w:val="0"/>
          <w:sz w:val="24"/>
          <w:szCs w:val="24"/>
          <w:lang w:val="en-US" w:eastAsia="zh-CN" w:bidi="ar"/>
        </w:rPr>
        <w:br/>
      </w:r>
      <w:r>
        <w:drawing>
          <wp:inline distT="0" distB="0" distL="114300" distR="114300">
            <wp:extent cx="5273040" cy="2417445"/>
            <wp:effectExtent l="0" t="0" r="381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9"/>
                    <a:stretch>
                      <a:fillRect/>
                    </a:stretch>
                  </pic:blipFill>
                  <pic:spPr>
                    <a:xfrm>
                      <a:off x="0" y="0"/>
                      <a:ext cx="5273040" cy="2417445"/>
                    </a:xfrm>
                    <a:prstGeom prst="rect">
                      <a:avLst/>
                    </a:prstGeom>
                    <a:noFill/>
                    <a:ln>
                      <a:noFill/>
                    </a:ln>
                  </pic:spPr>
                </pic:pic>
              </a:graphicData>
            </a:graphic>
          </wp:inline>
        </w:drawing>
      </w:r>
    </w:p>
    <w:p>
      <w:pPr>
        <w:pStyle w:val="NormalWeb"/>
        <w:keepNext w:val="0"/>
        <w:keepLines w:val="0"/>
        <w:widowControl/>
        <w:suppressLineNumbers w:val="0"/>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kern w:val="0"/>
          <w:sz w:val="24"/>
          <w:szCs w:val="24"/>
          <w:lang w:val="en-US" w:eastAsia="zh-CN" w:bidi="ar"/>
        </w:rPr>
        <w:t>4）单位工程</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①单位工程完工后，施工单位应组织有关人员进行自检；</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②总监理工程师应组织各专业监理工程师对工程质量进行竣工预验收；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③存在施工质量问题时，应由施工单位整改；</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④预验收通过后，由施工单位向建设单位提交工程竣工报告，申请工程竣工验收；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⑤建设单位收到工程竣工报告后，应由</w:t>
      </w:r>
      <w:r>
        <w:rPr>
          <w:rFonts w:ascii="宋体" w:eastAsia="宋体" w:hAnsi="宋体" w:cs="宋体"/>
          <w:b/>
          <w:bCs/>
          <w:kern w:val="0"/>
          <w:sz w:val="24"/>
          <w:szCs w:val="24"/>
          <w:lang w:val="en-US" w:eastAsia="zh-CN" w:bidi="ar"/>
        </w:rPr>
        <w:t>建设单位</w:t>
      </w:r>
      <w:r>
        <w:rPr>
          <w:rFonts w:ascii="宋体" w:eastAsia="宋体" w:hAnsi="宋体" w:cs="宋体"/>
          <w:kern w:val="0"/>
          <w:sz w:val="24"/>
          <w:szCs w:val="24"/>
          <w:lang w:val="en-US" w:eastAsia="zh-CN" w:bidi="ar"/>
        </w:rPr>
        <w:t>项目负责人组织监理、施工、设计、勘察等单位项目负责人进行</w:t>
      </w:r>
      <w:r>
        <w:rPr>
          <w:rFonts w:ascii="宋体" w:eastAsia="宋体" w:hAnsi="宋体" w:cs="宋体"/>
          <w:b/>
          <w:bCs/>
          <w:kern w:val="0"/>
          <w:sz w:val="24"/>
          <w:szCs w:val="24"/>
          <w:lang w:val="en-US" w:eastAsia="zh-CN" w:bidi="ar"/>
        </w:rPr>
        <w:t>单位工程验收</w:t>
      </w:r>
      <w:r>
        <w:rPr>
          <w:rFonts w:ascii="宋体" w:eastAsia="宋体" w:hAnsi="宋体" w:cs="宋体"/>
          <w:kern w:val="0"/>
          <w:sz w:val="24"/>
          <w:szCs w:val="24"/>
          <w:lang w:val="en-US" w:eastAsia="zh-CN" w:bidi="ar"/>
        </w:rPr>
        <w:t>。</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Web"/>
        <w:keepNext w:val="0"/>
        <w:keepLines w:val="0"/>
        <w:widowControl/>
        <w:suppressLineNumbers w:val="0"/>
      </w:pPr>
      <w:r>
        <w:rPr>
          <w:rFonts w:ascii="宋体" w:eastAsia="宋体" w:hAnsi="宋体" w:cs="宋体"/>
          <w:kern w:val="0"/>
          <w:sz w:val="24"/>
          <w:szCs w:val="24"/>
          <w:lang w:val="en-US" w:eastAsia="zh-CN" w:bidi="ar"/>
        </w:rPr>
        <w:t>⑥单位工程中的分包工程完工后，分包单位应对所承包的工程项目进行自检，并按规定程序进行验收。验收时，总包单位应派人参加。分包单位应将所分包工程的质量控制资料整理完整，并移交给总包单位。建设单位组织单位工程质量验收时，分包单位负责人应参加验收。</w:t>
      </w:r>
      <w:r>
        <w:rPr>
          <w:rFonts w:ascii="宋体" w:eastAsia="宋体" w:hAnsi="宋体" w:cs="宋体"/>
          <w:kern w:val="0"/>
          <w:sz w:val="24"/>
          <w:szCs w:val="24"/>
          <w:lang w:val="en-US" w:eastAsia="zh-CN" w:bidi="ar"/>
        </w:rPr>
        <w:br/>
      </w:r>
    </w:p>
    <w:p/>
    <w:p>
      <w:r>
        <w:drawing>
          <wp:inline distT="0" distB="0" distL="114300" distR="114300">
            <wp:extent cx="5271770" cy="1482090"/>
            <wp:effectExtent l="0" t="0" r="508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0"/>
                    <a:stretch>
                      <a:fillRect/>
                    </a:stretch>
                  </pic:blipFill>
                  <pic:spPr>
                    <a:xfrm>
                      <a:off x="0" y="0"/>
                      <a:ext cx="5271770" cy="1482090"/>
                    </a:xfrm>
                    <a:prstGeom prst="rect">
                      <a:avLst/>
                    </a:prstGeom>
                    <a:noFill/>
                    <a:ln>
                      <a:noFill/>
                    </a:ln>
                  </pic:spPr>
                </pic:pic>
              </a:graphicData>
            </a:graphic>
          </wp:inline>
        </w:drawing>
      </w:r>
    </w:p>
    <w:p>
      <w:pPr>
        <w:pStyle w:val="NormalWeb"/>
        <w:keepNext w:val="0"/>
        <w:keepLines w:val="0"/>
        <w:widowControl/>
        <w:suppressLineNumbers w:val="0"/>
      </w:pPr>
      <w:r>
        <w:rPr>
          <w:rFonts w:ascii="宋体" w:eastAsia="宋体" w:hAnsi="宋体" w:cs="宋体"/>
          <w:kern w:val="0"/>
          <w:sz w:val="24"/>
          <w:szCs w:val="24"/>
          <w:lang w:val="en-US" w:eastAsia="zh-CN" w:bidi="ar"/>
        </w:rPr>
        <w:t>8、</w:t>
      </w:r>
      <w:r>
        <w:rPr>
          <w:rFonts w:ascii="宋体" w:eastAsia="宋体" w:hAnsi="宋体" w:cs="宋体"/>
          <w:b/>
          <w:bCs/>
          <w:kern w:val="0"/>
          <w:sz w:val="24"/>
          <w:szCs w:val="24"/>
          <w:lang w:val="en-US" w:eastAsia="zh-CN" w:bidi="ar"/>
        </w:rPr>
        <w:t>脚手架</w:t>
      </w:r>
      <w:r>
        <w:rPr>
          <w:rFonts w:ascii="宋体" w:eastAsia="宋体" w:hAnsi="宋体" w:cs="宋体"/>
          <w:kern w:val="0"/>
          <w:sz w:val="24"/>
          <w:szCs w:val="24"/>
          <w:lang w:val="en-US" w:eastAsia="zh-CN" w:bidi="ar"/>
        </w:rPr>
        <w:t>的检查与验收应由项</w:t>
      </w:r>
      <w:r>
        <w:rPr>
          <w:rFonts w:ascii="宋体" w:eastAsia="宋体" w:hAnsi="宋体" w:cs="宋体"/>
          <w:b/>
          <w:bCs/>
          <w:kern w:val="0"/>
          <w:sz w:val="24"/>
          <w:szCs w:val="24"/>
          <w:lang w:val="en-US" w:eastAsia="zh-CN" w:bidi="ar"/>
        </w:rPr>
        <w:t>目经理</w:t>
      </w:r>
      <w:r>
        <w:rPr>
          <w:rFonts w:ascii="宋体" w:eastAsia="宋体" w:hAnsi="宋体" w:cs="宋体"/>
          <w:kern w:val="0"/>
          <w:sz w:val="24"/>
          <w:szCs w:val="24"/>
          <w:lang w:val="en-US" w:eastAsia="zh-CN" w:bidi="ar"/>
        </w:rPr>
        <w:t>组织，项目施工、技术、安全、作业班组负责人等有关人员参加。</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9、危险性较大的分部分项工程</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（1）施工单位应当在危大工程施工前组织</w:t>
      </w:r>
      <w:r>
        <w:rPr>
          <w:rFonts w:ascii="宋体" w:eastAsia="宋体" w:hAnsi="宋体" w:cs="宋体"/>
          <w:b/>
          <w:bCs/>
          <w:kern w:val="0"/>
          <w:sz w:val="24"/>
          <w:szCs w:val="24"/>
          <w:lang w:val="en-US" w:eastAsia="zh-CN" w:bidi="ar"/>
        </w:rPr>
        <w:t>工程技术人员</w:t>
      </w:r>
      <w:r>
        <w:rPr>
          <w:rFonts w:ascii="宋体" w:eastAsia="宋体" w:hAnsi="宋体" w:cs="宋体"/>
          <w:kern w:val="0"/>
          <w:sz w:val="24"/>
          <w:szCs w:val="24"/>
          <w:lang w:val="en-US" w:eastAsia="zh-CN" w:bidi="ar"/>
        </w:rPr>
        <w:t>编制专项施工方案，实行施工总承包的，专项施工方案应当由施工总承包单位组织编制。危大工程实行分包的，专项施工方案可以由相关专业分包单位组织编制。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（2）专项施工方案应当由</w:t>
      </w:r>
      <w:r>
        <w:rPr>
          <w:rFonts w:ascii="宋体" w:eastAsia="宋体" w:hAnsi="宋体" w:cs="宋体"/>
          <w:b/>
          <w:bCs/>
          <w:kern w:val="0"/>
          <w:sz w:val="24"/>
          <w:szCs w:val="24"/>
          <w:lang w:val="en-US" w:eastAsia="zh-CN" w:bidi="ar"/>
        </w:rPr>
        <w:t>施工单位技术负责人审核签字、加盖单位公章</w:t>
      </w:r>
      <w:r>
        <w:rPr>
          <w:rFonts w:ascii="宋体" w:eastAsia="宋体" w:hAnsi="宋体" w:cs="宋体"/>
          <w:kern w:val="0"/>
          <w:sz w:val="24"/>
          <w:szCs w:val="24"/>
          <w:lang w:val="en-US" w:eastAsia="zh-CN" w:bidi="ar"/>
        </w:rPr>
        <w:t>，并由</w:t>
      </w:r>
      <w:r>
        <w:rPr>
          <w:rFonts w:ascii="宋体" w:eastAsia="宋体" w:hAnsi="宋体" w:cs="宋体"/>
          <w:b/>
          <w:bCs/>
          <w:kern w:val="0"/>
          <w:sz w:val="24"/>
          <w:szCs w:val="24"/>
          <w:lang w:val="en-US" w:eastAsia="zh-CN" w:bidi="ar"/>
        </w:rPr>
        <w:t>总监理工程师审查签字</w:t>
      </w:r>
      <w:r>
        <w:rPr>
          <w:rFonts w:ascii="宋体" w:eastAsia="宋体" w:hAnsi="宋体" w:cs="宋体"/>
          <w:kern w:val="0"/>
          <w:sz w:val="24"/>
          <w:szCs w:val="24"/>
          <w:lang w:val="en-US" w:eastAsia="zh-CN" w:bidi="ar"/>
        </w:rPr>
        <w:t>、</w:t>
      </w:r>
      <w:r>
        <w:rPr>
          <w:rFonts w:ascii="宋体" w:eastAsia="宋体" w:hAnsi="宋体" w:cs="宋体"/>
          <w:b/>
          <w:bCs/>
          <w:kern w:val="0"/>
          <w:sz w:val="24"/>
          <w:szCs w:val="24"/>
          <w:lang w:val="en-US" w:eastAsia="zh-CN" w:bidi="ar"/>
        </w:rPr>
        <w:t>加盖执业印章</w:t>
      </w:r>
      <w:r>
        <w:rPr>
          <w:rFonts w:ascii="宋体" w:eastAsia="宋体" w:hAnsi="宋体" w:cs="宋体"/>
          <w:kern w:val="0"/>
          <w:sz w:val="24"/>
          <w:szCs w:val="24"/>
          <w:lang w:val="en-US" w:eastAsia="zh-CN" w:bidi="ar"/>
        </w:rPr>
        <w:t>后方可实施。危大工程实行分包并由分包单位编制专项施工方案的，专项施工方案应当由</w:t>
      </w:r>
      <w:r>
        <w:rPr>
          <w:rFonts w:ascii="宋体" w:eastAsia="宋体" w:hAnsi="宋体" w:cs="宋体"/>
          <w:b/>
          <w:bCs/>
          <w:kern w:val="0"/>
          <w:sz w:val="24"/>
          <w:szCs w:val="24"/>
          <w:lang w:val="en-US" w:eastAsia="zh-CN" w:bidi="ar"/>
        </w:rPr>
        <w:t>总承包单位技术负责人及分包单位技术负责人共同审核签字并加盖单位公章。</w:t>
      </w:r>
      <w:r>
        <w:rPr>
          <w:rFonts w:ascii="宋体" w:eastAsia="宋体" w:hAnsi="宋体" w:cs="宋体"/>
          <w:b/>
          <w:bCs/>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（3）对于超过一定规模的危大工程，</w:t>
      </w:r>
      <w:r>
        <w:rPr>
          <w:rFonts w:ascii="宋体" w:eastAsia="宋体" w:hAnsi="宋体" w:cs="宋体"/>
          <w:b/>
          <w:bCs/>
          <w:kern w:val="0"/>
          <w:sz w:val="24"/>
          <w:szCs w:val="24"/>
          <w:lang w:val="en-US" w:eastAsia="zh-CN" w:bidi="ar"/>
        </w:rPr>
        <w:t>施工单位</w:t>
      </w:r>
      <w:r>
        <w:rPr>
          <w:rFonts w:ascii="宋体" w:eastAsia="宋体" w:hAnsi="宋体" w:cs="宋体"/>
          <w:kern w:val="0"/>
          <w:sz w:val="24"/>
          <w:szCs w:val="24"/>
          <w:lang w:val="en-US" w:eastAsia="zh-CN" w:bidi="ar"/>
        </w:rPr>
        <w:t>应当组织召开专家论证会对专项施工.方案进行论证。实行施工总承包的，由施工总承包单位组织召开专家论证会。专家论证前专项施工方案应当通过施工单位审核和总监理工程师审查。</w:t>
      </w:r>
      <w:r>
        <w:rPr>
          <w:rFonts w:ascii="宋体" w:eastAsia="宋体" w:hAnsi="宋体" w:cs="宋体"/>
          <w:kern w:val="0"/>
          <w:sz w:val="24"/>
          <w:szCs w:val="24"/>
          <w:lang w:val="en-US" w:eastAsia="zh-CN" w:bidi="ar"/>
        </w:rPr>
        <w:br/>
      </w:r>
    </w:p>
    <w:p>
      <w:r>
        <w:drawing>
          <wp:inline distT="0" distB="0" distL="114300" distR="114300">
            <wp:extent cx="5271770" cy="1355725"/>
            <wp:effectExtent l="0" t="0" r="5080" b="158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1"/>
                    <a:stretch>
                      <a:fillRect/>
                    </a:stretch>
                  </pic:blipFill>
                  <pic:spPr>
                    <a:xfrm>
                      <a:off x="0" y="0"/>
                      <a:ext cx="5271770" cy="1355725"/>
                    </a:xfrm>
                    <a:prstGeom prst="rect">
                      <a:avLst/>
                    </a:prstGeom>
                    <a:noFill/>
                    <a:ln>
                      <a:noFill/>
                    </a:ln>
                  </pic:spPr>
                </pic:pic>
              </a:graphicData>
            </a:graphic>
          </wp:inline>
        </w:drawing>
      </w:r>
    </w:p>
    <w:p/>
    <w:p/>
    <w:p/>
    <w:p>
      <w:pPr>
        <w:sectPr>
          <w:type w:val="nextPage"/>
          <w:pgSz w:w="11906" w:h="16838"/>
          <w:pgMar w:top="1440" w:right="1800" w:bottom="1440" w:left="1800" w:header="851" w:footer="992" w:gutter="0"/>
          <w:pgNumType w:start="4"/>
          <w:cols w:num="1" w:space="425"/>
          <w:titlePg w:val="0"/>
          <w:docGrid w:type="lines" w:linePitch="312" w:charSpace="0"/>
        </w:sectPr>
      </w:pPr>
    </w:p>
    <w:p>
      <w:bookmarkStart w:id="0" w:name="_GoBack"/>
      <w:bookmarkEnd w:id="0"/>
    </w:p>
    <w:p>
      <w:pPr>
        <w:sectPr>
          <w:type w:val="nextPage"/>
          <w:pgSz w:w="11906" w:h="16838"/>
          <w:pgMar w:top="1440" w:right="1800" w:bottom="1440" w:left="1800" w:header="851" w:footer="992" w:gutter="0"/>
          <w:pgNumType w:start="5"/>
          <w:cols w:num="1" w:space="425"/>
          <w:titlePg w:val="0"/>
          <w:docGrid w:type="lines" w:linePitch="312" w:charSpace="0"/>
        </w:sectPr>
      </w:pPr>
      <w:r>
        <w:rPr>
          <w:rFonts w:ascii="Helvetica" w:eastAsia="Helvetica" w:hAnsi="Helvetica" w:cs="Helvetica"/>
          <w:i w:val="0"/>
          <w:iCs w:val="0"/>
          <w:caps w:val="0"/>
          <w:color w:val="121212"/>
          <w:spacing w:val="0"/>
          <w:sz w:val="24"/>
          <w:szCs w:val="24"/>
          <w:shd w:val="clear" w:color="auto" w:fill="FFFFFF"/>
        </w:rPr>
        <w:t>1、验槽时必须具备哪些资料？</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（1）详勘阶段的岩土工程勘察报告。</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（2）附有基础平面和结构总说明的施工图阶段的结构图。</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（3）其他必须提供的文件或记录。</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2、大体积混凝土裂缝的控制措施</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（1）优先选用低水化热的矿渣水泥拌制混凝土，并适当使用缓凝减水剂。</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（2）在保证混凝土设计强度等级前提下，适当降低水灰比，减少水泥用量。</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（3）降低混凝土的入模温度，控制混凝土内外的温差（当设计无要求时，控制在25℃以内）。</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（4）及时对混凝土覆盖保温、保湿材料。</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（5）可在基础内预埋冷却水管，通入循环水，强制降低混凝土水化热产生的温度。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（6）在拌合混凝土时，还可掺入适量的微膨胀剂或膨胀水泥，使混凝土得到补偿收缩，减少混凝土的收缩变形。</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（7）设置后浇带。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（8）大体积混凝土可采用二次抹面工艺，减少表面收缩裂缝。</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p>
    <w:p>
      <w:pPr>
        <w:sectPr>
          <w:type w:val="nextPage"/>
          <w:pgSz w:w="11906" w:h="16838"/>
          <w:pgMar w:top="1440" w:right="1800" w:bottom="1440" w:left="1800" w:header="851" w:footer="992" w:gutter="0"/>
          <w:pgNumType w:start="6"/>
          <w:cols w:num="1" w:space="425"/>
          <w:titlePg w:val="0"/>
          <w:docGrid w:type="lines" w:linePitch="312" w:charSpace="0"/>
        </w:sectPr>
      </w:pPr>
      <w:r>
        <w:rPr>
          <w:rFonts w:ascii="Helvetica" w:eastAsia="Helvetica" w:hAnsi="Helvetica" w:cs="Helvetica" w:hint="default"/>
          <w:i w:val="0"/>
          <w:iCs w:val="0"/>
          <w:caps w:val="0"/>
          <w:color w:val="121212"/>
          <w:spacing w:val="0"/>
          <w:sz w:val="24"/>
          <w:szCs w:val="24"/>
          <w:shd w:val="clear" w:color="auto" w:fill="FFFFFF"/>
        </w:rPr>
        <w:t>3、钻孔灌注桩施工工艺流程</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场地平整→桩位放线→开挖浆池、浆沟→护筒埋设→钻机就位、孔位校正→成孔、泥浆循环、清除废浆、泥渣→第一次清孔→质量验收→下钢筋笼和钢导管→第二次清孔→浇筑水下混凝土→成桩。</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4、拆模的顺序</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模板拆除时，拆模的顺序和方法应按模板的设计规定进行。当设计无规定时，可采取先支的后拆、后支的先拆，先拆非承重模板、后拆承重模板的顺序，并应从上而下进行拆除。</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5、在施工缝处继续浇筑混凝土时，应符合下列规定</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（1）已浇筑的混凝土，其抗压强度不应小于1.2N/mm2。</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（2）在已硬化的混凝土表面上，应清除水泥薄膜和松动石子以及软弱混凝土层，并加以充分湿润和冲洗干净，且不得积水。</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（3）在浇筑混凝土前，宜先在施工缝处铺一层水泥浆（可掺适量界面剂）或与混凝土内成分相同的水泥砂浆。</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（4）混凝土应细致捣实，使新旧混凝土紧密结合。</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6、后浇带设置和处理</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p>
    <w:p>
      <w:pPr>
        <w:sectPr>
          <w:type w:val="nextPage"/>
          <w:pgSz w:w="11906" w:h="16838"/>
          <w:pgMar w:top="1440" w:right="1800" w:bottom="1440" w:left="1800" w:header="851" w:footer="992" w:gutter="0"/>
          <w:pgNumType w:start="7"/>
          <w:cols w:num="1" w:space="425"/>
          <w:titlePg w:val="0"/>
          <w:docGrid w:type="lines" w:linePitch="312" w:charSpace="0"/>
        </w:sectPr>
      </w:pPr>
      <w:r>
        <w:rPr>
          <w:rFonts w:ascii="Helvetica" w:eastAsia="Helvetica" w:hAnsi="Helvetica" w:cs="Helvetica" w:hint="default"/>
          <w:i w:val="0"/>
          <w:iCs w:val="0"/>
          <w:caps w:val="0"/>
          <w:color w:val="121212"/>
          <w:spacing w:val="0"/>
          <w:sz w:val="24"/>
          <w:szCs w:val="24"/>
          <w:shd w:val="clear" w:color="auto" w:fill="FFFFFF"/>
        </w:rPr>
        <w:t>（1）后浇带通常根据设计要求留设，并保留一段时间（若设计无要求，则至少保留14d）后再浇筑，将结构连成整体。</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（2）填充后浇带，可采用微膨胀混凝土，强度等级比原结构强度提高一级，并保持至少14d的湿润养护。后浇带接缝处接施工缝的要求处理。</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7、超长大体积混凝土施工，应选用下列方法控制结构不出现有害裂缝</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（1）留置变形缝。</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（2）后浇带施工。</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（3）跳仓法施工：跳仓的最大分块尺寸不宜大于40m，跳仓间隔施工的时间不宜小于7d，跳仓接缝处接施工缝的要求设置和处理。</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8、装配式专项施工方案的内容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包括工程概况、编制依据、进度计划、施工场地布置、预制构件运输与存放、安装与连接施工、成品保护、绿色施工、安全管理、质量管理、信息化管理、应急预案等内容。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9、饰面板工程应对下列材料及其性能指标进行复验</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（1）室内用花岗石板的放射性、室内用人造木板的甲醛释放量。</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（2）水泥基粘结料的粘结强度。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（3）外墙陶瓷板的吸水率。</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p>
    <w:p>
      <w:pPr>
        <w:sectPr>
          <w:type w:val="nextPage"/>
          <w:pgSz w:w="11906" w:h="16838"/>
          <w:pgMar w:top="1440" w:right="1800" w:bottom="1440" w:left="1800" w:header="851" w:footer="992" w:gutter="0"/>
          <w:pgNumType w:start="8"/>
          <w:cols w:num="1" w:space="425"/>
          <w:titlePg w:val="0"/>
          <w:docGrid w:type="lines" w:linePitch="312" w:charSpace="0"/>
        </w:sectPr>
      </w:pPr>
      <w:r>
        <w:rPr>
          <w:rFonts w:ascii="Helvetica" w:eastAsia="Helvetica" w:hAnsi="Helvetica" w:cs="Helvetica" w:hint="default"/>
          <w:i w:val="0"/>
          <w:iCs w:val="0"/>
          <w:caps w:val="0"/>
          <w:color w:val="121212"/>
          <w:spacing w:val="0"/>
          <w:sz w:val="24"/>
          <w:szCs w:val="24"/>
          <w:shd w:val="clear" w:color="auto" w:fill="FFFFFF"/>
        </w:rPr>
        <w:t>（4）严寒和寒冷地区外墙陶瓷板的抗冻性。</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10、饰面板工程应对下列隐蔽工程项目进行验收</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（1）预埋件（或后置埋件） 。</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（2）龙骨安装。</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（3）连接节点。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（4）防水、保温、防火节点。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（5）外墙金属板防雷连接节点。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11、饰面砖材料复验</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（1）室内用瓷质饰面砖的放射性。</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（2）水泥基粘结材料与所用外墙饰面砖的拉伸粘结强度。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（3）外墙陶瓷饰面砖的吸水率。</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（4）严寒及寒冷地区外墙陶瓷饰面砖的抗冻性。</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12、合同具有标的物特殊、周期长、条款多、内容繁杂、涉及面广的特点。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13、工程合同谈判一般由三部分人员组成</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（1）掌握建筑法律法规的相关人员。</w:t>
      </w:r>
      <w:r>
        <w:rPr>
          <w:rFonts w:ascii="Helvetica" w:eastAsia="Helvetica" w:hAnsi="Helvetica" w:cs="Helvetica" w:hint="default"/>
          <w:i w:val="0"/>
          <w:iCs w:val="0"/>
          <w:caps w:val="0"/>
          <w:color w:val="121212"/>
          <w:spacing w:val="0"/>
          <w:sz w:val="24"/>
          <w:szCs w:val="24"/>
          <w:shd w:val="clear" w:color="auto" w:fill="FFFFFF"/>
        </w:rPr>
        <w:br/>
      </w:r>
    </w:p>
    <w:p>
      <w:pPr>
        <w:sectPr>
          <w:type w:val="nextPage"/>
          <w:pgSz w:w="11906" w:h="16838"/>
          <w:pgMar w:top="1440" w:right="1800" w:bottom="1440" w:left="1800" w:header="851" w:footer="992" w:gutter="0"/>
          <w:pgNumType w:start="9"/>
          <w:cols w:num="1" w:space="425"/>
          <w:titlePg w:val="0"/>
          <w:docGrid w:type="lines" w:linePitch="312" w:charSpace="0"/>
        </w:sectPr>
      </w:pP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（2）懂得工程技术知识的人员。</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（3）懂经济知识的人员，保障公平合理的利润。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14、尽量采用当地行政部门制定的通用合同示范文本，完整填写合同内容。采用当地行政部门制定的通用合同示范文本，具有规范性、程序性、系统性、实用性、平等性、合法性，做到了内容详尽、条理清晰、责权明晰。</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15、合同变更程序</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（1）提出合同变更申请。</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（2）报项目经理审查、批准。必要时，经企业合同管理部门负责人签认，重大的合同变更须报企业负责人签认。</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（3）经业主签认，形成书面文件。</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（4）组织实施。</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16、总承包合同一经签订，总承包单位需要对建设单位承担整个工程项目的质量、安全、进度、文明施工、成本、保修等全部责任，即使总承包单位没有向专业分包单位收取管理费，并不影响总承包单位的承担义务。</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17、总包单位为专业分包单位提供住所、办公、水电接驳口、垃圾集中处理、脚手架、垂直运输设备、门窗洞口、管道洞口等。</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p>
    <w:p>
      <w:pPr>
        <w:sectPr>
          <w:type w:val="nextPage"/>
          <w:pgSz w:w="11906" w:h="16838"/>
          <w:pgMar w:top="1440" w:right="1800" w:bottom="1440" w:left="1800" w:header="851" w:footer="992" w:gutter="0"/>
          <w:pgNumType w:start="10"/>
          <w:cols w:num="1" w:space="425"/>
          <w:titlePg w:val="0"/>
          <w:docGrid w:type="lines" w:linePitch="312" w:charSpace="0"/>
        </w:sectPr>
      </w:pPr>
      <w:r>
        <w:rPr>
          <w:rFonts w:ascii="Helvetica" w:eastAsia="Helvetica" w:hAnsi="Helvetica" w:cs="Helvetica" w:hint="default"/>
          <w:i w:val="0"/>
          <w:iCs w:val="0"/>
          <w:caps w:val="0"/>
          <w:color w:val="121212"/>
          <w:spacing w:val="0"/>
          <w:sz w:val="24"/>
          <w:szCs w:val="24"/>
          <w:shd w:val="clear" w:color="auto" w:fill="FFFFFF"/>
        </w:rPr>
        <w:t>18、因下列原因之一造成分包工程工期延误，经总包项目经理确认，工期相应顺延</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（1）承包人根据总包合同从工程师处获得与分包合同相关的竣工时间延长。</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（2）承包人未按本合同专用条款的约定提供图纸、开工条件、设备设施、施工场地。</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（3）承包人未按约定日期支付工程预付款、进度款，致使分包工程施工不能正常进行。</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（4）项目经理未按分包合同约定提供所需的指令、批准或所发出的指令错误，致使分 包工程施工不能正常进行。</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（5）非分包人原因的分包工程范围内的工程变更及工程量增加。</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（6）不可抗力的原因。</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（7）本合同专用条款中约定的或项目经理同意工期顺延的其他情况。</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19、施工组织设计按编制对象，可分为施工组织总设计、单位工程施工组织设计和施工方案。</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20、项目施工过程中，如发生以下情况之一时，施工组织设计应及时进行修改或补充</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（1）工程设计有重大修改。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（2）有关法律、法规、规范和标准实施、修订和废止。</w:t>
      </w:r>
      <w:r>
        <w:rPr>
          <w:rFonts w:ascii="Helvetica" w:eastAsia="Helvetica" w:hAnsi="Helvetica" w:cs="Helvetica" w:hint="default"/>
          <w:i w:val="0"/>
          <w:iCs w:val="0"/>
          <w:caps w:val="0"/>
          <w:color w:val="121212"/>
          <w:spacing w:val="0"/>
          <w:sz w:val="24"/>
          <w:szCs w:val="24"/>
          <w:shd w:val="clear" w:color="auto" w:fill="FFFFFF"/>
        </w:rPr>
        <w:br/>
      </w:r>
    </w:p>
    <w:p>
      <w:pPr>
        <w:sectPr>
          <w:type w:val="nextPage"/>
          <w:pgSz w:w="11906" w:h="16838"/>
          <w:pgMar w:top="1440" w:right="1800" w:bottom="1440" w:left="1800" w:header="851" w:footer="992" w:gutter="0"/>
          <w:pgNumType w:start="11"/>
          <w:cols w:num="1" w:space="425"/>
          <w:titlePg w:val="0"/>
          <w:docGrid w:type="lines" w:linePitch="312" w:charSpace="0"/>
        </w:sectPr>
      </w:pP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（3）主要施工方法有重大调整。</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（4）主要施工资源配置有重大调整。</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（5）施工环境有重大改变。</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21、工程目标</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质量、进度、成本、安全、环保及节能、绿色施工等管理目标。</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22、根据施工总体部署和施工进度计划要求，做出分包计划、劳动力使用计划、材料供应计划和机械设备供应计划。</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23、施工顺序确定原则</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工序合理、工艺先进、保证质量、安全施工、充分利用工作面、缩短工期。</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24、施工方法确定原则</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遵循先进性、可行性和经济性兼顾的原则。</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25、节能体现在施工现场管理方面主要有：临时用电设施，机械设备，临时设施，材料运输与施工等。</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p>
    <w:p>
      <w:pPr>
        <w:sectPr>
          <w:type w:val="nextPage"/>
          <w:pgSz w:w="11906" w:h="16838"/>
          <w:pgMar w:top="1440" w:right="1800" w:bottom="1440" w:left="1800" w:header="851" w:footer="992" w:gutter="0"/>
          <w:pgNumType w:start="12"/>
          <w:cols w:num="1" w:space="425"/>
          <w:titlePg w:val="0"/>
          <w:docGrid w:type="lines" w:linePitch="312" w:charSpace="0"/>
        </w:sectPr>
      </w:pPr>
      <w:r>
        <w:rPr>
          <w:rFonts w:ascii="Helvetica" w:eastAsia="Helvetica" w:hAnsi="Helvetica" w:cs="Helvetica" w:hint="default"/>
          <w:i w:val="0"/>
          <w:iCs w:val="0"/>
          <w:caps w:val="0"/>
          <w:color w:val="121212"/>
          <w:spacing w:val="0"/>
          <w:sz w:val="24"/>
          <w:szCs w:val="24"/>
          <w:shd w:val="clear" w:color="auto" w:fill="FFFFFF"/>
        </w:rPr>
        <w:t>26、在居民和单位密集区域进行爆破、打桩等施工作业前，施工单位除按规定报告申请批准外，还应将作业计划、影响范围、程度及有关情况向周边居民和单位通报说明，取得协作和配合。对于施工机械噪声与振动扰民，应有相应的降噪减振控制措施。</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27、施工时发现的文物、爆炸物、不明管线电缆等，应当停止施工，保护好现场，及时向有关部门报告，按照有关规定处理后方可继续施工。</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28、施工现场应配备常用药品及绷带、止血带、颈托、担架等急救器材。</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29、现场临时用水包括生产用水、机械用水、生活用水和消防用水。</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30、现场存在安全风险的重要部位和关键岗位必须设置能提供相应安全信息的安全警示牌。根据有关规定，现场出入口、施工起重机械、临时用电设施、脚手架、通道口、楼梯口、电梯井口、孔洞、基坑边沿、爆炸物及有毒有害物质存放处等属于存在安全风险的重要部位，应当设置明显的安全警示标牌。</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31、建设工程施工现场综合考评的内容，分为建筑业企业的施工组织管理、工程质量管理、施工安全管理、文明施工管理和建设、监理单位的现场管理等五个方面。</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32、按编制对象的不同可分为：施工总进度计划、单位工程进度计划、分阶段（或专项工程）工程进度计划、分部分项工程进度计划四种。</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33、施工监督计划监测与检查的内容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（1）根据项目进展，不断观测每一项工作的实际开始时间，实际完成时间、实际持续时间、目前现状等内容，并加以记录。</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（2）定期观测关键工作的进度和关键线路的变化情况，并相应采取措施进行调整。</w:t>
      </w:r>
      <w:r>
        <w:rPr>
          <w:rFonts w:ascii="Helvetica" w:eastAsia="Helvetica" w:hAnsi="Helvetica" w:cs="Helvetica" w:hint="default"/>
          <w:i w:val="0"/>
          <w:iCs w:val="0"/>
          <w:caps w:val="0"/>
          <w:color w:val="121212"/>
          <w:spacing w:val="0"/>
          <w:sz w:val="24"/>
          <w:szCs w:val="24"/>
          <w:shd w:val="clear" w:color="auto" w:fill="FFFFFF"/>
        </w:rPr>
        <w:br/>
      </w:r>
    </w:p>
    <w:p>
      <w:pPr>
        <w:sectPr>
          <w:type w:val="nextPage"/>
          <w:pgSz w:w="11906" w:h="16838"/>
          <w:pgMar w:top="1440" w:right="1800" w:bottom="1440" w:left="1800" w:header="851" w:footer="992" w:gutter="0"/>
          <w:pgNumType w:start="13"/>
          <w:cols w:num="1" w:space="425"/>
          <w:titlePg w:val="0"/>
          <w:docGrid w:type="lines" w:linePitch="312" w:charSpace="0"/>
        </w:sectPr>
      </w:pP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（3）观测检查非关键工作的进度，以便更好的发掘潜力，调整或优化资源。</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（4）定期检查工作之间的逻辑关系变化情况，宜适时进行资源调整。</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（5）有关项目范围、进度目标、保障措施变更的信息等，应及时记录。</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34、施工进度计划调整的内容</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工程量、起止时间、持续时间、工作关系、资源供应等。</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35、进度计划调整的方法</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（1）关键工作的调整。本方法是进度计划调整的重点，也是最常用的方法之一。</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（2）改变某些工作间的逻辑关系。</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（3）剩余工作重新编制进度计划。</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（4）非关键工作调整。</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（5）资源调整。</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36、质量验证包括材料品种、型号、规格、数量、外观检查和见证取样。</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37、检测试验管理制度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（1）岗位职责。</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（2）现场试样制取及养护管理制度。</w:t>
      </w:r>
      <w:r>
        <w:rPr>
          <w:rFonts w:ascii="Helvetica" w:eastAsia="Helvetica" w:hAnsi="Helvetica" w:cs="Helvetica" w:hint="default"/>
          <w:i w:val="0"/>
          <w:iCs w:val="0"/>
          <w:caps w:val="0"/>
          <w:color w:val="121212"/>
          <w:spacing w:val="0"/>
          <w:sz w:val="24"/>
          <w:szCs w:val="24"/>
          <w:shd w:val="clear" w:color="auto" w:fill="FFFFFF"/>
        </w:rPr>
        <w:br/>
      </w:r>
    </w:p>
    <w:p>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（3）仪器设备管理制度。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（4）现场检测试验安全管理制度。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（5）检测试验报告管理制度。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38、施工现场检测试验技术管理程序</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（1）制订检测试验计划。</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（2）制取试样。</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（3）登记台账。</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（4）送检。</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（5）检测试验。</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（6）检测试验报告管理。</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39、当设计变更，施工工艺改变，施工进度调整，材料和设备的规格、型号或数量变化时应及时调整施工检测试验计划。</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40、钢筋进场时，检查钢筋性能及重量</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按国家现行有关标准抽样检验屈服强度、抗拉强度、伸长率及单位长度重量偏差。</w:t>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br/>
      </w:r>
      <w:r>
        <w:rPr>
          <w:rFonts w:ascii="Helvetica" w:eastAsia="Helvetica" w:hAnsi="Helvetica" w:cs="Helvetica" w:hint="default"/>
          <w:i w:val="0"/>
          <w:iCs w:val="0"/>
          <w:caps w:val="0"/>
          <w:color w:val="121212"/>
          <w:spacing w:val="0"/>
          <w:sz w:val="24"/>
          <w:szCs w:val="24"/>
          <w:shd w:val="clear" w:color="auto" w:fill="FFFFFF"/>
        </w:rPr>
        <w:t>41、混凝土原材料进场复验</w:t>
      </w:r>
      <w:r>
        <w:rPr>
          <w:rFonts w:ascii="Helvetica" w:eastAsia="Helvetica" w:hAnsi="Helvetica" w:cs="Helvetica" w:hint="default"/>
          <w:i w:val="0"/>
          <w:iCs w:val="0"/>
          <w:caps w:val="0"/>
          <w:color w:val="121212"/>
          <w:spacing w:val="0"/>
          <w:sz w:val="24"/>
          <w:szCs w:val="24"/>
          <w:shd w:val="clear" w:color="auto" w:fill="FFFFFF"/>
        </w:rP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https://d.book118.com/627152120010006046</w:t>
        </w:r>
      </w:hyperlink>
    </w:p>
    <w:p/>
    <w:sectPr>
      <w:type w:val="nextPage"/>
      <w:pgSz w:w="11906" w:h="16838"/>
      <w:pgMar w:top="1440" w:right="1800" w:bottom="1440" w:left="180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0E88CDF"/>
    <w:multiLevelType w:val="singleLevel"/>
    <w:tmpl w:val="F0E88CDF"/>
    <w:lvl w:ilvl="0">
      <w:start w:val="2"/>
      <w:numFmt w:val="decimal"/>
      <w:suff w:val="nothing"/>
      <w:lvlText w:val="%1、"/>
      <w:lvlJc w:val="left"/>
    </w:lvl>
  </w:abstractNum>
  <w:abstractNum w:abstractNumId="1">
    <w:nsid w:val="0D96726B"/>
    <w:multiLevelType w:val="singleLevel"/>
    <w:tmpl w:val="0D96726B"/>
    <w:lvl w:ilvl="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1A0339"/>
    <w:rsid w:val="0D4D2E19"/>
    <w:rsid w:val="47D67DD5"/>
    <w:rsid w:val="6FB62831"/>
  </w:rsids>
  <w:docVars>
    <w:docVar w:name="commondata" w:val="eyJoZGlkIjoiYzBhZjkwODk4NjJkMDk2ZjZkOTJjNDRlMGU2ZGZhM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627152120010006046"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26</TotalTime>
  <Pages>19</Pages>
  <Words>10446</Words>
  <Characters>10628</Characters>
  <Application>Microsoft Office Word</Application>
  <DocSecurity>0</DocSecurity>
  <Lines>0</Lines>
  <Paragraphs>0</Paragraphs>
  <ScaleCrop>false</ScaleCrop>
  <Company/>
  <LinksUpToDate>false</LinksUpToDate>
  <CharactersWithSpaces>10644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2023-05-24T02:38:05Z</dcterms:created>
  <dcterms:modified xsi:type="dcterms:W3CDTF">2023-05-24T03:04:15Z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C20546F6C3344D9FBC6DA0E61C373CC8_12</vt:lpwstr>
  </property>
  <property fmtid="{D5CDD505-2E9C-101B-9397-08002B2CF9AE}" pid="3" name="KSOProductBuildVer">
    <vt:lpwstr>2052-11.1.0.14309</vt:lpwstr>
  </property>
</Properties>
</file>