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Title"/>
        <w:tabs>
          <w:tab w:val="left" w:pos="1987"/>
        </w:tabs>
      </w:pPr>
      <w:r>
        <w:rPr>
          <w:color w:val="323232"/>
        </w:rPr>
        <w:t>目</w:t>
        <w:tab/>
        <w:t>录</w:t>
      </w:r>
    </w:p>
    <w:p>
      <w:pPr>
        <w:pStyle w:val="BodyText"/>
        <w:spacing w:before="8"/>
        <w:rPr>
          <w:b/>
          <w:sz w:val="28"/>
        </w:rPr>
      </w:pPr>
    </w:p>
    <w:p>
      <w:pPr>
        <w:tabs>
          <w:tab w:val="left" w:pos="5522"/>
        </w:tabs>
        <w:spacing w:before="37"/>
        <w:ind w:left="3597" w:right="0" w:firstLine="0"/>
        <w:jc w:val="left"/>
        <w:rPr>
          <w:sz w:val="45"/>
        </w:rPr>
      </w:pPr>
      <w:r>
        <w:rPr>
          <w:color w:val="323232"/>
          <w:sz w:val="45"/>
        </w:rPr>
        <w:t>第一章</w:t>
        <w:tab/>
        <w:t>工程概况</w:t>
      </w:r>
    </w:p>
    <w:p>
      <w:pPr>
        <w:tabs>
          <w:tab w:val="left" w:pos="5522"/>
        </w:tabs>
        <w:spacing w:before="359" w:line="388" w:lineRule="auto"/>
        <w:ind w:left="3597" w:right="8734" w:firstLine="0"/>
        <w:jc w:val="left"/>
        <w:rPr>
          <w:sz w:val="45"/>
        </w:rPr>
      </w:pPr>
      <w:r>
        <w:rPr>
          <w:color w:val="323232"/>
          <w:sz w:val="45"/>
        </w:rPr>
        <w:t>第二章</w:t>
        <w:tab/>
        <w:t>工程整体施工部</w:t>
      </w:r>
      <w:r>
        <w:rPr>
          <w:color w:val="323232"/>
          <w:spacing w:val="-17"/>
          <w:sz w:val="45"/>
        </w:rPr>
        <w:t>署</w:t>
      </w:r>
      <w:r>
        <w:rPr>
          <w:color w:val="323232"/>
          <w:sz w:val="45"/>
        </w:rPr>
        <w:t>第三章</w:t>
        <w:tab/>
        <w:t>施工总平面布置</w:t>
      </w:r>
    </w:p>
    <w:p>
      <w:pPr>
        <w:spacing w:after="0" w:line="388" w:lineRule="auto"/>
        <w:jc w:val="left"/>
        <w:rPr>
          <w:sz w:val="45"/>
        </w:rPr>
        <w:sectPr>
          <w:headerReference w:type="default" r:id="rId4"/>
          <w:footerReference w:type="default" r:id="rId5"/>
          <w:type w:val="continuous"/>
          <w:pgSz w:w="17860" w:h="25260"/>
          <w:pgMar w:top="1300" w:right="0" w:bottom="2200" w:left="0" w:header="1096" w:footer="2009"/>
          <w:pgNumType w:start="1"/>
          <w:cols w:space="708"/>
        </w:sectPr>
      </w:pPr>
    </w:p>
    <w:p>
      <w:pPr>
        <w:spacing w:before="4" w:line="388" w:lineRule="auto"/>
        <w:ind w:left="3597" w:right="0" w:firstLine="0"/>
        <w:jc w:val="both"/>
        <w:rPr>
          <w:sz w:val="45"/>
        </w:rPr>
      </w:pPr>
      <w:r>
        <w:rPr>
          <w:color w:val="323232"/>
          <w:spacing w:val="-7"/>
          <w:sz w:val="45"/>
        </w:rPr>
        <w:t>第四章第五章第六章第七章第八章第九章</w:t>
      </w:r>
      <w:r>
        <w:rPr>
          <w:spacing w:val="-7"/>
          <w:sz w:val="45"/>
        </w:rPr>
        <w:t>第十章</w:t>
      </w:r>
    </w:p>
    <w:p>
      <w:pPr>
        <w:pStyle w:val="BodyText"/>
        <w:spacing w:before="2"/>
        <w:rPr>
          <w:sz w:val="41"/>
        </w:rPr>
      </w:pPr>
    </w:p>
    <w:p>
      <w:pPr>
        <w:pStyle w:val="BodyText"/>
        <w:spacing w:line="417" w:lineRule="auto"/>
        <w:ind w:left="3535" w:right="145"/>
        <w:jc w:val="both"/>
      </w:pPr>
      <w:r>
        <w:rPr>
          <w:color w:val="323232"/>
          <w:spacing w:val="-6"/>
        </w:rPr>
        <w:t>附表一附表二附表三附表四附表五附表六</w:t>
      </w:r>
    </w:p>
    <w:p>
      <w:pPr>
        <w:spacing w:before="4" w:line="388" w:lineRule="auto"/>
        <w:ind w:left="535" w:right="6934" w:firstLine="0"/>
        <w:jc w:val="both"/>
        <w:rPr>
          <w:sz w:val="45"/>
        </w:rPr>
      </w:pPr>
      <w:r>
        <w:br w:type="column"/>
      </w:r>
      <w:r>
        <w:rPr>
          <w:color w:val="323232"/>
          <w:spacing w:val="-2"/>
          <w:sz w:val="45"/>
        </w:rPr>
        <w:t>主要分部分项工程施工工艺整体及各阶段施工进度计划</w:t>
      </w:r>
      <w:r>
        <w:rPr>
          <w:color w:val="323232"/>
          <w:sz w:val="45"/>
        </w:rPr>
        <w:t>质量保证措施</w:t>
      </w:r>
    </w:p>
    <w:p>
      <w:pPr>
        <w:spacing w:before="7"/>
        <w:ind w:left="535" w:right="0" w:firstLine="0"/>
        <w:jc w:val="left"/>
        <w:rPr>
          <w:sz w:val="45"/>
        </w:rPr>
      </w:pPr>
      <w:r>
        <w:rPr>
          <w:color w:val="323232"/>
          <w:sz w:val="45"/>
        </w:rPr>
        <w:t>雨季施工措施</w:t>
      </w:r>
    </w:p>
    <w:p>
      <w:pPr>
        <w:spacing w:before="360" w:line="388" w:lineRule="auto"/>
        <w:ind w:left="535" w:right="8734" w:firstLine="0"/>
        <w:jc w:val="left"/>
        <w:rPr>
          <w:sz w:val="45"/>
        </w:rPr>
      </w:pPr>
      <w:r>
        <w:rPr>
          <w:color w:val="323232"/>
          <w:spacing w:val="-3"/>
          <w:sz w:val="45"/>
        </w:rPr>
        <w:t>安全施工保证措施</w:t>
      </w:r>
      <w:r>
        <w:rPr>
          <w:color w:val="323232"/>
          <w:sz w:val="45"/>
        </w:rPr>
        <w:t>文明施工措施</w:t>
      </w:r>
    </w:p>
    <w:p>
      <w:pPr>
        <w:spacing w:before="4"/>
        <w:ind w:left="535" w:right="0" w:firstLine="0"/>
        <w:jc w:val="left"/>
        <w:rPr>
          <w:sz w:val="45"/>
        </w:rPr>
      </w:pPr>
      <w:r>
        <w:rPr>
          <w:sz w:val="45"/>
        </w:rPr>
        <w:t>与业主、监理的配合、协调、管理、服务方案</w:t>
      </w:r>
    </w:p>
    <w:p>
      <w:pPr>
        <w:pStyle w:val="BodyText"/>
        <w:rPr>
          <w:sz w:val="44"/>
        </w:rPr>
      </w:pPr>
    </w:p>
    <w:p>
      <w:pPr>
        <w:pStyle w:val="BodyText"/>
        <w:spacing w:before="308"/>
        <w:ind w:left="345"/>
      </w:pPr>
      <w:r>
        <w:t>拟投入本标段的主要施工设备表</w:t>
      </w:r>
    </w:p>
    <w:p>
      <w:pPr>
        <w:pStyle w:val="BodyText"/>
        <w:rPr>
          <w:sz w:val="31"/>
        </w:rPr>
      </w:pPr>
    </w:p>
    <w:p>
      <w:pPr>
        <w:pStyle w:val="BodyText"/>
        <w:spacing w:line="417" w:lineRule="auto"/>
        <w:ind w:left="345" w:right="5366"/>
      </w:pPr>
      <w:r>
        <w:t>拟配备本标段的试验和检测仪器设备表劳动力计划表</w:t>
      </w:r>
    </w:p>
    <w:p>
      <w:pPr>
        <w:pStyle w:val="BodyText"/>
        <w:spacing w:line="417" w:lineRule="auto"/>
        <w:ind w:left="345" w:right="6207"/>
      </w:pPr>
      <w:r>
        <w:t>计划开竣工日期和施工进度计划图现场平面布置图</w:t>
      </w:r>
    </w:p>
    <w:p>
      <w:pPr>
        <w:pStyle w:val="BodyText"/>
        <w:ind w:left="345"/>
      </w:pPr>
      <w:r>
        <w:t>临时用地表</w:t>
      </w:r>
    </w:p>
    <w:p>
      <w:pPr>
        <w:spacing w:after="0"/>
        <w:sectPr>
          <w:headerReference w:type="default" r:id="rId6"/>
          <w:footerReference w:type="default" r:id="rId7"/>
          <w:type w:val="continuous"/>
          <w:pgSz w:w="17860" w:h="25260"/>
          <w:pgMar w:top="1300" w:right="0" w:bottom="2200" w:left="0" w:header="708" w:footer="708"/>
          <w:pgNumType w:start="2"/>
          <w:cols w:num="2" w:space="708" w:equalWidth="0">
            <w:col w:w="4948" w:space="40"/>
            <w:col w:w="12872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</w:p>
    <w:p>
      <w:pPr>
        <w:pStyle w:val="Heading1"/>
        <w:spacing w:before="37"/>
      </w:pPr>
      <w:r>
        <w:rPr>
          <w:color w:val="323232"/>
        </w:rPr>
        <w:t>第一章、工程概况</w:t>
      </w:r>
    </w:p>
    <w:p>
      <w:pPr>
        <w:pStyle w:val="BodyText"/>
        <w:spacing w:before="350" w:line="424" w:lineRule="auto"/>
        <w:ind w:left="2697" w:right="2524" w:firstLine="1965"/>
      </w:pPr>
      <w:r>
        <w:rPr>
          <w:color w:val="323232"/>
        </w:rPr>
        <w:t>本工程为</w:t>
      </w:r>
      <w:r>
        <w:rPr>
          <w:spacing w:val="-2"/>
        </w:rPr>
        <w:t>光谷产业园二期工程</w:t>
      </w:r>
      <w:r>
        <w:rPr>
          <w:color w:val="323232"/>
          <w:spacing w:val="-2"/>
        </w:rPr>
        <w:t>场地平整土方工程。</w:t>
      </w:r>
      <w:r>
        <w:t>位于黄</w:t>
      </w:r>
      <w:r>
        <w:rPr>
          <w:spacing w:val="-1"/>
        </w:rPr>
        <w:t>冈市黄州区，东与新桥街相邻，是新桥村名住宅区，位于城区主干道中环路北侧，交通便利。</w:t>
      </w:r>
      <w:r>
        <w:rPr>
          <w:color w:val="323232"/>
          <w:spacing w:val="-21"/>
        </w:rPr>
        <w:t xml:space="preserve">工期要求 </w:t>
      </w:r>
      <w:r>
        <w:rPr>
          <w:rFonts w:ascii="Arial" w:eastAsia="Arial"/>
          <w:color w:val="323232"/>
        </w:rPr>
        <w:t xml:space="preserve">90 </w:t>
      </w:r>
      <w:r>
        <w:rPr>
          <w:color w:val="323232"/>
          <w:spacing w:val="-12"/>
        </w:rPr>
        <w:t xml:space="preserve">日历天，总计填方 </w:t>
      </w:r>
      <w:r>
        <w:rPr>
          <w:rFonts w:ascii="Arial" w:eastAsia="Arial"/>
          <w:color w:val="323232"/>
        </w:rPr>
        <w:t xml:space="preserve">639200 </w:t>
      </w:r>
      <w:r>
        <w:rPr>
          <w:color w:val="323232"/>
        </w:rPr>
        <w:t>立方米，故本工程工程量任务大，工期紧。</w:t>
      </w:r>
    </w:p>
    <w:p>
      <w:pPr>
        <w:pStyle w:val="BodyText"/>
      </w:pPr>
    </w:p>
    <w:p>
      <w:pPr>
        <w:pStyle w:val="Heading1"/>
        <w:spacing w:before="342"/>
      </w:pPr>
      <w:r>
        <w:rPr>
          <w:color w:val="323232"/>
        </w:rPr>
        <w:t>第二章、工程整体施工部署</w:t>
      </w:r>
    </w:p>
    <w:p>
      <w:pPr>
        <w:pStyle w:val="BodyText"/>
        <w:spacing w:before="9"/>
        <w:rPr>
          <w:b/>
          <w:sz w:val="62"/>
        </w:rPr>
      </w:pPr>
    </w:p>
    <w:p>
      <w:pPr>
        <w:pStyle w:val="BodyText"/>
        <w:spacing w:before="1"/>
        <w:ind w:left="3597"/>
      </w:pPr>
      <w:r>
        <w:rPr>
          <w:rFonts w:ascii="Arial" w:eastAsia="Arial"/>
          <w:color w:val="323232"/>
        </w:rPr>
        <w:t>1</w:t>
      </w:r>
      <w:r>
        <w:rPr>
          <w:color w:val="323232"/>
        </w:rPr>
        <w:t>、施工总体设想：</w:t>
      </w:r>
    </w:p>
    <w:p>
      <w:pPr>
        <w:pStyle w:val="BodyText"/>
        <w:spacing w:before="465" w:line="417" w:lineRule="auto"/>
        <w:ind w:left="2697" w:right="2688" w:firstLine="899"/>
      </w:pPr>
      <w:r>
        <w:rPr>
          <w:color w:val="323232"/>
        </w:rPr>
        <w:t>根据本工程原始地形地貌特点和平整设计施工要求</w:t>
      </w:r>
      <w:r>
        <w:rPr>
          <w:color w:val="323232"/>
          <w:spacing w:val="-41"/>
        </w:rPr>
        <w:t>，拟订以下总</w:t>
      </w:r>
      <w:r>
        <w:rPr>
          <w:color w:val="323232"/>
        </w:rPr>
        <w:t>体施工部署大纲：</w:t>
      </w:r>
    </w:p>
    <w:p>
      <w:pPr>
        <w:pStyle w:val="ListParagraph"/>
        <w:numPr>
          <w:ilvl w:val="0"/>
          <w:numId w:val="18"/>
        </w:numPr>
        <w:tabs>
          <w:tab w:val="left" w:pos="5409"/>
        </w:tabs>
        <w:spacing w:before="0" w:after="0" w:line="471" w:lineRule="exact"/>
        <w:ind w:left="5408" w:right="0" w:hanging="1020"/>
        <w:jc w:val="left"/>
        <w:rPr>
          <w:sz w:val="42"/>
        </w:rPr>
      </w:pPr>
      <w:r>
        <w:rPr>
          <w:color w:val="323232"/>
          <w:sz w:val="42"/>
        </w:rPr>
        <w:t>本工程列为公司重点施工项目、抽调公司各部门专业</w:t>
      </w:r>
    </w:p>
    <w:p>
      <w:pPr>
        <w:pStyle w:val="BodyText"/>
        <w:spacing w:before="465"/>
        <w:ind w:left="2697"/>
      </w:pPr>
      <w:r>
        <w:rPr>
          <w:color w:val="323232"/>
        </w:rPr>
        <w:t>人员组建该工程专职指挥部，详细制定各项施工计划和管理制度。</w:t>
      </w:r>
    </w:p>
    <w:p>
      <w:pPr>
        <w:pStyle w:val="ListParagraph"/>
        <w:numPr>
          <w:ilvl w:val="0"/>
          <w:numId w:val="18"/>
        </w:numPr>
        <w:tabs>
          <w:tab w:val="left" w:pos="5474"/>
        </w:tabs>
        <w:spacing w:before="331" w:after="0" w:line="427" w:lineRule="auto"/>
        <w:ind w:left="2697" w:right="2524" w:firstLine="1699"/>
        <w:jc w:val="left"/>
        <w:rPr>
          <w:sz w:val="42"/>
        </w:rPr>
      </w:pPr>
      <w:r>
        <w:rPr>
          <w:color w:val="323232"/>
          <w:sz w:val="42"/>
        </w:rPr>
        <w:t>项目施工方案采取划分作业区域同时并行施工，每区</w:t>
      </w:r>
      <w:r>
        <w:rPr>
          <w:color w:val="323232"/>
          <w:spacing w:val="-1"/>
          <w:sz w:val="42"/>
        </w:rPr>
        <w:t>域内分段、分层、分面流水作业。详细制定各项施工操作方案，分阶段制定各项工期计划。固定计划施工大队，细分作业班组，保证充足</w:t>
      </w:r>
      <w:r>
        <w:rPr>
          <w:color w:val="323232"/>
          <w:sz w:val="42"/>
        </w:rPr>
        <w:t>劳动力，按质、按量、按期完成。</w:t>
      </w:r>
    </w:p>
    <w:p>
      <w:pPr>
        <w:pStyle w:val="ListParagraph"/>
        <w:numPr>
          <w:ilvl w:val="0"/>
          <w:numId w:val="18"/>
        </w:numPr>
        <w:tabs>
          <w:tab w:val="left" w:pos="5474"/>
        </w:tabs>
        <w:spacing w:before="0" w:after="0" w:line="452" w:lineRule="exact"/>
        <w:ind w:left="5473" w:right="0" w:hanging="1078"/>
        <w:jc w:val="left"/>
        <w:rPr>
          <w:sz w:val="42"/>
        </w:rPr>
      </w:pPr>
      <w:r>
        <w:rPr>
          <w:color w:val="323232"/>
          <w:sz w:val="42"/>
        </w:rPr>
        <w:t>土方调配原则：设计区块内就地取材，各区块之间短</w:t>
      </w:r>
    </w:p>
    <w:p>
      <w:pPr>
        <w:pStyle w:val="BodyText"/>
        <w:spacing w:before="465" w:line="417" w:lineRule="auto"/>
        <w:ind w:left="2697" w:right="2463"/>
      </w:pPr>
      <w:r>
        <w:rPr>
          <w:color w:val="323232"/>
          <w:spacing w:val="-13"/>
        </w:rPr>
        <w:t>距离运输。适宜范围内采取较先进的施工机械，精确计算挖填各部位</w:t>
      </w:r>
      <w:r>
        <w:rPr>
          <w:color w:val="323232"/>
          <w:spacing w:val="-22"/>
        </w:rPr>
        <w:t>工程量，做到各作业区域力求挖填平衡，避免远距离运填及二次搬运。</w:t>
      </w:r>
      <w:r>
        <w:rPr>
          <w:color w:val="323232"/>
        </w:rPr>
        <w:t>集中外运土方路线，减少运土道路的修建，达到提高施工效率、降低施工成本的目标。</w:t>
      </w:r>
    </w:p>
    <w:p>
      <w:pPr>
        <w:spacing w:after="0" w:line="417" w:lineRule="auto"/>
        <w:sectPr>
          <w:headerReference w:type="default" r:id="rId8"/>
          <w:footerReference w:type="default" r:id="rId9"/>
          <w:pgSz w:w="17860" w:h="25260"/>
          <w:pgMar w:top="1300" w:right="0" w:bottom="2200" w:left="0" w:header="1096" w:footer="2009"/>
          <w:pgNumType w:start="3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1"/>
        </w:rPr>
      </w:pPr>
    </w:p>
    <w:p>
      <w:pPr>
        <w:pStyle w:val="BodyText"/>
        <w:spacing w:before="95"/>
        <w:ind w:right="11499"/>
        <w:jc w:val="right"/>
      </w:pPr>
      <w:r>
        <w:rPr>
          <w:rFonts w:ascii="Arial" w:eastAsia="Arial"/>
          <w:color w:val="323232"/>
        </w:rPr>
        <w:t>2</w:t>
      </w:r>
      <w:r>
        <w:rPr>
          <w:color w:val="323232"/>
        </w:rPr>
        <w:t>、施工部署：</w:t>
      </w:r>
    </w:p>
    <w:p>
      <w:pPr>
        <w:pStyle w:val="BodyText"/>
        <w:spacing w:before="412" w:line="429" w:lineRule="auto"/>
        <w:ind w:left="2697" w:right="2471" w:firstLine="1965"/>
      </w:pPr>
      <w:r>
        <w:rPr>
          <w:color w:val="323232"/>
          <w:spacing w:val="-17"/>
        </w:rPr>
        <w:t>按照挖、运、填相结合的施工流水节拍、土方调配的原则。</w:t>
      </w:r>
      <w:r>
        <w:rPr>
          <w:color w:val="323232"/>
          <w:spacing w:val="-10"/>
        </w:rPr>
        <w:t>工程总体共划分为四大施工区域、确定四个施工大队。按照作业区域内任务量大小，确定各大队设备及人力资源配备。</w:t>
      </w:r>
    </w:p>
    <w:p>
      <w:pPr>
        <w:pStyle w:val="BodyText"/>
        <w:spacing w:line="442" w:lineRule="exact"/>
        <w:ind w:left="3597"/>
      </w:pPr>
      <w:r>
        <w:rPr>
          <w:rFonts w:ascii="Arial" w:eastAsia="Arial"/>
          <w:color w:val="323232"/>
        </w:rPr>
        <w:t>3</w:t>
      </w:r>
      <w:r>
        <w:rPr>
          <w:color w:val="323232"/>
        </w:rPr>
        <w:t>、组建劳动组织管理机构</w:t>
      </w:r>
    </w:p>
    <w:p>
      <w:pPr>
        <w:pStyle w:val="BodyText"/>
        <w:spacing w:before="398"/>
        <w:ind w:left="4129"/>
      </w:pPr>
      <w:r>
        <w:rPr>
          <w:color w:val="323232"/>
        </w:rPr>
        <w:t>（</w:t>
      </w:r>
      <w:r>
        <w:rPr>
          <w:rFonts w:ascii="Arial" w:eastAsia="Arial"/>
          <w:color w:val="323232"/>
        </w:rPr>
        <w:t>1</w:t>
      </w:r>
      <w:r>
        <w:rPr>
          <w:color w:val="323232"/>
        </w:rPr>
        <w:t>）组织机构</w:t>
      </w:r>
    </w:p>
    <w:p>
      <w:pPr>
        <w:pStyle w:val="BodyText"/>
        <w:spacing w:before="451" w:line="417" w:lineRule="auto"/>
        <w:ind w:left="2697" w:right="2524" w:firstLine="899"/>
      </w:pPr>
      <w:r>
        <w:rPr>
          <w:color w:val="323232"/>
        </w:rPr>
        <w:t>为了全面完成本工程的各项施工生产任务，我们将按照</w:t>
      </w:r>
      <w:r>
        <w:rPr>
          <w:rFonts w:ascii="Arial" w:eastAsia="Arial" w:hAnsi="Arial"/>
          <w:color w:val="323232"/>
          <w:w w:val="130"/>
        </w:rPr>
        <w:t>“</w:t>
      </w:r>
      <w:r>
        <w:rPr>
          <w:color w:val="323232"/>
        </w:rPr>
        <w:t>项目法</w:t>
      </w:r>
      <w:r>
        <w:rPr>
          <w:rFonts w:ascii="Arial" w:eastAsia="Arial" w:hAnsi="Arial"/>
          <w:color w:val="323232"/>
          <w:w w:val="130"/>
        </w:rPr>
        <w:t xml:space="preserve">” </w:t>
      </w:r>
      <w:r>
        <w:rPr>
          <w:color w:val="323232"/>
        </w:rPr>
        <w:t xml:space="preserve">组织施工，实行项目承包制，建立以项目经理为首的管理层，开展目标方针管理，成立项目经理部，由项目经理代表企业法人，对工程质量、进度、安全、文明施工，科学管理，经济效益等全面负责，项目经理下设 </w:t>
      </w:r>
      <w:r>
        <w:rPr>
          <w:rFonts w:ascii="Arial" w:eastAsia="Arial" w:hAnsi="Arial"/>
          <w:color w:val="323232"/>
        </w:rPr>
        <w:t xml:space="preserve">7 </w:t>
      </w:r>
      <w:r>
        <w:rPr>
          <w:color w:val="323232"/>
        </w:rPr>
        <w:t>个职能部门，由各类专业技术人员组成施工管理层。</w:t>
      </w:r>
    </w:p>
    <w:p>
      <w:pPr>
        <w:pStyle w:val="BodyText"/>
        <w:spacing w:line="483" w:lineRule="exact"/>
        <w:ind w:left="4396"/>
      </w:pPr>
      <w:r>
        <w:rPr>
          <w:color w:val="323232"/>
        </w:rPr>
        <w:t>（</w:t>
      </w:r>
      <w:r>
        <w:rPr>
          <w:rFonts w:ascii="Arial" w:eastAsia="Arial"/>
          <w:color w:val="323232"/>
        </w:rPr>
        <w:t>2</w:t>
      </w:r>
      <w:r>
        <w:rPr>
          <w:color w:val="323232"/>
        </w:rPr>
        <w:t>）劳动组织</w:t>
      </w:r>
    </w:p>
    <w:p>
      <w:pPr>
        <w:pStyle w:val="BodyText"/>
        <w:spacing w:before="466"/>
        <w:ind w:left="3597"/>
      </w:pPr>
      <w:r>
        <w:rPr>
          <w:color w:val="323232"/>
        </w:rPr>
        <w:t>承包项目部对劳务层实行包工制，并签定劳务合同，明确各自的</w:t>
      </w:r>
    </w:p>
    <w:p>
      <w:pPr>
        <w:pStyle w:val="BodyText"/>
        <w:spacing w:before="331" w:line="432" w:lineRule="auto"/>
        <w:ind w:left="2697" w:right="2585"/>
        <w:jc w:val="both"/>
      </w:pPr>
      <w:r>
        <w:rPr>
          <w:rFonts w:ascii="Arial" w:eastAsia="Arial" w:hAnsi="Arial"/>
          <w:color w:val="323232"/>
          <w:spacing w:val="-3"/>
          <w:w w:val="125"/>
        </w:rPr>
        <w:t>“</w:t>
      </w:r>
      <w:r>
        <w:rPr>
          <w:color w:val="323232"/>
          <w:spacing w:val="-14"/>
        </w:rPr>
        <w:t>责、权、利</w:t>
      </w:r>
      <w:r>
        <w:rPr>
          <w:rFonts w:ascii="Arial" w:eastAsia="Arial" w:hAnsi="Arial"/>
          <w:color w:val="323232"/>
          <w:spacing w:val="-2"/>
          <w:w w:val="115"/>
        </w:rPr>
        <w:t>”</w:t>
      </w:r>
      <w:r>
        <w:rPr>
          <w:color w:val="323232"/>
          <w:spacing w:val="-2"/>
          <w:w w:val="115"/>
        </w:rPr>
        <w:t>，</w:t>
      </w:r>
      <w:r>
        <w:rPr>
          <w:color w:val="323232"/>
          <w:spacing w:val="-3"/>
        </w:rPr>
        <w:t>确保劳务合同的履行，所有参加施工人员，根据工期</w:t>
      </w:r>
      <w:r>
        <w:rPr>
          <w:color w:val="323232"/>
        </w:rPr>
        <w:t>要求和作业面任务量大小</w:t>
      </w:r>
      <w:r>
        <w:rPr>
          <w:color w:val="323232"/>
          <w:spacing w:val="-81"/>
          <w:w w:val="110"/>
        </w:rPr>
        <w:t>，</w:t>
      </w:r>
      <w:r>
        <w:rPr>
          <w:color w:val="323232"/>
        </w:rPr>
        <w:t>分别编制作业班组</w:t>
      </w:r>
      <w:r>
        <w:rPr>
          <w:color w:val="323232"/>
          <w:spacing w:val="-77"/>
          <w:w w:val="110"/>
        </w:rPr>
        <w:t>，</w:t>
      </w:r>
      <w:r>
        <w:rPr>
          <w:color w:val="323232"/>
        </w:rPr>
        <w:t>按组建的各组织班组施工。</w:t>
      </w:r>
    </w:p>
    <w:p>
      <w:pPr>
        <w:pStyle w:val="BodyText"/>
        <w:spacing w:before="9"/>
        <w:rPr>
          <w:sz w:val="30"/>
        </w:rPr>
      </w:pPr>
    </w:p>
    <w:p>
      <w:pPr>
        <w:pStyle w:val="Heading1"/>
        <w:ind w:left="3298"/>
      </w:pPr>
      <w:r>
        <w:rPr>
          <w:color w:val="323232"/>
        </w:rPr>
        <w:t>第三章、施工总平面布置</w:t>
      </w:r>
    </w:p>
    <w:p>
      <w:pPr>
        <w:pStyle w:val="BodyText"/>
        <w:spacing w:before="10"/>
        <w:rPr>
          <w:b/>
          <w:sz w:val="62"/>
        </w:rPr>
      </w:pPr>
    </w:p>
    <w:p>
      <w:pPr>
        <w:pStyle w:val="BodyText"/>
        <w:spacing w:before="1"/>
        <w:ind w:right="11441"/>
        <w:jc w:val="right"/>
      </w:pPr>
      <w:r>
        <w:rPr>
          <w:rFonts w:ascii="Arial" w:eastAsia="Arial"/>
          <w:color w:val="323232"/>
          <w:w w:val="95"/>
        </w:rPr>
        <w:t>1</w:t>
      </w:r>
      <w:r>
        <w:rPr>
          <w:color w:val="323232"/>
          <w:w w:val="95"/>
        </w:rPr>
        <w:t>、施工道路布置</w:t>
      </w:r>
    </w:p>
    <w:p>
      <w:pPr>
        <w:pStyle w:val="BodyText"/>
        <w:spacing w:before="412" w:line="441" w:lineRule="auto"/>
        <w:ind w:left="2697" w:right="2680" w:firstLine="1666"/>
      </w:pPr>
      <w:r>
        <w:rPr>
          <w:color w:val="323232"/>
          <w:spacing w:val="-11"/>
        </w:rPr>
        <w:t>施工进厂道路利用原有进厂道路；施工道路按各阶段施工段</w:t>
      </w:r>
      <w:r>
        <w:rPr>
          <w:color w:val="323232"/>
        </w:rPr>
        <w:t>划分及施工流水线分别绘制，根据施工进度需要及时调整。</w:t>
      </w:r>
    </w:p>
    <w:p>
      <w:pPr>
        <w:pStyle w:val="BodyText"/>
        <w:spacing w:line="415" w:lineRule="exact"/>
        <w:ind w:left="3298"/>
      </w:pPr>
      <w:r>
        <w:rPr>
          <w:rFonts w:ascii="Arial" w:eastAsia="Arial"/>
          <w:color w:val="323232"/>
        </w:rPr>
        <w:t>2</w:t>
      </w:r>
      <w:r>
        <w:rPr>
          <w:color w:val="323232"/>
        </w:rPr>
        <w:t>、水电布置</w:t>
      </w:r>
    </w:p>
    <w:p>
      <w:pPr>
        <w:spacing w:after="0" w:line="415" w:lineRule="exact"/>
        <w:sectPr>
          <w:headerReference w:type="default" r:id="rId10"/>
          <w:footerReference w:type="default" r:id="rId11"/>
          <w:pgSz w:w="17860" w:h="25260"/>
          <w:pgMar w:top="1300" w:right="0" w:bottom="2200" w:left="0" w:header="1096" w:footer="2009"/>
          <w:pgNumType w:start="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6"/>
        </w:rPr>
      </w:pPr>
    </w:p>
    <w:p>
      <w:pPr>
        <w:pStyle w:val="BodyText"/>
        <w:spacing w:before="42" w:line="429" w:lineRule="auto"/>
        <w:ind w:left="2697" w:right="2542" w:firstLine="1666"/>
        <w:jc w:val="both"/>
      </w:pPr>
      <w:r>
        <w:rPr>
          <w:color w:val="323232"/>
          <w:spacing w:val="-1"/>
        </w:rPr>
        <w:t>水、电分别利用建设单位引进施工现场的水、电源，用水采</w:t>
      </w:r>
      <w:r>
        <w:rPr>
          <w:color w:val="323232"/>
          <w:spacing w:val="-47"/>
        </w:rPr>
        <w:t xml:space="preserve">用 </w:t>
      </w:r>
      <w:r>
        <w:rPr>
          <w:rFonts w:ascii="Arial" w:eastAsia="Arial"/>
          <w:color w:val="323232"/>
        </w:rPr>
        <w:t>50</w:t>
      </w:r>
      <w:r>
        <w:rPr>
          <w:rFonts w:ascii="Arial" w:eastAsia="Arial"/>
          <w:color w:val="323232"/>
          <w:spacing w:val="34"/>
        </w:rPr>
        <w:t xml:space="preserve"> </w:t>
      </w:r>
      <w:r>
        <w:rPr>
          <w:color w:val="323232"/>
        </w:rPr>
        <w:t>镀锌钢管接至施工现场及生活区，临时用电采用电缆埋地分别接至用电区域。</w:t>
      </w:r>
    </w:p>
    <w:p>
      <w:pPr>
        <w:pStyle w:val="BodyText"/>
        <w:spacing w:line="442" w:lineRule="exact"/>
        <w:ind w:left="3298"/>
      </w:pPr>
      <w:r>
        <w:rPr>
          <w:rFonts w:ascii="Arial" w:eastAsia="Arial"/>
          <w:color w:val="323232"/>
          <w:spacing w:val="-1"/>
        </w:rPr>
        <w:t>3</w:t>
      </w:r>
      <w:r>
        <w:rPr>
          <w:color w:val="323232"/>
        </w:rPr>
        <w:t>、排水措施</w:t>
      </w:r>
    </w:p>
    <w:p>
      <w:pPr>
        <w:pStyle w:val="BodyText"/>
        <w:spacing w:before="412" w:line="429" w:lineRule="auto"/>
        <w:ind w:left="2697" w:right="2542" w:firstLine="1666"/>
        <w:jc w:val="both"/>
      </w:pPr>
      <w:r>
        <w:rPr>
          <w:color w:val="323232"/>
        </w:rPr>
        <w:t xml:space="preserve">按照施工流程，在各个施工区域的四周分别设置明排水沟， 每 </w:t>
      </w:r>
      <w:r>
        <w:rPr>
          <w:rFonts w:ascii="Arial" w:eastAsia="Arial"/>
          <w:color w:val="323232"/>
        </w:rPr>
        <w:t xml:space="preserve">50 </w:t>
      </w:r>
      <w:r>
        <w:rPr>
          <w:color w:val="323232"/>
        </w:rPr>
        <w:t>米设置一个集水井，采用集中排水，每个集水坑设置一个潜水泵进行排水。</w:t>
      </w:r>
    </w:p>
    <w:p>
      <w:pPr>
        <w:pStyle w:val="BodyText"/>
        <w:spacing w:line="443" w:lineRule="exact"/>
        <w:ind w:left="3298"/>
      </w:pPr>
      <w:r>
        <w:rPr>
          <w:rFonts w:ascii="Arial" w:eastAsia="Arial"/>
          <w:color w:val="323232"/>
        </w:rPr>
        <w:t>4</w:t>
      </w:r>
      <w:r>
        <w:rPr>
          <w:color w:val="323232"/>
        </w:rPr>
        <w:t>、临建布置</w:t>
      </w:r>
    </w:p>
    <w:p>
      <w:pPr>
        <w:pStyle w:val="BodyText"/>
        <w:spacing w:before="413" w:line="441" w:lineRule="auto"/>
        <w:ind w:left="2697" w:right="2542" w:firstLine="1666"/>
      </w:pPr>
      <w:r>
        <w:rPr>
          <w:color w:val="323232"/>
        </w:rPr>
        <w:t>利用业主提供的临建场地搭建职工宿舍、办公室及材料库， 并化出机械停放场地。</w:t>
      </w:r>
    </w:p>
    <w:p>
      <w:pPr>
        <w:pStyle w:val="BodyText"/>
      </w:pPr>
    </w:p>
    <w:p>
      <w:pPr>
        <w:pStyle w:val="BodyText"/>
        <w:spacing w:before="10"/>
        <w:rPr>
          <w:sz w:val="35"/>
        </w:rPr>
      </w:pPr>
    </w:p>
    <w:p>
      <w:pPr>
        <w:spacing w:before="0"/>
        <w:ind w:left="3597" w:right="0" w:firstLine="0"/>
        <w:jc w:val="left"/>
        <w:rPr>
          <w:sz w:val="29"/>
        </w:rPr>
      </w:pPr>
      <w:r>
        <w:rPr>
          <w:color w:val="323232"/>
          <w:sz w:val="29"/>
        </w:rPr>
        <w:t>第四章、主要分部分项工程施工工艺</w:t>
      </w:r>
    </w:p>
    <w:p>
      <w:pPr>
        <w:pStyle w:val="BodyText"/>
        <w:spacing w:before="10"/>
        <w:rPr>
          <w:sz w:val="29"/>
        </w:rPr>
      </w:pPr>
    </w:p>
    <w:p>
      <w:pPr>
        <w:pStyle w:val="BodyText"/>
        <w:ind w:left="3597"/>
      </w:pPr>
      <w:r>
        <w:rPr>
          <w:rFonts w:ascii="Arial" w:eastAsia="Arial"/>
          <w:color w:val="323232"/>
        </w:rPr>
        <w:t>1</w:t>
      </w:r>
      <w:r>
        <w:rPr>
          <w:color w:val="323232"/>
        </w:rPr>
        <w:t>、施工测量方案</w:t>
      </w:r>
    </w:p>
    <w:p>
      <w:pPr>
        <w:pStyle w:val="ListParagraph"/>
        <w:numPr>
          <w:ilvl w:val="1"/>
          <w:numId w:val="16"/>
        </w:numPr>
        <w:tabs>
          <w:tab w:val="left" w:pos="4213"/>
        </w:tabs>
        <w:spacing w:before="398" w:after="0" w:line="240" w:lineRule="auto"/>
        <w:ind w:left="4212" w:right="0" w:hanging="616"/>
        <w:jc w:val="left"/>
        <w:rPr>
          <w:sz w:val="42"/>
        </w:rPr>
      </w:pPr>
      <w:r>
        <w:rPr>
          <w:color w:val="323232"/>
          <w:sz w:val="42"/>
        </w:rPr>
        <w:t>施工测量准备</w:t>
      </w:r>
    </w:p>
    <w:p>
      <w:pPr>
        <w:pStyle w:val="ListParagraph"/>
        <w:numPr>
          <w:ilvl w:val="0"/>
          <w:numId w:val="15"/>
        </w:numPr>
        <w:tabs>
          <w:tab w:val="left" w:pos="4610"/>
        </w:tabs>
        <w:spacing w:before="450" w:after="0" w:line="420" w:lineRule="auto"/>
        <w:ind w:left="2697" w:right="2297" w:firstLine="899"/>
        <w:jc w:val="left"/>
        <w:rPr>
          <w:sz w:val="42"/>
        </w:rPr>
      </w:pPr>
      <w:r>
        <w:rPr>
          <w:color w:val="323232"/>
          <w:spacing w:val="-1"/>
          <w:sz w:val="42"/>
        </w:rPr>
        <w:t>编制施工测量专项方案，根据施工组织设计的要求，熟悉、</w:t>
      </w:r>
      <w:r>
        <w:rPr>
          <w:color w:val="323232"/>
          <w:sz w:val="42"/>
        </w:rPr>
        <w:t>校核设计图纸，编制测量方案，经总工审批后，作为本工程测量施工的指导文件；施工测量方案应具有规范性、针对性、可操作性，一经批准，应认真检查落实情况，确保施工过程自始至终受控。</w:t>
      </w:r>
    </w:p>
    <w:p>
      <w:pPr>
        <w:pStyle w:val="ListParagraph"/>
        <w:numPr>
          <w:ilvl w:val="0"/>
          <w:numId w:val="15"/>
        </w:numPr>
        <w:tabs>
          <w:tab w:val="left" w:pos="4675"/>
        </w:tabs>
        <w:spacing w:before="0" w:after="0" w:line="516" w:lineRule="exact"/>
        <w:ind w:left="4674" w:right="0" w:hanging="1078"/>
        <w:jc w:val="left"/>
        <w:rPr>
          <w:sz w:val="42"/>
        </w:rPr>
      </w:pPr>
      <w:r>
        <w:rPr>
          <w:color w:val="323232"/>
          <w:sz w:val="42"/>
        </w:rPr>
        <w:t>校核定位依据桩，对定位桩的坐标数据与设计条件进行校</w:t>
      </w:r>
    </w:p>
    <w:p>
      <w:pPr>
        <w:pStyle w:val="BodyText"/>
        <w:spacing w:before="413" w:line="417" w:lineRule="auto"/>
        <w:ind w:left="2697" w:right="2524"/>
        <w:jc w:val="both"/>
      </w:pPr>
      <w:r>
        <w:rPr>
          <w:color w:val="323232"/>
        </w:rPr>
        <w:t>算；实地校测桩位精度应符合有关规范要求；对两个（或以上）水准点进行符合校测，进度符合要求后，取中值使用；定位桩经校测后采取保护措施，以保证施工期间正常使用。</w:t>
      </w:r>
    </w:p>
    <w:p>
      <w:pPr>
        <w:spacing w:after="0" w:line="417" w:lineRule="auto"/>
        <w:jc w:val="both"/>
        <w:sectPr>
          <w:headerReference w:type="default" r:id="rId12"/>
          <w:footerReference w:type="default" r:id="rId13"/>
          <w:pgSz w:w="17860" w:h="25260"/>
          <w:pgMar w:top="1300" w:right="0" w:bottom="2200" w:left="0" w:header="1096" w:footer="2009"/>
          <w:pgNumType w:start="5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5"/>
        </w:rPr>
      </w:pPr>
    </w:p>
    <w:p>
      <w:pPr>
        <w:pStyle w:val="ListParagraph"/>
        <w:numPr>
          <w:ilvl w:val="0"/>
          <w:numId w:val="15"/>
        </w:numPr>
        <w:tabs>
          <w:tab w:val="left" w:pos="4675"/>
        </w:tabs>
        <w:spacing w:before="95" w:after="0" w:line="424" w:lineRule="auto"/>
        <w:ind w:left="2697" w:right="2654" w:firstLine="899"/>
        <w:jc w:val="left"/>
        <w:rPr>
          <w:sz w:val="42"/>
        </w:rPr>
      </w:pPr>
      <w:r>
        <w:rPr>
          <w:color w:val="323232"/>
          <w:spacing w:val="-1"/>
          <w:sz w:val="42"/>
        </w:rPr>
        <w:t>测量仪器、计算器具在使用前应按照《计量法》及测量仪</w:t>
      </w:r>
      <w:r>
        <w:rPr>
          <w:color w:val="323232"/>
          <w:sz w:val="42"/>
        </w:rPr>
        <w:t>器《检定规程》进行校验。</w:t>
      </w:r>
    </w:p>
    <w:p>
      <w:pPr>
        <w:pStyle w:val="ListParagraph"/>
        <w:numPr>
          <w:ilvl w:val="1"/>
          <w:numId w:val="16"/>
        </w:numPr>
        <w:tabs>
          <w:tab w:val="left" w:pos="4278"/>
        </w:tabs>
        <w:spacing w:before="0" w:after="0" w:line="452" w:lineRule="exact"/>
        <w:ind w:left="4277" w:right="0" w:hanging="681"/>
        <w:jc w:val="left"/>
        <w:rPr>
          <w:sz w:val="42"/>
        </w:rPr>
      </w:pPr>
      <w:r>
        <w:rPr>
          <w:color w:val="323232"/>
          <w:sz w:val="42"/>
        </w:rPr>
        <w:t>施工测量</w:t>
      </w:r>
    </w:p>
    <w:p>
      <w:pPr>
        <w:pStyle w:val="BodyText"/>
        <w:spacing w:before="398" w:line="446" w:lineRule="auto"/>
        <w:ind w:left="2697" w:right="2636" w:firstLine="899"/>
      </w:pPr>
      <w:r>
        <w:rPr>
          <w:rFonts w:ascii="Arial" w:eastAsia="Arial"/>
          <w:color w:val="323232"/>
        </w:rPr>
        <w:t>A</w:t>
      </w:r>
      <w:r>
        <w:rPr>
          <w:color w:val="323232"/>
        </w:rPr>
        <w:t>、复测，在开挖前，应对照所给资料进行导线、中线、水准点的复测，根据现场实际情况增设必要的导线、水准点。</w:t>
      </w:r>
    </w:p>
    <w:p>
      <w:pPr>
        <w:pStyle w:val="BodyText"/>
        <w:spacing w:line="408" w:lineRule="exact"/>
        <w:ind w:left="3597"/>
      </w:pPr>
      <w:r>
        <w:rPr>
          <w:rFonts w:ascii="Arial" w:eastAsia="Arial"/>
          <w:color w:val="323232"/>
        </w:rPr>
        <w:t>B</w:t>
      </w:r>
      <w:r>
        <w:rPr>
          <w:color w:val="323232"/>
        </w:rPr>
        <w:t>、验线，测量人员应根据设计单位交底的控制点先进行联测复</w:t>
      </w:r>
    </w:p>
    <w:p>
      <w:pPr>
        <w:pStyle w:val="BodyText"/>
        <w:spacing w:before="466" w:line="410" w:lineRule="auto"/>
        <w:ind w:left="2697" w:right="2698"/>
      </w:pPr>
      <w:r>
        <w:rPr>
          <w:color w:val="323232"/>
          <w:spacing w:val="51"/>
        </w:rPr>
        <w:t>测无误后， 经监理工程师核准后， 才可以进行施工测量防线。</w:t>
      </w:r>
    </w:p>
    <w:p>
      <w:pPr>
        <w:pStyle w:val="BodyText"/>
        <w:spacing w:line="502" w:lineRule="exact"/>
        <w:ind w:left="3535"/>
      </w:pPr>
      <w:r>
        <w:rPr>
          <w:rFonts w:ascii="Arial" w:eastAsia="Arial"/>
          <w:color w:val="323232"/>
        </w:rPr>
        <w:t>C</w:t>
      </w:r>
      <w:r>
        <w:rPr>
          <w:color w:val="323232"/>
        </w:rPr>
        <w:t>、使用高精度的全站仪和高精度水准仪，直接进行高精度的放</w:t>
      </w:r>
    </w:p>
    <w:p>
      <w:pPr>
        <w:pStyle w:val="BodyText"/>
        <w:spacing w:before="466"/>
        <w:ind w:left="2697"/>
      </w:pPr>
      <w:r>
        <w:rPr>
          <w:color w:val="323232"/>
        </w:rPr>
        <w:t>样和检测，从而大幅度地提高测量的精度。</w:t>
      </w:r>
    </w:p>
    <w:p>
      <w:pPr>
        <w:pStyle w:val="BodyText"/>
        <w:spacing w:before="330" w:line="446" w:lineRule="auto"/>
        <w:ind w:left="2697" w:right="2675" w:firstLine="838"/>
      </w:pPr>
      <w:r>
        <w:rPr>
          <w:rFonts w:ascii="Arial" w:eastAsia="Arial"/>
          <w:color w:val="323232"/>
        </w:rPr>
        <w:t>D</w:t>
      </w:r>
      <w:r>
        <w:rPr>
          <w:color w:val="323232"/>
        </w:rPr>
        <w:t>、每个工作面要进行多个工作循环，每个循环在清挖后测量一次。</w:t>
      </w:r>
    </w:p>
    <w:p>
      <w:pPr>
        <w:pStyle w:val="ListParagraph"/>
        <w:numPr>
          <w:ilvl w:val="0"/>
          <w:numId w:val="14"/>
        </w:numPr>
        <w:tabs>
          <w:tab w:val="left" w:pos="3915"/>
        </w:tabs>
        <w:spacing w:before="0" w:after="0" w:line="409" w:lineRule="exact"/>
        <w:ind w:left="3914" w:right="0" w:hanging="380"/>
        <w:jc w:val="left"/>
        <w:rPr>
          <w:sz w:val="42"/>
        </w:rPr>
      </w:pPr>
      <w:r>
        <w:rPr>
          <w:sz w:val="42"/>
        </w:rPr>
        <w:t>开挖施工</w:t>
      </w:r>
    </w:p>
    <w:p>
      <w:pPr>
        <w:pStyle w:val="ListParagraph"/>
        <w:numPr>
          <w:ilvl w:val="1"/>
          <w:numId w:val="14"/>
        </w:numPr>
        <w:tabs>
          <w:tab w:val="left" w:pos="5848"/>
        </w:tabs>
        <w:spacing w:before="465" w:after="0" w:line="240" w:lineRule="auto"/>
        <w:ind w:left="5847" w:right="0" w:hanging="1233"/>
        <w:jc w:val="both"/>
        <w:rPr>
          <w:sz w:val="42"/>
        </w:rPr>
      </w:pPr>
      <w:r>
        <w:rPr>
          <w:sz w:val="42"/>
        </w:rPr>
        <w:t>开挖方法</w:t>
      </w:r>
    </w:p>
    <w:p>
      <w:pPr>
        <w:pStyle w:val="BodyText"/>
        <w:spacing w:before="398" w:line="417" w:lineRule="auto"/>
        <w:ind w:left="2697" w:right="2679" w:firstLine="838"/>
        <w:jc w:val="both"/>
      </w:pPr>
      <w:r>
        <w:rPr>
          <w:spacing w:val="-8"/>
        </w:rPr>
        <w:t>采用挖掘机或装载机开挖配合自卸汽车运输，开挖自上而下，先</w:t>
      </w:r>
      <w:r>
        <w:rPr>
          <w:spacing w:val="-17"/>
        </w:rPr>
        <w:t>将山上的树木、植物及树根等杂物清除运弃，再将挖出来的土方回填</w:t>
      </w:r>
      <w:r>
        <w:t>到相邻的填方区，多余的土方运至业主指定的弃土地点。</w:t>
      </w:r>
    </w:p>
    <w:p>
      <w:pPr>
        <w:pStyle w:val="ListParagraph"/>
        <w:numPr>
          <w:ilvl w:val="1"/>
          <w:numId w:val="14"/>
        </w:numPr>
        <w:tabs>
          <w:tab w:val="left" w:pos="5848"/>
        </w:tabs>
        <w:spacing w:before="0" w:after="0" w:line="537" w:lineRule="exact"/>
        <w:ind w:left="5847" w:right="0" w:hanging="1233"/>
        <w:jc w:val="both"/>
        <w:rPr>
          <w:sz w:val="42"/>
        </w:rPr>
      </w:pPr>
      <w:r>
        <w:rPr>
          <w:sz w:val="42"/>
        </w:rPr>
        <w:t>开挖标高控制</w:t>
      </w:r>
    </w:p>
    <w:p>
      <w:pPr>
        <w:pStyle w:val="BodyText"/>
        <w:spacing w:before="399" w:line="420" w:lineRule="auto"/>
        <w:ind w:left="2697" w:right="2646" w:firstLine="838"/>
        <w:jc w:val="both"/>
      </w:pPr>
      <w:r>
        <w:rPr>
          <w:spacing w:val="-3"/>
        </w:rPr>
        <w:t>待挖至接近地面设计标高    时，要加强测量，其方法如下</w:t>
      </w:r>
      <w:r>
        <w:rPr>
          <w:rFonts w:ascii="Arial" w:eastAsia="Arial"/>
        </w:rPr>
        <w:t>:</w:t>
      </w:r>
      <w:r>
        <w:t>在</w:t>
      </w:r>
      <w:r>
        <w:rPr>
          <w:spacing w:val="-8"/>
        </w:rPr>
        <w:t>挖方区边界根据方格桩设置高程控制桩，并在控制桩上挂线，挂线时</w:t>
      </w:r>
      <w:r>
        <w:rPr>
          <w:spacing w:val="3"/>
          <w:w w:val="95"/>
        </w:rPr>
        <w:t xml:space="preserve">要预留一定的碾压下沉量 </w:t>
      </w:r>
      <w:r>
        <w:rPr>
          <w:rFonts w:ascii="Arial" w:eastAsia="Arial"/>
          <w:w w:val="95"/>
        </w:rPr>
        <w:t>3cm</w:t>
      </w:r>
      <w:r>
        <w:rPr>
          <w:w w:val="95"/>
        </w:rPr>
        <w:t>～</w:t>
      </w:r>
      <w:r>
        <w:rPr>
          <w:rFonts w:ascii="Arial" w:eastAsia="Arial"/>
          <w:w w:val="95"/>
        </w:rPr>
        <w:t>5cm</w:t>
      </w:r>
      <w:r>
        <w:rPr>
          <w:spacing w:val="-2"/>
          <w:w w:val="95"/>
        </w:rPr>
        <w:t>，使其碾压后的高程正好与设计</w:t>
      </w:r>
      <w:r>
        <w:t>高程一致。</w:t>
      </w:r>
    </w:p>
    <w:p>
      <w:pPr>
        <w:spacing w:after="0" w:line="420" w:lineRule="auto"/>
        <w:jc w:val="both"/>
        <w:sectPr>
          <w:headerReference w:type="default" r:id="rId14"/>
          <w:footerReference w:type="default" r:id="rId15"/>
          <w:pgSz w:w="17860" w:h="25260"/>
          <w:pgMar w:top="1300" w:right="0" w:bottom="2200" w:left="0" w:header="1096" w:footer="2009"/>
          <w:pgNumType w:start="6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1"/>
        </w:rPr>
      </w:pPr>
    </w:p>
    <w:p>
      <w:pPr>
        <w:pStyle w:val="ListParagraph"/>
        <w:numPr>
          <w:ilvl w:val="0"/>
          <w:numId w:val="14"/>
        </w:numPr>
        <w:tabs>
          <w:tab w:val="left" w:pos="3915"/>
        </w:tabs>
        <w:spacing w:before="95" w:after="0" w:line="240" w:lineRule="auto"/>
        <w:ind w:left="3914" w:right="0" w:hanging="380"/>
        <w:jc w:val="left"/>
        <w:rPr>
          <w:sz w:val="42"/>
        </w:rPr>
      </w:pPr>
      <w:r>
        <w:rPr>
          <w:sz w:val="42"/>
        </w:rPr>
        <w:t>填筑施工</w:t>
      </w:r>
    </w:p>
    <w:p>
      <w:pPr>
        <w:pStyle w:val="ListParagraph"/>
        <w:numPr>
          <w:ilvl w:val="1"/>
          <w:numId w:val="13"/>
        </w:numPr>
        <w:tabs>
          <w:tab w:val="left" w:pos="4217"/>
        </w:tabs>
        <w:spacing w:before="397" w:after="0" w:line="240" w:lineRule="auto"/>
        <w:ind w:left="4216" w:right="0" w:hanging="682"/>
        <w:jc w:val="left"/>
        <w:rPr>
          <w:sz w:val="42"/>
        </w:rPr>
      </w:pPr>
      <w:r>
        <w:rPr>
          <w:sz w:val="42"/>
        </w:rPr>
        <w:t>通则</w:t>
      </w:r>
    </w:p>
    <w:p>
      <w:pPr>
        <w:pStyle w:val="BodyText"/>
        <w:spacing w:before="466" w:line="417" w:lineRule="auto"/>
        <w:ind w:left="2697" w:right="2656" w:firstLine="838"/>
        <w:jc w:val="both"/>
      </w:pPr>
      <w:r>
        <w:rPr>
          <w:spacing w:val="-13"/>
        </w:rPr>
        <w:t>土方填筑前，先对需填场地进行测量放样，清除表土及不适宜材</w:t>
      </w:r>
      <w:r>
        <w:rPr>
          <w:spacing w:val="-14"/>
        </w:rPr>
        <w:t>料。按规范要求清理现场并定好控制桩位后，经监理工程师同意方可</w:t>
      </w:r>
      <w:r>
        <w:rPr>
          <w:spacing w:val="-12"/>
        </w:rPr>
        <w:t>进行填筑作业。当在斜坡上填筑时，其原坡陡于</w:t>
      </w:r>
      <w:r>
        <w:rPr>
          <w:rFonts w:ascii="Arial" w:eastAsia="Arial"/>
        </w:rPr>
        <w:t xml:space="preserve">1:5 </w:t>
      </w:r>
      <w:r>
        <w:rPr>
          <w:spacing w:val="-3"/>
        </w:rPr>
        <w:t>时，原地面应挖</w:t>
      </w:r>
      <w:r>
        <w:rPr>
          <w:spacing w:val="-13"/>
        </w:rPr>
        <w:t xml:space="preserve">成台阶，台阶应有不小于 </w:t>
      </w:r>
      <w:r>
        <w:rPr>
          <w:rFonts w:ascii="Arial" w:eastAsia="Arial"/>
        </w:rPr>
        <w:t xml:space="preserve">1m </w:t>
      </w:r>
      <w:r>
        <w:rPr>
          <w:spacing w:val="-1"/>
        </w:rPr>
        <w:t>的宽度，并且应与所用的挖土和压实设</w:t>
      </w:r>
      <w:r>
        <w:rPr>
          <w:spacing w:val="-5"/>
        </w:rPr>
        <w:t xml:space="preserve">备相适用，所挖台阶向内侧倾斜 </w:t>
      </w:r>
      <w:r>
        <w:rPr>
          <w:rFonts w:ascii="Arial" w:eastAsia="Arial"/>
          <w:spacing w:val="-19"/>
        </w:rPr>
        <w:t>2%</w:t>
      </w:r>
      <w:r>
        <w:rPr>
          <w:spacing w:val="-5"/>
        </w:rPr>
        <w:t>，砂性土可不挖台阶，但应将原</w:t>
      </w:r>
      <w:r>
        <w:rPr>
          <w:spacing w:val="-26"/>
        </w:rPr>
        <w:t xml:space="preserve">地面以下 </w:t>
      </w:r>
      <w:r>
        <w:rPr>
          <w:rFonts w:ascii="Arial" w:eastAsia="Arial"/>
        </w:rPr>
        <w:t>20</w:t>
      </w:r>
      <w:r>
        <w:t>～</w:t>
      </w:r>
      <w:r>
        <w:rPr>
          <w:rFonts w:ascii="Arial" w:eastAsia="Arial"/>
        </w:rPr>
        <w:t xml:space="preserve">30cm </w:t>
      </w:r>
      <w:r>
        <w:rPr>
          <w:spacing w:val="-14"/>
        </w:rPr>
        <w:t>的土翻松，再同新填土料一起重新压实。路基填筑采用全断面水平分层填筑。其工艺流程如下所示：</w:t>
      </w:r>
    </w:p>
    <w:p>
      <w:pPr>
        <w:pStyle w:val="BodyText"/>
        <w:spacing w:line="417" w:lineRule="auto"/>
        <w:ind w:left="2697" w:right="2949" w:firstLine="838"/>
      </w:pPr>
      <w:r>
        <w:t>施工准备→基底处理→分层填筑摊铺整平→洒水或翻晒→机械碾压→面层修整→检验签证。</w:t>
      </w:r>
    </w:p>
    <w:p>
      <w:pPr>
        <w:pStyle w:val="ListParagraph"/>
        <w:numPr>
          <w:ilvl w:val="1"/>
          <w:numId w:val="13"/>
        </w:numPr>
        <w:tabs>
          <w:tab w:val="left" w:pos="4281"/>
        </w:tabs>
        <w:spacing w:before="0" w:after="0" w:line="470" w:lineRule="exact"/>
        <w:ind w:left="4281" w:right="0" w:hanging="746"/>
        <w:jc w:val="left"/>
        <w:rPr>
          <w:sz w:val="42"/>
        </w:rPr>
      </w:pPr>
      <w:r>
        <w:rPr>
          <w:sz w:val="42"/>
        </w:rPr>
        <w:t>施工准备</w:t>
      </w:r>
    </w:p>
    <w:p>
      <w:pPr>
        <w:pStyle w:val="BodyText"/>
        <w:spacing w:before="464"/>
        <w:ind w:left="3535"/>
      </w:pPr>
      <w:r>
        <w:t>填方材料的试验：在填筑施工前，填方材料按规范要求取样，按</w:t>
      </w:r>
    </w:p>
    <w:p>
      <w:pPr>
        <w:pStyle w:val="BodyText"/>
        <w:spacing w:before="12"/>
        <w:rPr>
          <w:sz w:val="29"/>
        </w:rPr>
      </w:pPr>
    </w:p>
    <w:p>
      <w:pPr>
        <w:pStyle w:val="BodyText"/>
        <w:spacing w:line="420" w:lineRule="auto"/>
        <w:ind w:left="2697" w:right="2663"/>
        <w:jc w:val="both"/>
      </w:pPr>
      <w:r>
        <w:rPr>
          <w:spacing w:val="-21"/>
          <w:w w:val="95"/>
        </w:rPr>
        <w:t>《公路土工试验规程》</w:t>
      </w:r>
      <w:r>
        <w:rPr>
          <w:w w:val="95"/>
        </w:rPr>
        <w:t>（</w:t>
      </w:r>
      <w:r>
        <w:rPr>
          <w:rFonts w:ascii="Arial" w:eastAsia="Arial"/>
          <w:w w:val="95"/>
        </w:rPr>
        <w:t>JTJ051</w:t>
      </w:r>
      <w:r>
        <w:rPr>
          <w:w w:val="95"/>
        </w:rPr>
        <w:t>－</w:t>
      </w:r>
      <w:r>
        <w:rPr>
          <w:rFonts w:ascii="Arial" w:eastAsia="Arial"/>
          <w:w w:val="95"/>
        </w:rPr>
        <w:t>93</w:t>
      </w:r>
      <w:r>
        <w:rPr>
          <w:w w:val="95"/>
        </w:rPr>
        <w:t>）规定的方法进行颗粒分析、含 水量与密实度、液限和塑限、有机质含量、承载比</w:t>
      </w:r>
      <w:r>
        <w:rPr>
          <w:spacing w:val="-20"/>
          <w:w w:val="95"/>
        </w:rPr>
        <w:t>（</w:t>
      </w:r>
      <w:r>
        <w:rPr>
          <w:rFonts w:ascii="Arial" w:eastAsia="Arial"/>
          <w:spacing w:val="-20"/>
          <w:w w:val="95"/>
        </w:rPr>
        <w:t>CBR</w:t>
      </w:r>
      <w:r>
        <w:rPr>
          <w:spacing w:val="-20"/>
          <w:w w:val="95"/>
        </w:rPr>
        <w:t>）</w:t>
      </w:r>
      <w:r>
        <w:rPr>
          <w:spacing w:val="-4"/>
          <w:w w:val="95"/>
        </w:rPr>
        <w:t xml:space="preserve">试验和击 </w:t>
      </w:r>
      <w:r>
        <w:t>实试验。</w:t>
      </w:r>
    </w:p>
    <w:p>
      <w:pPr>
        <w:pStyle w:val="ListParagraph"/>
        <w:numPr>
          <w:ilvl w:val="1"/>
          <w:numId w:val="13"/>
        </w:numPr>
        <w:tabs>
          <w:tab w:val="left" w:pos="4281"/>
        </w:tabs>
        <w:spacing w:before="0" w:after="0" w:line="468" w:lineRule="exact"/>
        <w:ind w:left="4281" w:right="0" w:hanging="746"/>
        <w:jc w:val="left"/>
        <w:rPr>
          <w:sz w:val="42"/>
        </w:rPr>
      </w:pPr>
      <w:r>
        <w:rPr>
          <w:sz w:val="42"/>
        </w:rPr>
        <w:t>基底处理</w:t>
      </w:r>
    </w:p>
    <w:p>
      <w:pPr>
        <w:pStyle w:val="BodyText"/>
        <w:spacing w:before="465" w:line="417" w:lineRule="auto"/>
        <w:ind w:left="2697" w:right="2524" w:firstLine="838"/>
      </w:pPr>
      <w:r>
        <w:rPr>
          <w:spacing w:val="-1"/>
        </w:rPr>
        <w:t>在土方工程施工前，由测量人员根据设计图纸，放出分界线，原</w:t>
      </w:r>
      <w:r>
        <w:rPr>
          <w:spacing w:val="-9"/>
        </w:rPr>
        <w:t>地面的树墩及主根用挖掘机挖除，并把地面上的长草或植物割除，清</w:t>
      </w:r>
      <w:r>
        <w:rPr>
          <w:spacing w:val="-17"/>
        </w:rPr>
        <w:t>除地面上的建筑垃圾，把它们堆放在指定的地方，由自卸汽车运到场</w:t>
      </w:r>
      <w:r>
        <w:rPr>
          <w:spacing w:val="-18"/>
        </w:rPr>
        <w:t>外。在存在沟塘、淤泥质土等不良地质情况的局部区域，不能直接回</w:t>
      </w:r>
      <w:r>
        <w:rPr>
          <w:spacing w:val="-1"/>
        </w:rPr>
        <w:t>填，须根据设计图纸和现场勘察确定它们的具体位置，并做好标志，</w:t>
      </w:r>
    </w:p>
    <w:p>
      <w:pPr>
        <w:spacing w:after="0" w:line="417" w:lineRule="auto"/>
        <w:sectPr>
          <w:headerReference w:type="default" r:id="rId16"/>
          <w:footerReference w:type="default" r:id="rId17"/>
          <w:pgSz w:w="17860" w:h="25260"/>
          <w:pgMar w:top="1300" w:right="0" w:bottom="2200" w:left="0" w:header="1096" w:footer="2009"/>
          <w:pgNumType w:start="7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81"/>
        <w:ind w:left="2697"/>
      </w:pPr>
      <w:r>
        <w:t>按要求进行处理。</w:t>
      </w:r>
    </w:p>
    <w:p>
      <w:pPr>
        <w:pStyle w:val="BodyText"/>
        <w:rPr>
          <w:sz w:val="31"/>
        </w:rPr>
      </w:pPr>
    </w:p>
    <w:p>
      <w:pPr>
        <w:pStyle w:val="BodyText"/>
        <w:spacing w:before="1" w:line="408" w:lineRule="auto"/>
        <w:ind w:left="2697" w:right="2528" w:firstLine="838"/>
      </w:pPr>
      <w:r>
        <w:t xml:space="preserve">沟塘处理：先用潜水泵把沟塘里的水抽干，并排到临时排水沟， 再用挖掘机在沟塘边挖除沟塘里的淤泥，淤泥由自卸汽车运到指定的淤泥堆放处。待淤泥挖除后，用挖掘机把池塘边开挖成 </w:t>
      </w:r>
      <w:r>
        <w:rPr>
          <w:rFonts w:ascii="Arial" w:eastAsia="Arial"/>
        </w:rPr>
        <w:t>1: 2(</w:t>
      </w:r>
      <w:r>
        <w:t>高度为</w:t>
      </w:r>
      <w:r>
        <w:rPr>
          <w:rFonts w:ascii="Arial" w:eastAsia="Arial"/>
          <w:w w:val="105"/>
        </w:rPr>
        <w:t>50cm</w:t>
      </w:r>
      <w:r>
        <w:rPr>
          <w:w w:val="105"/>
        </w:rPr>
        <w:t xml:space="preserve">，宽度为 </w:t>
      </w:r>
      <w:r>
        <w:rPr>
          <w:rFonts w:ascii="Arial" w:eastAsia="Arial"/>
          <w:w w:val="105"/>
        </w:rPr>
        <w:t>100cm)</w:t>
      </w:r>
      <w:r>
        <w:rPr>
          <w:w w:val="105"/>
        </w:rPr>
        <w:t>台阶式边坡。</w:t>
      </w:r>
    </w:p>
    <w:p>
      <w:pPr>
        <w:pStyle w:val="BodyText"/>
        <w:spacing w:before="31"/>
        <w:ind w:left="4601"/>
      </w:pPr>
      <w:r>
        <w:t>施工工艺流程图：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2"/>
        </w:rPr>
      </w:pPr>
      <w:r>
        <w:pict>
          <v:group id="_x0000_s1025" style="width:164pt;height:241pt;margin-top:16.06pt;margin-left:390pt;mso-position-horizontal-relative:page;mso-wrap-distance-left:0;mso-wrap-distance-right:0;position:absolute;z-index:-251658240" coordorigin="7800,321" coordsize="3280,482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3280;height:4820;left:7800;position:absolute;top:321" stroked="f">
              <v:imagedata r:id="rId18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705;height:422;left:9001;position:absolute;top:53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抽干沟塘</w:t>
                    </w:r>
                  </w:p>
                </w:txbxContent>
              </v:textbox>
            </v:shape>
            <v:shape id="_x0000_s1028" type="#_x0000_t202" style="width:2126;height:422;left:8792;position:absolute;top:215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挖除沟塘底</w:t>
                    </w:r>
                  </w:p>
                </w:txbxContent>
              </v:textbox>
            </v:shape>
            <v:shape id="_x0000_s1029" type="#_x0000_t202" style="width:2126;height:422;left:8792;position:absolute;top:357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开挖沟塘边</w:t>
                    </w:r>
                  </w:p>
                </w:txbxContent>
              </v:textbox>
            </v:shape>
            <v:shape id="_x0000_s1030" type="#_x0000_t202" style="width:780;height:772;left:8871;position:absolute;top:3875" filled="f" stroked="f">
              <v:textbox inset="0,0,0,0">
                <w:txbxContent>
                  <w:p>
                    <w:pPr>
                      <w:spacing w:before="0" w:line="700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rFonts w:ascii="Arial" w:eastAsia="Arial"/>
                        <w:spacing w:val="-1"/>
                        <w:w w:val="89"/>
                        <w:sz w:val="42"/>
                      </w:rPr>
                      <w:t>1:</w:t>
                    </w:r>
                    <w:r>
                      <w:rPr>
                        <w:rFonts w:ascii="Arial" w:eastAsia="Arial"/>
                        <w:spacing w:val="-211"/>
                        <w:w w:val="100"/>
                        <w:sz w:val="42"/>
                      </w:rPr>
                      <w:t>2</w:t>
                    </w:r>
                    <w:r>
                      <w:rPr>
                        <w:w w:val="100"/>
                        <w:position w:val="25"/>
                        <w:sz w:val="42"/>
                      </w:rPr>
                      <w:t>成</w:t>
                    </w:r>
                  </w:p>
                </w:txbxContent>
              </v:textbox>
            </v:shape>
            <v:shape id="_x0000_s1031" type="#_x0000_t202" style="width:442;height:422;left:9210;position:absolute;top:447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坡</w:t>
                    </w:r>
                  </w:p>
                </w:txbxContent>
              </v:textbox>
            </v:shape>
            <v:shape id="_x0000_s1032" type="#_x0000_t202" style="width:1284;height:422;left:9552;position:absolute;top:412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台阶边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6"/>
        <w:rPr>
          <w:sz w:val="5"/>
        </w:rPr>
      </w:pPr>
    </w:p>
    <w:p>
      <w:pPr>
        <w:pStyle w:val="BodyText"/>
        <w:ind w:left="7520"/>
        <w:rPr>
          <w:sz w:val="20"/>
        </w:rPr>
      </w:pPr>
      <w:r>
        <w:rPr>
          <w:sz w:val="20"/>
        </w:rPr>
        <w:pict>
          <v:group id="_x0000_i1033" style="width:191pt;height:163pt;mso-position-horizontal-relative:char;mso-position-vertical-relative:line" coordorigin="0,0" coordsize="3820,3260">
            <v:shape id="_x0000_s1034" type="#_x0000_t75" style="width:3820;height:3260;position:absolute" stroked="f">
              <v:imagedata r:id="rId19" o:title=""/>
            </v:shape>
            <v:shape id="_x0000_s1035" type="#_x0000_t202" style="width:2548;height:422;left:1060;position:absolute;top:88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分层回填土并</w:t>
                    </w:r>
                  </w:p>
                </w:txbxContent>
              </v:textbox>
            </v:shape>
            <v:shape id="_x0000_s1036" type="#_x0000_t202" style="width:863;height:422;left:1902;position:absolute;top:251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结束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2"/>
        <w:rPr>
          <w:sz w:val="14"/>
        </w:rPr>
      </w:pPr>
    </w:p>
    <w:p>
      <w:pPr>
        <w:pStyle w:val="ListParagraph"/>
        <w:numPr>
          <w:ilvl w:val="1"/>
          <w:numId w:val="13"/>
        </w:numPr>
        <w:tabs>
          <w:tab w:val="left" w:pos="4281"/>
        </w:tabs>
        <w:spacing w:before="95" w:after="0" w:line="240" w:lineRule="auto"/>
        <w:ind w:left="4281" w:right="0" w:hanging="746"/>
        <w:jc w:val="both"/>
        <w:rPr>
          <w:sz w:val="42"/>
        </w:rPr>
      </w:pPr>
      <w:r>
        <w:rPr>
          <w:sz w:val="42"/>
        </w:rPr>
        <w:t>分层填筑</w:t>
      </w:r>
    </w:p>
    <w:p>
      <w:pPr>
        <w:pStyle w:val="BodyText"/>
        <w:spacing w:before="466" w:line="403" w:lineRule="auto"/>
        <w:ind w:left="2697" w:right="2685" w:firstLine="838"/>
        <w:jc w:val="both"/>
      </w:pPr>
      <w:r>
        <w:rPr>
          <w:spacing w:val="-9"/>
        </w:rPr>
        <w:t>在底层土处理经监理工程师检查合格签证后，按断面全宽分层填</w:t>
      </w:r>
      <w:r>
        <w:rPr>
          <w:spacing w:val="2"/>
        </w:rPr>
        <w:t xml:space="preserve">筑，由最低处填起，填土压实前松铺厚度不大于 </w:t>
      </w:r>
      <w:r>
        <w:rPr>
          <w:rFonts w:ascii="Arial" w:eastAsia="Arial"/>
        </w:rPr>
        <w:t>30cm</w:t>
      </w:r>
      <w:r>
        <w:t>，且不小于</w:t>
      </w:r>
      <w:r>
        <w:rPr>
          <w:rFonts w:ascii="Arial" w:eastAsia="Arial"/>
        </w:rPr>
        <w:t>10cm</w:t>
      </w:r>
      <w:r>
        <w:t>。</w:t>
      </w:r>
    </w:p>
    <w:p>
      <w:pPr>
        <w:pStyle w:val="ListParagraph"/>
        <w:numPr>
          <w:ilvl w:val="1"/>
          <w:numId w:val="13"/>
        </w:numPr>
        <w:tabs>
          <w:tab w:val="left" w:pos="4281"/>
        </w:tabs>
        <w:spacing w:before="29" w:after="0" w:line="240" w:lineRule="auto"/>
        <w:ind w:left="4281" w:right="0" w:hanging="746"/>
        <w:jc w:val="both"/>
        <w:rPr>
          <w:sz w:val="42"/>
        </w:rPr>
      </w:pPr>
      <w:r>
        <w:rPr>
          <w:sz w:val="42"/>
        </w:rPr>
        <w:t>摊铺整平</w:t>
      </w:r>
    </w:p>
    <w:p>
      <w:pPr>
        <w:pStyle w:val="BodyText"/>
        <w:spacing w:before="465" w:line="417" w:lineRule="auto"/>
        <w:ind w:left="2697" w:right="2461" w:firstLine="838"/>
      </w:pPr>
      <w:r>
        <w:t xml:space="preserve">自卸汽车从挖方区把土方运至填土区，由推土机把卸下的土摊 </w:t>
      </w:r>
      <w:r>
        <w:rPr>
          <w:spacing w:val="-20"/>
        </w:rPr>
        <w:t>平。推土时推土机不能碰撞控制桩，机械无法平整的地方由人工平整。</w:t>
      </w:r>
    </w:p>
    <w:p>
      <w:pPr>
        <w:spacing w:after="0" w:line="417" w:lineRule="auto"/>
        <w:sectPr>
          <w:headerReference w:type="default" r:id="rId20"/>
          <w:footerReference w:type="default" r:id="rId21"/>
          <w:pgSz w:w="17860" w:h="25260"/>
          <w:pgMar w:top="1300" w:right="0" w:bottom="2200" w:left="0" w:header="1096" w:footer="2009"/>
          <w:pgNumType w:start="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1"/>
        </w:rPr>
      </w:pPr>
    </w:p>
    <w:p>
      <w:pPr>
        <w:pStyle w:val="ListParagraph"/>
        <w:numPr>
          <w:ilvl w:val="1"/>
          <w:numId w:val="13"/>
        </w:numPr>
        <w:tabs>
          <w:tab w:val="left" w:pos="4281"/>
        </w:tabs>
        <w:spacing w:before="95" w:after="0" w:line="240" w:lineRule="auto"/>
        <w:ind w:left="4281" w:right="0" w:hanging="746"/>
        <w:jc w:val="both"/>
        <w:rPr>
          <w:sz w:val="42"/>
        </w:rPr>
      </w:pPr>
      <w:r>
        <w:rPr>
          <w:sz w:val="42"/>
        </w:rPr>
        <w:t>洒水和晒干</w:t>
      </w:r>
    </w:p>
    <w:p>
      <w:pPr>
        <w:pStyle w:val="BodyText"/>
        <w:spacing w:before="450" w:line="417" w:lineRule="auto"/>
        <w:ind w:left="2697" w:right="2475" w:firstLine="838"/>
        <w:jc w:val="both"/>
      </w:pPr>
      <w:r>
        <w:rPr>
          <w:spacing w:val="-1"/>
          <w:w w:val="95"/>
        </w:rPr>
        <w:t>根据现场测定的填料含水量，与最佳含水量对照，超出±</w:t>
      </w:r>
      <w:r>
        <w:rPr>
          <w:rFonts w:ascii="Arial" w:eastAsia="Arial" w:hAnsi="Arial"/>
          <w:spacing w:val="-21"/>
          <w:w w:val="95"/>
        </w:rPr>
        <w:t>2%</w:t>
      </w:r>
      <w:r>
        <w:rPr>
          <w:spacing w:val="-8"/>
          <w:w w:val="95"/>
        </w:rPr>
        <w:t xml:space="preserve">时， </w:t>
      </w:r>
      <w:r>
        <w:t>需对填料进行洒水或晒干处理。对含水量偏低的填料采取洒水翻拌； 对含水量偏高的采取翻松晾晒。再次测定含水量合格后，整平碾压。</w:t>
      </w:r>
      <w:r>
        <w:rPr>
          <w:spacing w:val="-1"/>
        </w:rPr>
        <w:t>总之，填料含水量应控制在最佳含水量±</w:t>
      </w:r>
      <w:r>
        <w:rPr>
          <w:rFonts w:ascii="Arial" w:eastAsia="Arial" w:hAnsi="Arial"/>
          <w:spacing w:val="-8"/>
        </w:rPr>
        <w:t>2%</w:t>
      </w:r>
      <w:r>
        <w:t>以内。</w:t>
      </w:r>
    </w:p>
    <w:p>
      <w:pPr>
        <w:pStyle w:val="ListParagraph"/>
        <w:numPr>
          <w:ilvl w:val="1"/>
          <w:numId w:val="13"/>
        </w:numPr>
        <w:tabs>
          <w:tab w:val="left" w:pos="4281"/>
        </w:tabs>
        <w:spacing w:before="0" w:after="0" w:line="484" w:lineRule="exact"/>
        <w:ind w:left="4281" w:right="0" w:hanging="746"/>
        <w:jc w:val="both"/>
        <w:rPr>
          <w:sz w:val="42"/>
        </w:rPr>
      </w:pPr>
      <w:r>
        <w:rPr>
          <w:sz w:val="42"/>
        </w:rPr>
        <w:t>碾压</w:t>
      </w:r>
    </w:p>
    <w:p>
      <w:pPr>
        <w:pStyle w:val="BodyText"/>
        <w:spacing w:before="467" w:line="408" w:lineRule="auto"/>
        <w:ind w:left="2697" w:right="2524" w:firstLine="838"/>
      </w:pPr>
      <w:r>
        <w:rPr>
          <w:spacing w:val="-8"/>
        </w:rPr>
        <w:t>本工程主要采用振动压路机进行碾压施工，碾压时，振动压路机</w:t>
      </w:r>
      <w:r>
        <w:rPr>
          <w:spacing w:val="-9"/>
        </w:rPr>
        <w:t>从低到高，从边到中，适当重叠碾压。为防止漏压，碾压时横向接头</w:t>
      </w:r>
      <w:r>
        <w:rPr>
          <w:spacing w:val="-18"/>
        </w:rPr>
        <w:t xml:space="preserve">的轮迹重叠宽度为 </w:t>
      </w:r>
      <w:r>
        <w:rPr>
          <w:rFonts w:ascii="Arial" w:eastAsia="Arial"/>
          <w:spacing w:val="-12"/>
        </w:rPr>
        <w:t>15cm</w:t>
      </w:r>
      <w:r>
        <w:rPr>
          <w:spacing w:val="-12"/>
        </w:rPr>
        <w:t>～</w:t>
      </w:r>
      <w:r>
        <w:rPr>
          <w:rFonts w:ascii="Arial" w:eastAsia="Arial"/>
          <w:spacing w:val="-12"/>
        </w:rPr>
        <w:t>25cm</w:t>
      </w:r>
      <w:r>
        <w:rPr>
          <w:spacing w:val="-14"/>
        </w:rPr>
        <w:t xml:space="preserve">，每块连接处的重叠碾压宽度为 </w:t>
      </w:r>
      <w:r>
        <w:rPr>
          <w:rFonts w:ascii="Arial" w:eastAsia="Arial"/>
        </w:rPr>
        <w:t>lm</w:t>
      </w:r>
      <w:r>
        <w:t xml:space="preserve">～ </w:t>
      </w:r>
      <w:r>
        <w:rPr>
          <w:rFonts w:ascii="Arial" w:eastAsia="Arial"/>
          <w:spacing w:val="-17"/>
        </w:rPr>
        <w:t>1.5m</w:t>
      </w:r>
      <w:r>
        <w:rPr>
          <w:spacing w:val="-9"/>
        </w:rPr>
        <w:t>，碾压时振动压路机不能碰撞高程控制桩，压路机碾压不到的地</w:t>
      </w:r>
    </w:p>
    <w:p>
      <w:pPr>
        <w:pStyle w:val="BodyText"/>
        <w:spacing w:before="84"/>
        <w:ind w:left="2697"/>
      </w:pPr>
      <w:r>
        <w:t>方采用蛙式打夯机或人工夯实。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5" w:lineRule="auto"/>
        <w:ind w:left="2697" w:right="2524" w:firstLine="838"/>
      </w:pPr>
      <w:r>
        <w:rPr>
          <w:spacing w:val="-1"/>
        </w:rPr>
        <w:t>碾压时先轻后重，速度适中。先用压路机预压一遍，以提高压实</w:t>
      </w:r>
      <w:r>
        <w:rPr>
          <w:spacing w:val="-13"/>
        </w:rPr>
        <w:t>层上部的压实度，然后用推土机修平后再碾压，以防止高低不平影响</w:t>
      </w:r>
      <w:r>
        <w:rPr>
          <w:spacing w:val="-14"/>
        </w:rPr>
        <w:t>碾压效果。为保证碾压的均匀性，碾压速度不能太快，先快后慢，行</w:t>
      </w:r>
      <w:r>
        <w:rPr>
          <w:spacing w:val="-16"/>
        </w:rPr>
        <w:t xml:space="preserve">驶速度控制在 </w:t>
      </w:r>
      <w:r>
        <w:rPr>
          <w:rFonts w:ascii="Arial" w:eastAsia="Arial"/>
        </w:rPr>
        <w:t xml:space="preserve">2km/h </w:t>
      </w:r>
      <w:r>
        <w:t>以内。</w:t>
      </w:r>
    </w:p>
    <w:p>
      <w:pPr>
        <w:pStyle w:val="BodyText"/>
        <w:spacing w:line="506" w:lineRule="exact"/>
        <w:ind w:left="4601"/>
      </w:pPr>
      <w:r>
        <w:t>碾压遍数需根据压实度要求、分层厚度、回填土的土质含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spacing w:line="424" w:lineRule="auto"/>
        <w:ind w:left="2697" w:right="2667"/>
      </w:pPr>
      <w:r>
        <w:rPr>
          <w:spacing w:val="-7"/>
        </w:rPr>
        <w:t xml:space="preserve">水量、碾压机械等情况来确定，一般为 </w:t>
      </w:r>
      <w:r>
        <w:rPr>
          <w:rFonts w:ascii="Arial" w:eastAsia="Arial"/>
        </w:rPr>
        <w:t>6</w:t>
      </w:r>
      <w:r>
        <w:t>～</w:t>
      </w:r>
      <w:r>
        <w:rPr>
          <w:rFonts w:ascii="Arial" w:eastAsia="Arial"/>
        </w:rPr>
        <w:t xml:space="preserve">8 </w:t>
      </w:r>
      <w:r>
        <w:rPr>
          <w:spacing w:val="-2"/>
        </w:rPr>
        <w:t>遍。可在施工初期通过</w:t>
      </w:r>
      <w:r>
        <w:t>碾压试验段来确定，并作为以后碾压施工的依据。</w:t>
      </w:r>
    </w:p>
    <w:p>
      <w:pPr>
        <w:pStyle w:val="BodyText"/>
        <w:spacing w:line="468" w:lineRule="exact"/>
        <w:ind w:left="4601"/>
      </w:pPr>
      <w:r>
        <w:t>碾压到规定遍数后，工地试验人员及时检查土的压实度，</w:t>
      </w:r>
    </w:p>
    <w:p>
      <w:pPr>
        <w:pStyle w:val="BodyText"/>
        <w:spacing w:before="2"/>
        <w:rPr>
          <w:sz w:val="35"/>
        </w:rPr>
      </w:pPr>
    </w:p>
    <w:p>
      <w:pPr>
        <w:pStyle w:val="BodyText"/>
        <w:spacing w:line="417" w:lineRule="auto"/>
        <w:ind w:left="2697" w:right="2676"/>
      </w:pPr>
      <w:r>
        <w:rPr>
          <w:spacing w:val="-13"/>
        </w:rPr>
        <w:t>若尚未达到压实度要求，需要继续碾压，直至达到规定的压实度并经</w:t>
      </w:r>
      <w:r>
        <w:t>监理工程师认可才能填筑上层土方。</w:t>
      </w:r>
    </w:p>
    <w:p>
      <w:pPr>
        <w:pStyle w:val="BodyText"/>
        <w:spacing w:line="484" w:lineRule="exact"/>
        <w:ind w:left="4601"/>
      </w:pPr>
      <w:r>
        <w:t>碾压时施工人员随时观察土石方的碾压情况，若在碾压过</w:t>
      </w:r>
    </w:p>
    <w:p>
      <w:pPr>
        <w:spacing w:after="0" w:line="484" w:lineRule="exact"/>
        <w:sectPr>
          <w:headerReference w:type="default" r:id="rId22"/>
          <w:footerReference w:type="default" r:id="rId23"/>
          <w:pgSz w:w="17860" w:h="25260"/>
          <w:pgMar w:top="1300" w:right="0" w:bottom="2200" w:left="0" w:header="1096" w:footer="2009"/>
          <w:pgNumType w:start="9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81" w:line="417" w:lineRule="auto"/>
        <w:ind w:left="2697" w:right="2524"/>
      </w:pPr>
      <w:r>
        <w:t>程中出现受压下陷、去压回弹等不正常现象，停止碾压，待经处理后再重新碾压。</w:t>
      </w:r>
    </w:p>
    <w:p>
      <w:pPr>
        <w:pStyle w:val="ListParagraph"/>
        <w:numPr>
          <w:ilvl w:val="1"/>
          <w:numId w:val="19"/>
        </w:numPr>
        <w:tabs>
          <w:tab w:val="left" w:pos="4281"/>
        </w:tabs>
        <w:spacing w:before="0" w:after="0" w:line="470" w:lineRule="exact"/>
        <w:ind w:left="4281" w:right="0" w:hanging="746"/>
        <w:jc w:val="left"/>
        <w:rPr>
          <w:sz w:val="42"/>
        </w:rPr>
      </w:pPr>
      <w:r>
        <w:rPr>
          <w:sz w:val="42"/>
        </w:rPr>
        <w:t>检测</w:t>
      </w:r>
    </w:p>
    <w:p>
      <w:pPr>
        <w:pStyle w:val="BodyText"/>
        <w:spacing w:before="465" w:line="417" w:lineRule="auto"/>
        <w:ind w:left="2697" w:right="2661" w:firstLine="838"/>
        <w:jc w:val="both"/>
      </w:pPr>
      <w:r>
        <w:rPr>
          <w:spacing w:val="-13"/>
        </w:rPr>
        <w:t>为确保压实质量，必须经常检查填土含水量及压实度，始终保持</w:t>
      </w:r>
      <w:r>
        <w:rPr>
          <w:spacing w:val="-18"/>
        </w:rPr>
        <w:t>在最佳含水量状态下碾压，采用环刀法或灌砂法检测，确保填方压实</w:t>
      </w:r>
      <w:r>
        <w:rPr>
          <w:spacing w:val="-47"/>
        </w:rPr>
        <w:t xml:space="preserve">度大于 </w:t>
      </w:r>
      <w:r>
        <w:rPr>
          <w:rFonts w:ascii="Arial" w:eastAsia="Arial"/>
          <w:spacing w:val="-2"/>
        </w:rPr>
        <w:t>90%</w:t>
      </w:r>
      <w:r>
        <w:rPr>
          <w:spacing w:val="-15"/>
        </w:rPr>
        <w:t>。压实过程中的检测方法和频率按相关技术规范的规定执</w:t>
      </w:r>
      <w:r>
        <w:t>行。</w:t>
      </w:r>
    </w:p>
    <w:p>
      <w:pPr>
        <w:pStyle w:val="BodyText"/>
        <w:spacing w:line="470" w:lineRule="exact"/>
        <w:ind w:left="3535"/>
      </w:pPr>
      <w:r>
        <w:rPr>
          <w:rFonts w:ascii="Arial" w:eastAsia="Arial"/>
        </w:rPr>
        <w:t xml:space="preserve">3.3 </w:t>
      </w:r>
      <w:r>
        <w:t>临时排水施工</w:t>
      </w:r>
    </w:p>
    <w:p>
      <w:pPr>
        <w:pStyle w:val="BodyText"/>
        <w:spacing w:before="412" w:line="441" w:lineRule="auto"/>
        <w:ind w:left="2697" w:right="2726" w:firstLine="1904"/>
      </w:pPr>
      <w:r>
        <w:t>由于本工程施工场地大，为保证施工质量和施工进度，在土石方施工过程组织有效的临时排水系统非常重要。</w:t>
      </w:r>
    </w:p>
    <w:p>
      <w:pPr>
        <w:pStyle w:val="BodyText"/>
        <w:spacing w:line="430" w:lineRule="exact"/>
        <w:ind w:left="4601"/>
      </w:pPr>
      <w:r>
        <w:t>在土石方施工前，按要求回填原地面的沟塘，坑等可能积</w:t>
      </w:r>
    </w:p>
    <w:p>
      <w:pPr>
        <w:pStyle w:val="BodyText"/>
        <w:spacing w:before="3"/>
        <w:rPr>
          <w:sz w:val="35"/>
        </w:rPr>
      </w:pPr>
    </w:p>
    <w:p>
      <w:pPr>
        <w:pStyle w:val="BodyText"/>
        <w:spacing w:line="417" w:lineRule="auto"/>
        <w:ind w:left="2697" w:right="2524"/>
      </w:pPr>
      <w:r>
        <w:t>水的地方，结合现场地势情况，设置临时排水系统，以防场地在施工前有积水，泡浸原地面，破坏原地面的稳定性，增加施工工程量。</w:t>
      </w:r>
    </w:p>
    <w:p>
      <w:pPr>
        <w:pStyle w:val="BodyText"/>
        <w:spacing w:before="7"/>
        <w:rPr>
          <w:sz w:val="45"/>
        </w:rPr>
      </w:pPr>
    </w:p>
    <w:p>
      <w:pPr>
        <w:spacing w:before="0"/>
        <w:ind w:left="3597" w:right="0" w:firstLine="0"/>
        <w:jc w:val="left"/>
        <w:rPr>
          <w:sz w:val="29"/>
        </w:rPr>
      </w:pPr>
      <w:r>
        <w:rPr>
          <w:color w:val="323232"/>
          <w:sz w:val="29"/>
        </w:rPr>
        <w:t>第五章、整体及各阶段施工进度计划</w:t>
      </w:r>
    </w:p>
    <w:p>
      <w:pPr>
        <w:pStyle w:val="BodyText"/>
        <w:rPr>
          <w:sz w:val="28"/>
        </w:rPr>
      </w:pPr>
    </w:p>
    <w:p>
      <w:pPr>
        <w:pStyle w:val="BodyText"/>
        <w:spacing w:before="3"/>
        <w:rPr>
          <w:sz w:val="38"/>
        </w:rPr>
      </w:pPr>
    </w:p>
    <w:p>
      <w:pPr>
        <w:pStyle w:val="BodyText"/>
        <w:spacing w:before="1"/>
        <w:ind w:left="3597"/>
      </w:pPr>
      <w:r>
        <w:rPr>
          <w:rFonts w:ascii="Arial" w:eastAsia="Arial"/>
          <w:color w:val="323232"/>
        </w:rPr>
        <w:t>1</w:t>
      </w:r>
      <w:r>
        <w:rPr>
          <w:color w:val="323232"/>
        </w:rPr>
        <w:t>、整体施工进度计划</w:t>
      </w:r>
    </w:p>
    <w:p>
      <w:pPr>
        <w:pStyle w:val="BodyText"/>
        <w:spacing w:before="397" w:line="441" w:lineRule="auto"/>
        <w:ind w:left="2697" w:right="2679" w:firstLine="1951"/>
      </w:pPr>
      <w:r>
        <w:rPr>
          <w:color w:val="323232"/>
        </w:rPr>
        <w:t xml:space="preserve">根据业主要求工期及挖、填方实际情况，经过考证研究， 整体施工任务完成定在 </w:t>
      </w:r>
      <w:r>
        <w:rPr>
          <w:rFonts w:ascii="Arial" w:eastAsia="Arial"/>
          <w:color w:val="323232"/>
        </w:rPr>
        <w:t xml:space="preserve">90 </w:t>
      </w:r>
      <w:r>
        <w:rPr>
          <w:color w:val="323232"/>
        </w:rPr>
        <w:t>天完成。</w:t>
      </w:r>
    </w:p>
    <w:p>
      <w:pPr>
        <w:pStyle w:val="BodyText"/>
        <w:spacing w:line="431" w:lineRule="exact"/>
        <w:ind w:left="3597"/>
      </w:pPr>
      <w:r>
        <w:rPr>
          <w:rFonts w:ascii="Arial" w:eastAsia="Arial"/>
          <w:color w:val="323232"/>
        </w:rPr>
        <w:t>2</w:t>
      </w:r>
      <w:r>
        <w:rPr>
          <w:color w:val="323232"/>
        </w:rPr>
        <w:t>、施工进度保证措施</w:t>
      </w:r>
    </w:p>
    <w:p>
      <w:pPr>
        <w:pStyle w:val="BodyText"/>
        <w:spacing w:before="398" w:line="446" w:lineRule="auto"/>
        <w:ind w:left="2697" w:right="2470" w:firstLine="899"/>
      </w:pPr>
      <w:r>
        <w:rPr>
          <w:rFonts w:ascii="Arial" w:eastAsia="Arial"/>
          <w:color w:val="323232"/>
        </w:rPr>
        <w:t>A</w:t>
      </w:r>
      <w:r>
        <w:rPr>
          <w:color w:val="323232"/>
          <w:spacing w:val="-19"/>
        </w:rPr>
        <w:t xml:space="preserve">、认真做好施工准备，按计划组织人员、材料、施工机具进场， </w:t>
      </w:r>
      <w:r>
        <w:rPr>
          <w:color w:val="323232"/>
        </w:rPr>
        <w:t>搞好各项临建设施，为顺利施工创造条件。</w:t>
      </w:r>
    </w:p>
    <w:p>
      <w:pPr>
        <w:pStyle w:val="BodyText"/>
        <w:spacing w:line="408" w:lineRule="exact"/>
        <w:ind w:left="3597"/>
      </w:pPr>
      <w:r>
        <w:rPr>
          <w:rFonts w:ascii="Arial" w:eastAsia="Arial"/>
          <w:color w:val="323232"/>
        </w:rPr>
        <w:t>B</w:t>
      </w:r>
      <w:r>
        <w:rPr>
          <w:color w:val="323232"/>
        </w:rPr>
        <w:t>、按程序组织文明施工，加强施工生产调度，组织协调好各项</w:t>
      </w:r>
    </w:p>
    <w:p>
      <w:pPr>
        <w:spacing w:after="0" w:line="408" w:lineRule="exact"/>
        <w:sectPr>
          <w:headerReference w:type="default" r:id="rId24"/>
          <w:footerReference w:type="default" r:id="rId25"/>
          <w:pgSz w:w="17860" w:h="25260"/>
          <w:pgMar w:top="1300" w:right="0" w:bottom="2200" w:left="0" w:header="1096" w:footer="2009"/>
          <w:pgNumType w:start="10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81" w:line="417" w:lineRule="auto"/>
        <w:ind w:left="2697" w:right="2524"/>
      </w:pPr>
      <w:r>
        <w:rPr>
          <w:color w:val="323232"/>
        </w:rPr>
        <w:t>施工段交叉作业和流水施工，分阶段，分作业线，分块，分项进行工期规定，保证计划实施。</w:t>
      </w:r>
    </w:p>
    <w:p>
      <w:pPr>
        <w:pStyle w:val="BodyText"/>
        <w:spacing w:line="470" w:lineRule="exact"/>
        <w:ind w:left="3597"/>
      </w:pPr>
      <w:r>
        <w:rPr>
          <w:rFonts w:ascii="Arial" w:eastAsia="Arial" w:hAnsi="Arial"/>
          <w:color w:val="323232"/>
        </w:rPr>
        <w:t>C</w:t>
      </w:r>
      <w:r>
        <w:rPr>
          <w:color w:val="323232"/>
        </w:rPr>
        <w:t>、优化生产要素配置，组织专业化队伍，推行</w:t>
      </w:r>
      <w:r>
        <w:rPr>
          <w:rFonts w:ascii="Arial" w:eastAsia="Arial" w:hAnsi="Arial"/>
          <w:color w:val="323232"/>
          <w:w w:val="130"/>
        </w:rPr>
        <w:t>“</w:t>
      </w:r>
      <w:r>
        <w:rPr>
          <w:color w:val="323232"/>
        </w:rPr>
        <w:t>三全</w:t>
      </w:r>
      <w:r>
        <w:rPr>
          <w:rFonts w:ascii="Arial" w:eastAsia="Arial" w:hAnsi="Arial"/>
          <w:color w:val="323232"/>
          <w:w w:val="130"/>
        </w:rPr>
        <w:t>”</w:t>
      </w:r>
      <w:r>
        <w:rPr>
          <w:color w:val="323232"/>
        </w:rPr>
        <w:t>管理制度，</w:t>
      </w:r>
    </w:p>
    <w:p>
      <w:pPr>
        <w:pStyle w:val="BodyText"/>
        <w:spacing w:before="465"/>
        <w:ind w:left="2697"/>
      </w:pPr>
      <w:r>
        <w:rPr>
          <w:color w:val="323232"/>
        </w:rPr>
        <w:t>充分发挥职工积极性，提高工作效率。</w:t>
      </w:r>
    </w:p>
    <w:p>
      <w:pPr>
        <w:pStyle w:val="BodyText"/>
        <w:spacing w:before="331" w:line="446" w:lineRule="auto"/>
        <w:ind w:left="2697" w:right="2614" w:firstLine="899"/>
      </w:pPr>
      <w:r>
        <w:rPr>
          <w:rFonts w:ascii="Arial" w:eastAsia="Arial"/>
          <w:color w:val="323232"/>
        </w:rPr>
        <w:t>D</w:t>
      </w:r>
      <w:r>
        <w:rPr>
          <w:color w:val="323232"/>
        </w:rPr>
        <w:t>、使用先进的施工机具，保证充足数量，同时加强施工机具管理，保证机具运转良好。</w:t>
      </w:r>
    </w:p>
    <w:p>
      <w:pPr>
        <w:pStyle w:val="BodyText"/>
        <w:spacing w:line="409" w:lineRule="exact"/>
        <w:ind w:left="3597"/>
      </w:pPr>
      <w:r>
        <w:rPr>
          <w:rFonts w:ascii="Arial" w:eastAsia="Arial"/>
          <w:color w:val="323232"/>
        </w:rPr>
        <w:t>E</w:t>
      </w:r>
      <w:r>
        <w:rPr>
          <w:color w:val="323232"/>
        </w:rPr>
        <w:t>、科学管理入手，宏观上搞好控制，微观上周密安排，切实执</w:t>
      </w:r>
    </w:p>
    <w:p>
      <w:pPr>
        <w:pStyle w:val="BodyText"/>
        <w:spacing w:before="465"/>
        <w:ind w:left="2697"/>
      </w:pPr>
      <w:r>
        <w:rPr>
          <w:color w:val="323232"/>
        </w:rPr>
        <w:t>行流水作业，紧密部署，适当穿插，合理搭接。</w:t>
      </w:r>
    </w:p>
    <w:p>
      <w:pPr>
        <w:pStyle w:val="BodyText"/>
        <w:spacing w:before="330"/>
        <w:ind w:left="3597"/>
      </w:pPr>
      <w:r>
        <w:rPr>
          <w:rFonts w:ascii="Arial" w:eastAsia="Arial"/>
          <w:color w:val="323232"/>
        </w:rPr>
        <w:t>F</w:t>
      </w:r>
      <w:r>
        <w:rPr>
          <w:color w:val="323232"/>
        </w:rPr>
        <w:t>、按照施工组织设计合理划分流水线和流水作业线。</w:t>
      </w:r>
    </w:p>
    <w:p>
      <w:pPr>
        <w:pStyle w:val="BodyText"/>
        <w:spacing w:before="398" w:line="446" w:lineRule="auto"/>
        <w:ind w:left="2697" w:right="2594" w:firstLine="899"/>
      </w:pPr>
      <w:r>
        <w:rPr>
          <w:rFonts w:ascii="Arial" w:eastAsia="Arial"/>
          <w:color w:val="323232"/>
        </w:rPr>
        <w:t>G</w:t>
      </w:r>
      <w:r>
        <w:rPr>
          <w:color w:val="323232"/>
        </w:rPr>
        <w:t>、切实按照施工计划，指导施工安排，日计划必须完成不得拖延，管理人员和施工班组实行工期奖罚制度，并切实实现。</w:t>
      </w:r>
    </w:p>
    <w:p>
      <w:pPr>
        <w:pStyle w:val="BodyText"/>
        <w:spacing w:line="408" w:lineRule="exact"/>
        <w:ind w:left="3597"/>
      </w:pPr>
      <w:r>
        <w:rPr>
          <w:rFonts w:ascii="Arial" w:eastAsia="Arial"/>
          <w:color w:val="323232"/>
        </w:rPr>
        <w:t>H</w:t>
      </w:r>
      <w:r>
        <w:rPr>
          <w:color w:val="323232"/>
        </w:rPr>
        <w:t>、树立全局观念，一切以大局为重，在共同的目标下，密切同</w:t>
      </w:r>
    </w:p>
    <w:p>
      <w:pPr>
        <w:pStyle w:val="BodyText"/>
        <w:spacing w:before="466" w:line="417" w:lineRule="auto"/>
        <w:ind w:left="2697" w:right="2524"/>
      </w:pPr>
      <w:r>
        <w:rPr>
          <w:color w:val="323232"/>
        </w:rPr>
        <w:t>建设单位、设计单位和配合施工单位之间的关系，加强团结，并肩战斗，共同保质保量的提前完成任务。</w:t>
      </w:r>
    </w:p>
    <w:p>
      <w:pPr>
        <w:pStyle w:val="BodyText"/>
        <w:spacing w:line="470" w:lineRule="exact"/>
        <w:ind w:left="3597"/>
      </w:pPr>
      <w:r>
        <w:rPr>
          <w:rFonts w:ascii="Arial" w:eastAsia="Arial"/>
          <w:color w:val="323232"/>
        </w:rPr>
        <w:t>3</w:t>
      </w:r>
      <w:r>
        <w:rPr>
          <w:color w:val="323232"/>
        </w:rPr>
        <w:t>、进度管理办法</w:t>
      </w:r>
    </w:p>
    <w:p>
      <w:pPr>
        <w:pStyle w:val="BodyText"/>
        <w:spacing w:before="412" w:line="424" w:lineRule="auto"/>
        <w:ind w:left="2697" w:right="2524" w:firstLine="1965"/>
      </w:pPr>
      <w:r>
        <w:rPr>
          <w:color w:val="323232"/>
        </w:rPr>
        <w:t>本工程的进度管理办法采用三级网络计划进行控制，将计</w:t>
      </w:r>
      <w:r>
        <w:rPr>
          <w:color w:val="323232"/>
          <w:spacing w:val="-1"/>
        </w:rPr>
        <w:t>划逐级细化分解落实到每个作业队，每个工作日。同时，对可能影响</w:t>
      </w:r>
      <w:r>
        <w:rPr>
          <w:color w:val="323232"/>
        </w:rPr>
        <w:t>施工进度的种种原因进行分析控制，对于各种不利因素通过积极协 调，早做准备，将各种不利因素预先排除在工程施工之前。</w:t>
      </w:r>
    </w:p>
    <w:p>
      <w:pPr>
        <w:pStyle w:val="BodyText"/>
        <w:spacing w:line="459" w:lineRule="exact"/>
        <w:ind w:left="3597"/>
      </w:pPr>
      <w:r>
        <w:rPr>
          <w:rFonts w:ascii="Arial" w:eastAsia="Arial"/>
          <w:color w:val="323232"/>
        </w:rPr>
        <w:t>4</w:t>
      </w:r>
      <w:r>
        <w:rPr>
          <w:color w:val="323232"/>
        </w:rPr>
        <w:t>、确保工程工期的技术组织实施</w:t>
      </w:r>
    </w:p>
    <w:p>
      <w:pPr>
        <w:pStyle w:val="BodyText"/>
        <w:spacing w:before="398" w:line="446" w:lineRule="auto"/>
        <w:ind w:left="2697" w:right="2636" w:firstLine="899"/>
      </w:pPr>
      <w:r>
        <w:rPr>
          <w:rFonts w:ascii="Arial" w:eastAsia="Arial"/>
          <w:color w:val="323232"/>
        </w:rPr>
        <w:t>A</w:t>
      </w:r>
      <w:r>
        <w:rPr>
          <w:color w:val="323232"/>
        </w:rPr>
        <w:t>、以高素质的管理班子保工期，本工程项目经理有丰富的管理经验，保证班子管理的科学和规范。</w:t>
      </w:r>
    </w:p>
    <w:p>
      <w:pPr>
        <w:spacing w:after="0" w:line="446" w:lineRule="auto"/>
        <w:sectPr>
          <w:headerReference w:type="default" r:id="rId26"/>
          <w:footerReference w:type="default" r:id="rId27"/>
          <w:pgSz w:w="17860" w:h="25260"/>
          <w:pgMar w:top="1300" w:right="0" w:bottom="2200" w:left="0" w:header="1096" w:footer="2009"/>
          <w:pgNumType w:start="11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1"/>
        </w:rPr>
      </w:pPr>
    </w:p>
    <w:p>
      <w:pPr>
        <w:pStyle w:val="BodyText"/>
        <w:spacing w:before="95" w:line="446" w:lineRule="auto"/>
        <w:ind w:left="2697" w:right="2636" w:firstLine="899"/>
      </w:pPr>
      <w:r>
        <w:rPr>
          <w:rFonts w:ascii="Arial" w:eastAsia="Arial"/>
          <w:color w:val="323232"/>
        </w:rPr>
        <w:t>B</w:t>
      </w:r>
      <w:r>
        <w:rPr>
          <w:color w:val="323232"/>
        </w:rPr>
        <w:t>、以总进度控制计划为基础分别编制分部、分项和配合工作进度计划及其他专业进度计划，作为控制各施工队施工进度的依据。</w:t>
      </w:r>
    </w:p>
    <w:p>
      <w:pPr>
        <w:pStyle w:val="BodyText"/>
        <w:spacing w:line="408" w:lineRule="exact"/>
        <w:ind w:left="3597"/>
      </w:pPr>
      <w:r>
        <w:rPr>
          <w:rFonts w:ascii="Arial" w:eastAsia="Arial"/>
          <w:color w:val="323232"/>
        </w:rPr>
        <w:t>C</w:t>
      </w:r>
      <w:r>
        <w:rPr>
          <w:color w:val="323232"/>
        </w:rPr>
        <w:t>、以先进的管理手段保工期进行计算机管理。以滚动计划为链</w:t>
      </w:r>
    </w:p>
    <w:p>
      <w:pPr>
        <w:pStyle w:val="BodyText"/>
        <w:spacing w:before="465" w:line="417" w:lineRule="auto"/>
        <w:ind w:left="2697" w:right="2524"/>
        <w:jc w:val="both"/>
      </w:pPr>
      <w:r>
        <w:rPr>
          <w:color w:val="323232"/>
        </w:rPr>
        <w:t>条，建立动态的计划管理模式；在总进度控制计划的指导下编制月、周、日各级进度计划，一级保一级，决不能总进度控制计划；建立定期的生产计划例会制度，下达计划、检查计划完成情况、解决实际问题，协调各施工队之间的工作，做到有序的按总进度计划执行。</w:t>
      </w:r>
    </w:p>
    <w:p>
      <w:pPr>
        <w:pStyle w:val="BodyText"/>
        <w:spacing w:line="470" w:lineRule="exact"/>
        <w:ind w:left="3597"/>
      </w:pPr>
      <w:r>
        <w:rPr>
          <w:rFonts w:ascii="Arial" w:eastAsia="Arial"/>
          <w:color w:val="323232"/>
        </w:rPr>
        <w:t>D</w:t>
      </w:r>
      <w:r>
        <w:rPr>
          <w:color w:val="323232"/>
        </w:rPr>
        <w:t>、以充足的资源保工期：</w:t>
      </w:r>
    </w:p>
    <w:p>
      <w:pPr>
        <w:pStyle w:val="ListParagraph"/>
        <w:numPr>
          <w:ilvl w:val="0"/>
          <w:numId w:val="12"/>
        </w:numPr>
        <w:tabs>
          <w:tab w:val="left" w:pos="4614"/>
        </w:tabs>
        <w:spacing w:before="451" w:after="0" w:line="424" w:lineRule="auto"/>
        <w:ind w:left="2697" w:right="2670" w:firstLine="899"/>
        <w:jc w:val="left"/>
        <w:rPr>
          <w:sz w:val="42"/>
        </w:rPr>
      </w:pPr>
      <w:r>
        <w:rPr>
          <w:color w:val="323232"/>
          <w:sz w:val="42"/>
        </w:rPr>
        <w:t>加强策划与组织工作的预见性，确保施工图纸等技术资料</w:t>
      </w:r>
      <w:r>
        <w:rPr>
          <w:color w:val="323232"/>
          <w:spacing w:val="-14"/>
          <w:sz w:val="42"/>
        </w:rPr>
        <w:t>满足连续施工需要，争取将一切影响工期的不利因素做到在施工前解</w:t>
      </w:r>
    </w:p>
    <w:p>
      <w:pPr>
        <w:pStyle w:val="BodyText"/>
        <w:spacing w:line="520" w:lineRule="exact"/>
        <w:ind w:left="2697"/>
      </w:pPr>
      <w:r>
        <w:rPr>
          <w:color w:val="323232"/>
        </w:rPr>
        <w:t>决；</w:t>
      </w:r>
    </w:p>
    <w:p>
      <w:pPr>
        <w:pStyle w:val="BodyText"/>
        <w:spacing w:before="11"/>
        <w:rPr>
          <w:sz w:val="29"/>
        </w:rPr>
      </w:pPr>
    </w:p>
    <w:p>
      <w:pPr>
        <w:pStyle w:val="ListParagraph"/>
        <w:numPr>
          <w:ilvl w:val="0"/>
          <w:numId w:val="12"/>
        </w:numPr>
        <w:tabs>
          <w:tab w:val="left" w:pos="4675"/>
        </w:tabs>
        <w:spacing w:before="1" w:after="0" w:line="240" w:lineRule="auto"/>
        <w:ind w:left="4674" w:right="0" w:hanging="3544"/>
        <w:jc w:val="left"/>
        <w:rPr>
          <w:sz w:val="42"/>
        </w:rPr>
      </w:pPr>
      <w:r>
        <w:rPr>
          <w:color w:val="323232"/>
          <w:spacing w:val="-11"/>
          <w:sz w:val="42"/>
        </w:rPr>
        <w:t>机械设备的配置有余量，密切监督各部门负责的建筑材料、</w:t>
      </w:r>
    </w:p>
    <w:p>
      <w:pPr>
        <w:pStyle w:val="BodyText"/>
        <w:spacing w:before="12"/>
        <w:rPr>
          <w:sz w:val="28"/>
        </w:rPr>
      </w:pPr>
    </w:p>
    <w:p>
      <w:pPr>
        <w:pStyle w:val="BodyText"/>
        <w:spacing w:before="42" w:line="417" w:lineRule="auto"/>
        <w:ind w:left="2697" w:right="2673"/>
      </w:pPr>
      <w:r>
        <w:rPr>
          <w:color w:val="323232"/>
          <w:spacing w:val="-14"/>
        </w:rPr>
        <w:t>机械配件的采购定货，供应过程，确保在最不利情况下任能按计划完</w:t>
      </w:r>
      <w:r>
        <w:rPr>
          <w:color w:val="323232"/>
        </w:rPr>
        <w:t>成施工任务。</w:t>
      </w:r>
    </w:p>
    <w:p>
      <w:pPr>
        <w:pStyle w:val="BodyText"/>
        <w:spacing w:line="470" w:lineRule="exact"/>
        <w:ind w:left="3597"/>
      </w:pPr>
      <w:r>
        <w:rPr>
          <w:rFonts w:ascii="Arial" w:eastAsia="Arial"/>
          <w:color w:val="323232"/>
        </w:rPr>
        <w:t>5</w:t>
      </w:r>
      <w:r>
        <w:rPr>
          <w:color w:val="323232"/>
        </w:rPr>
        <w:t>、建立强有力的实施工程进度计划的组织结构，理顺各部门的</w:t>
      </w:r>
    </w:p>
    <w:p>
      <w:pPr>
        <w:pStyle w:val="BodyText"/>
        <w:spacing w:before="465" w:line="417" w:lineRule="auto"/>
        <w:ind w:left="2697" w:right="2678"/>
        <w:jc w:val="both"/>
      </w:pPr>
      <w:r>
        <w:rPr>
          <w:color w:val="323232"/>
          <w:spacing w:val="-15"/>
        </w:rPr>
        <w:t>分工协作关系，明确各施工队的责任，对完不成计划的要根据主题情</w:t>
      </w:r>
      <w:r>
        <w:rPr>
          <w:color w:val="323232"/>
          <w:spacing w:val="-14"/>
        </w:rPr>
        <w:t>况迅速做出处理，必要时采取经济与行政措施，对各个施工队进行奖</w:t>
      </w:r>
      <w:r>
        <w:rPr>
          <w:color w:val="323232"/>
        </w:rPr>
        <w:t>惩。</w:t>
      </w:r>
    </w:p>
    <w:p>
      <w:pPr>
        <w:pStyle w:val="BodyText"/>
      </w:pPr>
    </w:p>
    <w:p>
      <w:pPr>
        <w:pStyle w:val="BodyText"/>
        <w:spacing w:before="1"/>
        <w:rPr>
          <w:sz w:val="40"/>
        </w:rPr>
      </w:pPr>
    </w:p>
    <w:p>
      <w:pPr>
        <w:spacing w:before="0"/>
        <w:ind w:left="3597" w:right="0" w:firstLine="0"/>
        <w:jc w:val="left"/>
        <w:rPr>
          <w:sz w:val="29"/>
        </w:rPr>
      </w:pPr>
      <w:r>
        <w:rPr>
          <w:color w:val="323232"/>
          <w:sz w:val="29"/>
        </w:rPr>
        <w:t>第六章、质量保证措施</w:t>
      </w: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spacing w:before="199"/>
        <w:ind w:left="3597"/>
      </w:pPr>
      <w:r>
        <w:rPr>
          <w:color w:val="323232"/>
        </w:rPr>
        <w:t>一、质量保证措施：</w:t>
      </w:r>
    </w:p>
    <w:p>
      <w:pPr>
        <w:pStyle w:val="BodyText"/>
        <w:spacing w:before="331"/>
        <w:ind w:left="3597"/>
      </w:pPr>
      <w:r>
        <w:rPr>
          <w:rFonts w:ascii="Arial" w:eastAsia="Arial"/>
          <w:color w:val="323232"/>
        </w:rPr>
        <w:t>1</w:t>
      </w:r>
      <w:r>
        <w:rPr>
          <w:color w:val="323232"/>
        </w:rPr>
        <w:t>、实行目标管理：</w:t>
      </w:r>
    </w:p>
    <w:p>
      <w:pPr>
        <w:spacing w:after="0"/>
        <w:sectPr>
          <w:headerReference w:type="default" r:id="rId28"/>
          <w:footerReference w:type="default" r:id="rId29"/>
          <w:pgSz w:w="17860" w:h="25260"/>
          <w:pgMar w:top="1300" w:right="0" w:bottom="2200" w:left="0" w:header="1096" w:footer="2009"/>
          <w:pgNumType w:start="1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6"/>
        </w:rPr>
      </w:pPr>
    </w:p>
    <w:p>
      <w:pPr>
        <w:pStyle w:val="BodyText"/>
        <w:spacing w:before="42" w:line="441" w:lineRule="auto"/>
        <w:ind w:left="2697" w:right="2666" w:firstLine="1965"/>
      </w:pPr>
      <w:r>
        <w:rPr>
          <w:color w:val="323232"/>
        </w:rPr>
        <w:t>明确质量目标，明确各工种的施工与验收质量目标，分解成各段、各层、各工种、各专业的目标，以保证总目标的实现。</w:t>
      </w:r>
    </w:p>
    <w:p>
      <w:pPr>
        <w:pStyle w:val="BodyText"/>
        <w:spacing w:line="415" w:lineRule="exact"/>
        <w:ind w:left="3597"/>
      </w:pPr>
      <w:r>
        <w:rPr>
          <w:rFonts w:ascii="Arial" w:eastAsia="Arial"/>
          <w:color w:val="323232"/>
        </w:rPr>
        <w:t>2</w:t>
      </w:r>
      <w:r>
        <w:rPr>
          <w:color w:val="323232"/>
        </w:rPr>
        <w:t>、实行项目管理：</w:t>
      </w:r>
    </w:p>
    <w:p>
      <w:pPr>
        <w:pStyle w:val="BodyText"/>
        <w:spacing w:before="412" w:line="441" w:lineRule="auto"/>
        <w:ind w:left="2697" w:right="2666" w:firstLine="1965"/>
      </w:pPr>
      <w:r>
        <w:rPr>
          <w:color w:val="323232"/>
        </w:rPr>
        <w:t>完善管理制度，对施工质量明确责任，实行奖罚，以促进质量的提高。</w:t>
      </w:r>
    </w:p>
    <w:p>
      <w:pPr>
        <w:pStyle w:val="BodyText"/>
        <w:spacing w:line="415" w:lineRule="exact"/>
        <w:ind w:left="3597"/>
      </w:pPr>
      <w:r>
        <w:rPr>
          <w:rFonts w:ascii="Arial" w:eastAsia="Arial"/>
          <w:color w:val="323232"/>
        </w:rPr>
        <w:t>3</w:t>
      </w:r>
      <w:r>
        <w:rPr>
          <w:color w:val="323232"/>
        </w:rPr>
        <w:t>、把住图纸会审：定位放线，预检复核，测量控制，成品验收</w:t>
      </w:r>
    </w:p>
    <w:p>
      <w:pPr>
        <w:pStyle w:val="BodyText"/>
        <w:spacing w:before="466"/>
        <w:ind w:left="2697"/>
      </w:pPr>
      <w:r>
        <w:rPr>
          <w:color w:val="323232"/>
        </w:rPr>
        <w:t>等点，做好施工准备，技术交底等工作。</w:t>
      </w:r>
    </w:p>
    <w:p>
      <w:pPr>
        <w:pStyle w:val="BodyText"/>
        <w:spacing w:before="331" w:line="446" w:lineRule="auto"/>
        <w:ind w:left="2697" w:right="2654" w:firstLine="899"/>
      </w:pPr>
      <w:r>
        <w:rPr>
          <w:rFonts w:ascii="Arial" w:eastAsia="Arial"/>
          <w:color w:val="323232"/>
        </w:rPr>
        <w:t>4</w:t>
      </w:r>
      <w:r>
        <w:rPr>
          <w:color w:val="323232"/>
        </w:rPr>
        <w:t>、严格按施工程序及工艺标准施工，不蛮干，不凑合，加强工序间交接与成品保护工作，以求一次成活。</w:t>
      </w:r>
    </w:p>
    <w:p>
      <w:pPr>
        <w:pStyle w:val="BodyText"/>
        <w:spacing w:line="408" w:lineRule="exact"/>
        <w:ind w:left="3597"/>
      </w:pPr>
      <w:r>
        <w:rPr>
          <w:rFonts w:ascii="Arial" w:eastAsia="Arial"/>
          <w:color w:val="323232"/>
        </w:rPr>
        <w:t>5</w:t>
      </w:r>
      <w:r>
        <w:rPr>
          <w:color w:val="323232"/>
        </w:rPr>
        <w:t>、建立高效灵敏的质量信息反馈系统：</w:t>
      </w:r>
    </w:p>
    <w:p>
      <w:pPr>
        <w:pStyle w:val="BodyText"/>
        <w:spacing w:before="412" w:line="422" w:lineRule="auto"/>
        <w:ind w:left="2697" w:right="2524" w:firstLine="1965"/>
      </w:pPr>
      <w:r>
        <w:rPr>
          <w:color w:val="323232"/>
        </w:rPr>
        <w:t>专职质量检查员、技术人员作为信息中心，负责收集、整理和传递质量动态信息，给决策机构（项目经理部），决策机构对异常情况信息迅速作出反应，并将新的指令信息传递给执行机构（工种部），调整施工部署，纠正偏差，形成一个反应迅速、畅通无阻的封闭信息网。</w:t>
      </w:r>
    </w:p>
    <w:p>
      <w:pPr>
        <w:pStyle w:val="BodyText"/>
        <w:spacing w:line="469" w:lineRule="exact"/>
        <w:ind w:left="3597"/>
      </w:pPr>
      <w:r>
        <w:rPr>
          <w:rFonts w:ascii="Arial" w:eastAsia="Arial"/>
          <w:color w:val="323232"/>
        </w:rPr>
        <w:t>6</w:t>
      </w:r>
      <w:r>
        <w:rPr>
          <w:color w:val="323232"/>
        </w:rPr>
        <w:t>、现场质检员要及时收集班组的质量信息：</w:t>
      </w:r>
    </w:p>
    <w:p>
      <w:pPr>
        <w:pStyle w:val="BodyText"/>
        <w:spacing w:before="412" w:line="441" w:lineRule="auto"/>
        <w:ind w:left="2697" w:right="2470" w:firstLine="1965"/>
      </w:pPr>
      <w:r>
        <w:rPr>
          <w:color w:val="323232"/>
          <w:spacing w:val="-17"/>
        </w:rPr>
        <w:t xml:space="preserve">按照单纯随机抽样法、分层随机抽样法、整群随机抽样法， </w:t>
      </w:r>
      <w:r>
        <w:rPr>
          <w:color w:val="323232"/>
        </w:rPr>
        <w:t>客观地提取产品的质量数据，为决策提供可靠的依据。</w:t>
      </w:r>
    </w:p>
    <w:p>
      <w:pPr>
        <w:pStyle w:val="BodyText"/>
        <w:spacing w:line="416" w:lineRule="exact"/>
        <w:ind w:left="3597"/>
      </w:pPr>
      <w:r>
        <w:rPr>
          <w:rFonts w:ascii="Arial" w:eastAsia="Arial"/>
          <w:color w:val="323232"/>
        </w:rPr>
        <w:t>7</w:t>
      </w:r>
      <w:r>
        <w:rPr>
          <w:color w:val="323232"/>
        </w:rPr>
        <w:t>、回填土坚持分层回填，严格按规程规定，分层取样，检测试</w:t>
      </w:r>
    </w:p>
    <w:p>
      <w:pPr>
        <w:pStyle w:val="BodyText"/>
        <w:spacing w:before="466"/>
        <w:ind w:left="2697"/>
      </w:pPr>
      <w:r>
        <w:rPr>
          <w:color w:val="323232"/>
        </w:rPr>
        <w:t>验。</w:t>
      </w:r>
    </w:p>
    <w:p>
      <w:pPr>
        <w:pStyle w:val="BodyText"/>
        <w:rPr>
          <w:sz w:val="31"/>
        </w:rPr>
      </w:pPr>
    </w:p>
    <w:p>
      <w:pPr>
        <w:pStyle w:val="BodyText"/>
        <w:ind w:left="3597"/>
      </w:pPr>
      <w:r>
        <w:rPr>
          <w:color w:val="323232"/>
        </w:rPr>
        <w:t>二、质量通病的控制措施：</w:t>
      </w:r>
    </w:p>
    <w:p>
      <w:pPr>
        <w:pStyle w:val="BodyText"/>
        <w:spacing w:before="331"/>
        <w:ind w:left="3597"/>
      </w:pPr>
      <w:r>
        <w:rPr>
          <w:rFonts w:ascii="Arial" w:eastAsia="Arial"/>
          <w:color w:val="323232"/>
        </w:rPr>
        <w:t>1</w:t>
      </w:r>
      <w:r>
        <w:rPr>
          <w:color w:val="323232"/>
        </w:rPr>
        <w:t>、一般质量通病：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30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https://d.book118.com/628003005066006045</w:t>
        </w:r>
      </w:hyperlink>
    </w:p>
    <w:p>
      <w:pPr>
        <w:spacing w:after="0"/>
      </w:pPr>
    </w:p>
    <w:sectPr>
      <w:headerReference w:type="default" r:id="rId31"/>
      <w:footerReference w:type="default" r:id="rId32"/>
      <w:pgSz w:w="17860" w:h="25260"/>
      <w:pgMar w:top="1300" w:right="0" w:bottom="2200" w:left="0" w:header="1096" w:footer="2009"/>
      <w:pgNumType w:start="13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8.6pt;height:26.9pt;margin-top:1151.44pt;margin-left:465.71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41"/>
                  <w:ind w:left="2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rPr>
                    <w:rFonts w:ascii="Arial"/>
                    <w:color w:val="FF7F3F"/>
                    <w:w w:val="115"/>
                    <w:position w:val="-10"/>
                    <w:sz w:val="21"/>
                  </w:rPr>
                  <w:t xml:space="preserve">. </w:t>
                </w:r>
                <w:r>
                  <w:fldChar w:fldCharType="begin"/>
                </w:r>
                <w:r>
                  <w:rPr>
                    <w:rFonts w:ascii="Arial"/>
                    <w:w w:val="115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w w:val="115"/>
                    <w:sz w:val="31"/>
                  </w:rP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8.6pt;height:26.9pt;margin-top:1151.44pt;margin-left:465.71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41"/>
                  <w:ind w:left="2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rPr>
                    <w:rFonts w:ascii="Arial"/>
                    <w:color w:val="FF7F3F"/>
                    <w:w w:val="115"/>
                    <w:position w:val="-10"/>
                    <w:sz w:val="21"/>
                  </w:rPr>
                  <w:t xml:space="preserve">. </w:t>
                </w:r>
                <w:r>
                  <w:fldChar w:fldCharType="begin"/>
                </w:r>
                <w:r>
                  <w:rPr>
                    <w:rFonts w:ascii="Arial"/>
                    <w:w w:val="115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w w:val="115"/>
                    <w:sz w:val="31"/>
                  </w:rPr>
                  <w:t>25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8.6pt;height:26.9pt;margin-top:1151.44pt;margin-left:465.71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41"/>
                  <w:ind w:left="2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rPr>
                    <w:rFonts w:ascii="Arial"/>
                    <w:color w:val="FF7F3F"/>
                    <w:w w:val="115"/>
                    <w:position w:val="-10"/>
                    <w:sz w:val="21"/>
                  </w:rPr>
                  <w:t xml:space="preserve">. </w:t>
                </w:r>
                <w:r>
                  <w:fldChar w:fldCharType="begin"/>
                </w:r>
                <w:r>
                  <w:rPr>
                    <w:rFonts w:ascii="Arial"/>
                    <w:w w:val="115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w w:val="115"/>
                    <w:sz w:val="31"/>
                  </w:rPr>
                  <w:t>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8.6pt;height:26.9pt;margin-top:1151.44pt;margin-left:465.71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41"/>
                  <w:ind w:left="2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rPr>
                    <w:rFonts w:ascii="Arial"/>
                    <w:color w:val="FF7F3F"/>
                    <w:w w:val="115"/>
                    <w:position w:val="-10"/>
                    <w:sz w:val="21"/>
                  </w:rPr>
                  <w:t xml:space="preserve">. </w:t>
                </w:r>
                <w:r>
                  <w:fldChar w:fldCharType="begin"/>
                </w:r>
                <w:r>
                  <w:rPr>
                    <w:rFonts w:ascii="Arial"/>
                    <w:w w:val="115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w w:val="115"/>
                    <w:sz w:val="31"/>
                  </w:rP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8.6pt;height:26.9pt;margin-top:1151.44pt;margin-left:465.71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41"/>
                  <w:ind w:left="2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rPr>
                    <w:rFonts w:ascii="Arial"/>
                    <w:color w:val="FF7F3F"/>
                    <w:w w:val="115"/>
                    <w:position w:val="-10"/>
                    <w:sz w:val="21"/>
                  </w:rPr>
                  <w:t xml:space="preserve">. </w:t>
                </w:r>
                <w:r>
                  <w:fldChar w:fldCharType="begin"/>
                </w:r>
                <w:r>
                  <w:rPr>
                    <w:rFonts w:ascii="Arial"/>
                    <w:w w:val="115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w w:val="115"/>
                    <w:sz w:val="31"/>
                  </w:rPr>
                  <w:t>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8.6pt;height:26.9pt;margin-top:1151.44pt;margin-left:465.71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41"/>
                  <w:ind w:left="2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rPr>
                    <w:rFonts w:ascii="Arial"/>
                    <w:color w:val="FF7F3F"/>
                    <w:w w:val="115"/>
                    <w:position w:val="-10"/>
                    <w:sz w:val="21"/>
                  </w:rPr>
                  <w:t xml:space="preserve">. </w:t>
                </w:r>
                <w:r>
                  <w:fldChar w:fldCharType="begin"/>
                </w:r>
                <w:r>
                  <w:rPr>
                    <w:rFonts w:ascii="Arial"/>
                    <w:w w:val="115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w w:val="115"/>
                    <w:sz w:val="31"/>
                  </w:rPr>
                  <w:t>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28.6pt;height:26.9pt;margin-top:1151.44pt;margin-left:465.71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41"/>
                  <w:ind w:left="2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rPr>
                    <w:rFonts w:ascii="Arial"/>
                    <w:color w:val="FF7F3F"/>
                    <w:w w:val="115"/>
                    <w:position w:val="-10"/>
                    <w:sz w:val="21"/>
                  </w:rPr>
                  <w:t xml:space="preserve">. </w:t>
                </w:r>
                <w:r>
                  <w:fldChar w:fldCharType="begin"/>
                </w:r>
                <w:r>
                  <w:rPr>
                    <w:rFonts w:ascii="Arial"/>
                    <w:w w:val="115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w w:val="115"/>
                    <w:sz w:val="31"/>
                  </w:rPr>
                  <w:t>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28.6pt;height:26.9pt;margin-top:1151.44pt;margin-left:465.71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41"/>
                  <w:ind w:left="2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rPr>
                    <w:rFonts w:ascii="Arial"/>
                    <w:color w:val="FF7F3F"/>
                    <w:w w:val="115"/>
                    <w:position w:val="-10"/>
                    <w:sz w:val="21"/>
                  </w:rPr>
                  <w:t xml:space="preserve">. </w:t>
                </w:r>
                <w:r>
                  <w:fldChar w:fldCharType="begin"/>
                </w:r>
                <w:r>
                  <w:rPr>
                    <w:rFonts w:ascii="Arial"/>
                    <w:w w:val="115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w w:val="115"/>
                    <w:sz w:val="31"/>
                  </w:rPr>
                  <w:t>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28.6pt;height:26.9pt;margin-top:1151.44pt;margin-left:465.71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41"/>
                  <w:ind w:left="2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rPr>
                    <w:rFonts w:ascii="Arial"/>
                    <w:color w:val="FF7F3F"/>
                    <w:w w:val="115"/>
                    <w:position w:val="-10"/>
                    <w:sz w:val="21"/>
                  </w:rPr>
                  <w:t xml:space="preserve">. </w:t>
                </w:r>
                <w:r>
                  <w:fldChar w:fldCharType="begin"/>
                </w:r>
                <w:r>
                  <w:rPr>
                    <w:rFonts w:ascii="Arial"/>
                    <w:w w:val="115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w w:val="115"/>
                    <w:sz w:val="31"/>
                  </w:rPr>
                  <w:t>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28.6pt;height:26.9pt;margin-top:1151.44pt;margin-left:465.71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41"/>
                  <w:ind w:left="2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rPr>
                    <w:rFonts w:ascii="Arial"/>
                    <w:color w:val="FF7F3F"/>
                    <w:w w:val="115"/>
                    <w:position w:val="-10"/>
                    <w:sz w:val="21"/>
                  </w:rPr>
                  <w:t xml:space="preserve">. </w:t>
                </w:r>
                <w:r>
                  <w:fldChar w:fldCharType="begin"/>
                </w:r>
                <w:r>
                  <w:rPr>
                    <w:rFonts w:ascii="Arial"/>
                    <w:w w:val="115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w w:val="115"/>
                    <w:sz w:val="31"/>
                  </w:rP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28.6pt;height:26.9pt;margin-top:1151.44pt;margin-left:465.71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41"/>
                  <w:ind w:left="2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rPr>
                    <w:rFonts w:ascii="Arial"/>
                    <w:color w:val="FF7F3F"/>
                    <w:w w:val="115"/>
                    <w:position w:val="-10"/>
                    <w:sz w:val="21"/>
                  </w:rPr>
                  <w:t xml:space="preserve">. </w:t>
                </w:r>
                <w:r>
                  <w:fldChar w:fldCharType="begin"/>
                </w:r>
                <w:r>
                  <w:rPr>
                    <w:rFonts w:ascii="Arial"/>
                    <w:w w:val="115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w w:val="115"/>
                    <w:sz w:val="31"/>
                  </w:rPr>
                  <w:t>11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28.6pt;height:26.9pt;margin-top:1151.44pt;margin-left:465.71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41"/>
                  <w:ind w:left="2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rPr>
                    <w:rFonts w:ascii="Arial"/>
                    <w:color w:val="FF7F3F"/>
                    <w:w w:val="115"/>
                    <w:position w:val="-10"/>
                    <w:sz w:val="21"/>
                  </w:rPr>
                  <w:t xml:space="preserve">. </w:t>
                </w:r>
                <w:r>
                  <w:fldChar w:fldCharType="begin"/>
                </w:r>
                <w:r>
                  <w:rPr>
                    <w:rFonts w:ascii="Arial"/>
                    <w:w w:val="115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w w:val="115"/>
                    <w:sz w:val="31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28.6pt;height:26.9pt;margin-top:1151.44pt;margin-left:465.71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41"/>
                  <w:ind w:left="2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rPr>
                    <w:rFonts w:ascii="Arial"/>
                    <w:color w:val="FF7F3F"/>
                    <w:w w:val="115"/>
                    <w:position w:val="-10"/>
                    <w:sz w:val="21"/>
                  </w:rPr>
                  <w:t xml:space="preserve">. </w:t>
                </w:r>
                <w:r>
                  <w:fldChar w:fldCharType="begin"/>
                </w:r>
                <w:r>
                  <w:rPr>
                    <w:rFonts w:ascii="Arial"/>
                    <w:w w:val="115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w w:val="115"/>
                    <w:sz w:val="31"/>
                  </w:rPr>
                  <w:t>13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752475</wp:posOffset>
          </wp:positionV>
          <wp:extent cx="8001000" cy="38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43.8pt;height:12.45pt;margin-top:53.78pt;margin-left:435.03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49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color w:val="FF7F3F"/>
                    <w:sz w:val="21"/>
                  </w:rPr>
                  <w:t>招标文件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752475</wp:posOffset>
          </wp:positionV>
          <wp:extent cx="8001000" cy="38100"/>
          <wp:effectExtent l="0" t="0" r="0" b="0"/>
          <wp:wrapNone/>
          <wp:docPr id="149463824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9463824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43.8pt;height:12.45pt;margin-top:53.78pt;margin-left:435.03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249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color w:val="FF7F3F"/>
                    <w:sz w:val="21"/>
                  </w:rPr>
                  <w:t>招标文件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752475</wp:posOffset>
          </wp:positionV>
          <wp:extent cx="8001000" cy="38100"/>
          <wp:effectExtent l="0" t="0" r="0" b="0"/>
          <wp:wrapNone/>
          <wp:docPr id="86980910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980910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43.8pt;height:12.45pt;margin-top:53.78pt;margin-left:435.03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249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color w:val="FF7F3F"/>
                    <w:sz w:val="21"/>
                  </w:rPr>
                  <w:t>招标文件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752475</wp:posOffset>
          </wp:positionV>
          <wp:extent cx="8001000" cy="38100"/>
          <wp:effectExtent l="0" t="0" r="0" b="0"/>
          <wp:wrapNone/>
          <wp:docPr id="109186437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9186437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43.8pt;height:12.45pt;margin-top:53.78pt;margin-left:435.03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249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color w:val="FF7F3F"/>
                    <w:sz w:val="21"/>
                  </w:rPr>
                  <w:t>招标文件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752475</wp:posOffset>
          </wp:positionV>
          <wp:extent cx="8001000" cy="38100"/>
          <wp:effectExtent l="0" t="0" r="0" b="0"/>
          <wp:wrapNone/>
          <wp:docPr id="78764965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8764965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43.8pt;height:12.45pt;margin-top:53.78pt;margin-left:435.03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249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color w:val="FF7F3F"/>
                    <w:sz w:val="21"/>
                  </w:rPr>
                  <w:t>招标文件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752475</wp:posOffset>
          </wp:positionV>
          <wp:extent cx="8001000" cy="38100"/>
          <wp:effectExtent l="0" t="0" r="0" b="0"/>
          <wp:wrapNone/>
          <wp:docPr id="204796360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4796360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43.8pt;height:12.45pt;margin-top:53.78pt;margin-left:435.03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249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color w:val="FF7F3F"/>
                    <w:sz w:val="21"/>
                  </w:rPr>
                  <w:t>招标文件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052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752475</wp:posOffset>
          </wp:positionV>
          <wp:extent cx="8001000" cy="38100"/>
          <wp:effectExtent l="0" t="0" r="0" b="0"/>
          <wp:wrapNone/>
          <wp:docPr id="78663095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8663095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43.8pt;height:12.45pt;margin-top:53.78pt;margin-left:435.03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249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color w:val="FF7F3F"/>
                    <w:sz w:val="21"/>
                  </w:rPr>
                  <w:t>招标文件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257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752475</wp:posOffset>
          </wp:positionV>
          <wp:extent cx="8001000" cy="38100"/>
          <wp:effectExtent l="0" t="0" r="0" b="0"/>
          <wp:wrapNone/>
          <wp:docPr id="171367785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1367785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43.8pt;height:12.45pt;margin-top:53.78pt;margin-left:435.03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249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color w:val="FF7F3F"/>
                    <w:sz w:val="21"/>
                  </w:rPr>
                  <w:t>招标文件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462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752475</wp:posOffset>
          </wp:positionV>
          <wp:extent cx="8001000" cy="38100"/>
          <wp:effectExtent l="0" t="0" r="0" b="0"/>
          <wp:wrapNone/>
          <wp:docPr id="18792277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792277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43.8pt;height:12.45pt;margin-top:53.78pt;margin-left:435.03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249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color w:val="FF7F3F"/>
                    <w:sz w:val="21"/>
                  </w:rPr>
                  <w:t>招标文件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667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752475</wp:posOffset>
          </wp:positionV>
          <wp:extent cx="8001000" cy="38100"/>
          <wp:effectExtent l="0" t="0" r="0" b="0"/>
          <wp:wrapNone/>
          <wp:docPr id="54429930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4429930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43.8pt;height:12.45pt;margin-top:53.78pt;margin-left:435.03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249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color w:val="FF7F3F"/>
                    <w:sz w:val="21"/>
                  </w:rPr>
                  <w:t>招标文件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872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752475</wp:posOffset>
          </wp:positionV>
          <wp:extent cx="8001000" cy="38100"/>
          <wp:effectExtent l="0" t="0" r="0" b="0"/>
          <wp:wrapNone/>
          <wp:docPr id="83560889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560889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43.8pt;height:12.45pt;margin-top:53.78pt;margin-left:435.03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249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color w:val="FF7F3F"/>
                    <w:sz w:val="21"/>
                  </w:rPr>
                  <w:t>招标文件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076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752475</wp:posOffset>
          </wp:positionV>
          <wp:extent cx="8001000" cy="38100"/>
          <wp:effectExtent l="0" t="0" r="0" b="0"/>
          <wp:wrapNone/>
          <wp:docPr id="138950707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8950707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43.8pt;height:12.45pt;margin-top:53.78pt;margin-left:435.03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249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color w:val="FF7F3F"/>
                    <w:sz w:val="21"/>
                  </w:rPr>
                  <w:t>招标文件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281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752475</wp:posOffset>
          </wp:positionV>
          <wp:extent cx="8001000" cy="38100"/>
          <wp:effectExtent l="0" t="0" r="0" b="0"/>
          <wp:wrapNone/>
          <wp:docPr id="96495189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6495189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43.8pt;height:12.45pt;margin-top:53.78pt;margin-left:435.03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0" w:line="249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color w:val="FF7F3F"/>
                    <w:sz w:val="21"/>
                  </w:rPr>
                  <w:t>招标文件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221CDA"/>
    <w:multiLevelType w:val="hybridMultilevel"/>
    <w:tmpl w:val="00000000"/>
    <w:lvl w:ilvl="0">
      <w:start w:val="3"/>
      <w:numFmt w:val="decimal"/>
      <w:lvlText w:val="%1"/>
      <w:lvlJc w:val="left"/>
      <w:pPr>
        <w:ind w:left="4216" w:hanging="68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16" w:hanging="681"/>
        <w:jc w:val="left"/>
      </w:pPr>
      <w:rPr>
        <w:rFonts w:ascii="Arial" w:eastAsia="Arial" w:hAnsi="Arial" w:cs="Arial" w:hint="default"/>
        <w:spacing w:val="-1"/>
        <w:w w:val="94"/>
        <w:sz w:val="42"/>
        <w:szCs w:val="42"/>
      </w:rPr>
    </w:lvl>
    <w:lvl w:ilvl="2">
      <w:start w:val="0"/>
      <w:numFmt w:val="bullet"/>
      <w:lvlText w:val="•"/>
      <w:lvlJc w:val="left"/>
      <w:pPr>
        <w:ind w:left="6947" w:hanging="68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311" w:hanging="68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675" w:hanging="68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39" w:hanging="68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03" w:hanging="68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67" w:hanging="68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31" w:hanging="681"/>
      </w:pPr>
      <w:rPr>
        <w:rFonts w:hint="default"/>
      </w:rPr>
    </w:lvl>
  </w:abstractNum>
  <w:abstractNum w:abstractNumId="1">
    <w:nsid w:val="100684FA"/>
    <w:multiLevelType w:val="hybridMultilevel"/>
    <w:tmpl w:val="00000000"/>
    <w:lvl w:ilvl="0">
      <w:start w:val="1"/>
      <w:numFmt w:val="decimal"/>
      <w:lvlText w:val="（%1）"/>
      <w:lvlJc w:val="left"/>
      <w:pPr>
        <w:ind w:left="4558" w:hanging="1023"/>
        <w:jc w:val="left"/>
      </w:pPr>
      <w:rPr>
        <w:rFonts w:ascii="宋体" w:eastAsia="宋体" w:hAnsi="宋体" w:cs="宋体" w:hint="default"/>
        <w:color w:val="323232"/>
        <w:spacing w:val="2"/>
        <w:w w:val="73"/>
        <w:sz w:val="40"/>
        <w:szCs w:val="40"/>
      </w:rPr>
    </w:lvl>
    <w:lvl w:ilvl="1">
      <w:start w:val="0"/>
      <w:numFmt w:val="bullet"/>
      <w:lvlText w:val="•"/>
      <w:lvlJc w:val="left"/>
      <w:pPr>
        <w:ind w:left="5889" w:hanging="10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219" w:hanging="10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549" w:hanging="10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879" w:hanging="10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209" w:hanging="10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539" w:hanging="10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869" w:hanging="10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99" w:hanging="1023"/>
      </w:pPr>
      <w:rPr>
        <w:rFonts w:hint="default"/>
      </w:rPr>
    </w:lvl>
  </w:abstractNum>
  <w:abstractNum w:abstractNumId="2">
    <w:nsid w:val="10150A2E"/>
    <w:multiLevelType w:val="hybridMultilevel"/>
    <w:tmpl w:val="00000000"/>
    <w:lvl w:ilvl="0">
      <w:start w:val="1"/>
      <w:numFmt w:val="decimal"/>
      <w:lvlText w:val="（%1）"/>
      <w:lvlJc w:val="left"/>
      <w:pPr>
        <w:ind w:left="4548" w:hanging="1013"/>
        <w:jc w:val="left"/>
      </w:pPr>
      <w:rPr>
        <w:rFonts w:ascii="宋体" w:eastAsia="宋体" w:hAnsi="宋体" w:cs="宋体" w:hint="default"/>
        <w:spacing w:val="-2"/>
        <w:w w:val="73"/>
        <w:sz w:val="40"/>
        <w:szCs w:val="40"/>
      </w:rPr>
    </w:lvl>
    <w:lvl w:ilvl="1">
      <w:start w:val="0"/>
      <w:numFmt w:val="bullet"/>
      <w:lvlText w:val="•"/>
      <w:lvlJc w:val="left"/>
      <w:pPr>
        <w:ind w:left="5871" w:hanging="101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203" w:hanging="101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535" w:hanging="101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867" w:hanging="101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199" w:hanging="101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531" w:hanging="101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863" w:hanging="101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95" w:hanging="1013"/>
      </w:pPr>
      <w:rPr>
        <w:rFonts w:hint="default"/>
      </w:rPr>
    </w:lvl>
  </w:abstractNum>
  <w:abstractNum w:abstractNumId="3">
    <w:nsid w:val="13ACE3F8"/>
    <w:multiLevelType w:val="hybridMultilevel"/>
    <w:tmpl w:val="00000000"/>
    <w:lvl w:ilvl="0">
      <w:start w:val="1"/>
      <w:numFmt w:val="decimal"/>
      <w:lvlText w:val="%1"/>
      <w:lvlJc w:val="left"/>
      <w:pPr>
        <w:ind w:left="4212" w:hanging="61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12" w:hanging="616"/>
        <w:jc w:val="left"/>
      </w:pPr>
      <w:rPr>
        <w:rFonts w:ascii="Arial" w:eastAsia="Arial" w:hAnsi="Arial" w:cs="Arial" w:hint="default"/>
        <w:color w:val="323232"/>
        <w:spacing w:val="-1"/>
        <w:w w:val="83"/>
        <w:sz w:val="42"/>
        <w:szCs w:val="42"/>
      </w:rPr>
    </w:lvl>
    <w:lvl w:ilvl="2">
      <w:start w:val="0"/>
      <w:numFmt w:val="bullet"/>
      <w:lvlText w:val="•"/>
      <w:lvlJc w:val="left"/>
      <w:pPr>
        <w:ind w:left="6947" w:hanging="61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311" w:hanging="61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675" w:hanging="61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39" w:hanging="61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03" w:hanging="61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67" w:hanging="61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31" w:hanging="616"/>
      </w:pPr>
      <w:rPr>
        <w:rFonts w:hint="default"/>
      </w:rPr>
    </w:lvl>
  </w:abstractNum>
  <w:abstractNum w:abstractNumId="4">
    <w:nsid w:val="1438C360"/>
    <w:multiLevelType w:val="hybridMultilevel"/>
    <w:tmpl w:val="00000000"/>
    <w:lvl w:ilvl="0">
      <w:start w:val="1"/>
      <w:numFmt w:val="decimal"/>
      <w:lvlText w:val="（%1）"/>
      <w:lvlJc w:val="left"/>
      <w:pPr>
        <w:ind w:left="2697" w:hanging="1017"/>
        <w:jc w:val="left"/>
      </w:pPr>
      <w:rPr>
        <w:rFonts w:ascii="宋体" w:eastAsia="宋体" w:hAnsi="宋体" w:cs="宋体" w:hint="default"/>
        <w:color w:val="323232"/>
        <w:spacing w:val="-2"/>
        <w:w w:val="73"/>
        <w:sz w:val="40"/>
        <w:szCs w:val="40"/>
      </w:rPr>
    </w:lvl>
    <w:lvl w:ilvl="1">
      <w:start w:val="0"/>
      <w:numFmt w:val="bullet"/>
      <w:lvlText w:val="•"/>
      <w:lvlJc w:val="left"/>
      <w:pPr>
        <w:ind w:left="4215" w:hanging="10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10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10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10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10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10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10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1017"/>
      </w:pPr>
      <w:rPr>
        <w:rFonts w:hint="default"/>
      </w:rPr>
    </w:lvl>
  </w:abstractNum>
  <w:abstractNum w:abstractNumId="5">
    <w:nsid w:val="18302A1D"/>
    <w:multiLevelType w:val="hybridMultilevel"/>
    <w:tmpl w:val="00000000"/>
    <w:lvl w:ilvl="0">
      <w:start w:val="1"/>
      <w:numFmt w:val="decimal"/>
      <w:lvlText w:val="（%1）"/>
      <w:lvlJc w:val="left"/>
      <w:pPr>
        <w:ind w:left="4548" w:hanging="1013"/>
        <w:jc w:val="left"/>
      </w:pPr>
      <w:rPr>
        <w:rFonts w:ascii="宋体" w:eastAsia="宋体" w:hAnsi="宋体" w:cs="宋体" w:hint="default"/>
        <w:spacing w:val="-2"/>
        <w:w w:val="73"/>
        <w:sz w:val="40"/>
        <w:szCs w:val="40"/>
      </w:rPr>
    </w:lvl>
    <w:lvl w:ilvl="1">
      <w:start w:val="0"/>
      <w:numFmt w:val="bullet"/>
      <w:lvlText w:val="•"/>
      <w:lvlJc w:val="left"/>
      <w:pPr>
        <w:ind w:left="5871" w:hanging="101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203" w:hanging="101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535" w:hanging="101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867" w:hanging="101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199" w:hanging="101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531" w:hanging="101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863" w:hanging="101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95" w:hanging="1013"/>
      </w:pPr>
      <w:rPr>
        <w:rFonts w:hint="default"/>
      </w:rPr>
    </w:lvl>
  </w:abstractNum>
  <w:abstractNum w:abstractNumId="6">
    <w:nsid w:val="27ECA5B3"/>
    <w:multiLevelType w:val="hybridMultilevel"/>
    <w:tmpl w:val="00000000"/>
    <w:lvl w:ilvl="0">
      <w:start w:val="3"/>
      <w:numFmt w:val="decimal"/>
      <w:lvlText w:val="%1"/>
      <w:lvlJc w:val="left"/>
      <w:pPr>
        <w:ind w:left="4216" w:hanging="68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16" w:hanging="681"/>
        <w:jc w:val="left"/>
      </w:pPr>
      <w:rPr>
        <w:rFonts w:ascii="Arial" w:eastAsia="Arial" w:hAnsi="Arial" w:cs="Arial" w:hint="default"/>
        <w:spacing w:val="-1"/>
        <w:w w:val="94"/>
        <w:sz w:val="42"/>
        <w:szCs w:val="42"/>
      </w:rPr>
    </w:lvl>
    <w:lvl w:ilvl="2">
      <w:start w:val="0"/>
      <w:numFmt w:val="bullet"/>
      <w:lvlText w:val="•"/>
      <w:lvlJc w:val="left"/>
      <w:pPr>
        <w:ind w:left="6947" w:hanging="68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311" w:hanging="68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675" w:hanging="68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39" w:hanging="68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03" w:hanging="68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67" w:hanging="68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31" w:hanging="681"/>
      </w:pPr>
      <w:rPr>
        <w:rFonts w:hint="default"/>
      </w:rPr>
    </w:lvl>
  </w:abstractNum>
  <w:abstractNum w:abstractNumId="7">
    <w:nsid w:val="29701C2F"/>
    <w:multiLevelType w:val="hybridMultilevel"/>
    <w:tmpl w:val="00000000"/>
    <w:lvl w:ilvl="0">
      <w:start w:val="1"/>
      <w:numFmt w:val="decimal"/>
      <w:lvlText w:val="（%1）"/>
      <w:lvlJc w:val="left"/>
      <w:pPr>
        <w:ind w:left="2697" w:hanging="1020"/>
        <w:jc w:val="left"/>
      </w:pPr>
      <w:rPr>
        <w:rFonts w:ascii="宋体" w:eastAsia="宋体" w:hAnsi="宋体" w:cs="宋体" w:hint="default"/>
        <w:color w:val="323232"/>
        <w:spacing w:val="0"/>
        <w:w w:val="73"/>
        <w:sz w:val="40"/>
        <w:szCs w:val="40"/>
      </w:rPr>
    </w:lvl>
    <w:lvl w:ilvl="1">
      <w:start w:val="0"/>
      <w:numFmt w:val="bullet"/>
      <w:lvlText w:val="•"/>
      <w:lvlJc w:val="left"/>
      <w:pPr>
        <w:ind w:left="4215" w:hanging="10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10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10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10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10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10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10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1020"/>
      </w:pPr>
      <w:rPr>
        <w:rFonts w:hint="default"/>
      </w:rPr>
    </w:lvl>
  </w:abstractNum>
  <w:abstractNum w:abstractNumId="8">
    <w:nsid w:val="2F0A187F"/>
    <w:multiLevelType w:val="hybridMultilevel"/>
    <w:tmpl w:val="00000000"/>
    <w:lvl w:ilvl="0">
      <w:start w:val="6"/>
      <w:numFmt w:val="decimal"/>
      <w:lvlText w:val="%1"/>
      <w:lvlJc w:val="left"/>
      <w:pPr>
        <w:ind w:left="4216" w:hanging="68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16" w:hanging="681"/>
        <w:jc w:val="left"/>
      </w:pPr>
      <w:rPr>
        <w:rFonts w:ascii="Arial" w:eastAsia="Arial" w:hAnsi="Arial" w:cs="Arial" w:hint="default"/>
        <w:spacing w:val="-1"/>
        <w:w w:val="94"/>
        <w:sz w:val="42"/>
        <w:szCs w:val="42"/>
      </w:rPr>
    </w:lvl>
    <w:lvl w:ilvl="2">
      <w:start w:val="0"/>
      <w:numFmt w:val="bullet"/>
      <w:lvlText w:val="•"/>
      <w:lvlJc w:val="left"/>
      <w:pPr>
        <w:ind w:left="6947" w:hanging="68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311" w:hanging="68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675" w:hanging="68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39" w:hanging="68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03" w:hanging="68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67" w:hanging="68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31" w:hanging="681"/>
      </w:pPr>
      <w:rPr>
        <w:rFonts w:hint="default"/>
      </w:rPr>
    </w:lvl>
  </w:abstractNum>
  <w:abstractNum w:abstractNumId="9">
    <w:nsid w:val="352CB8CC"/>
    <w:multiLevelType w:val="hybridMultilevel"/>
    <w:tmpl w:val="00000000"/>
    <w:lvl w:ilvl="0">
      <w:start w:val="1"/>
      <w:numFmt w:val="decimal"/>
      <w:lvlText w:val="（%1）"/>
      <w:lvlJc w:val="left"/>
      <w:pPr>
        <w:ind w:left="5408" w:hanging="1020"/>
        <w:jc w:val="left"/>
      </w:pPr>
      <w:rPr>
        <w:rFonts w:ascii="宋体" w:eastAsia="宋体" w:hAnsi="宋体" w:cs="宋体" w:hint="default"/>
        <w:color w:val="323232"/>
        <w:spacing w:val="0"/>
        <w:w w:val="73"/>
        <w:sz w:val="40"/>
        <w:szCs w:val="40"/>
      </w:rPr>
    </w:lvl>
    <w:lvl w:ilvl="1">
      <w:start w:val="0"/>
      <w:numFmt w:val="bullet"/>
      <w:lvlText w:val="•"/>
      <w:lvlJc w:val="left"/>
      <w:pPr>
        <w:ind w:left="6645" w:hanging="10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891" w:hanging="10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137" w:hanging="10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383" w:hanging="10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629" w:hanging="10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875" w:hanging="10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121" w:hanging="10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367" w:hanging="1020"/>
      </w:pPr>
      <w:rPr>
        <w:rFonts w:hint="default"/>
      </w:rPr>
    </w:lvl>
  </w:abstractNum>
  <w:abstractNum w:abstractNumId="10">
    <w:nsid w:val="4006D44D"/>
    <w:multiLevelType w:val="hybridMultilevel"/>
    <w:tmpl w:val="00000000"/>
    <w:lvl w:ilvl="0">
      <w:start w:val="10"/>
      <w:numFmt w:val="decimal"/>
      <w:lvlText w:val="%1"/>
      <w:lvlJc w:val="left"/>
      <w:pPr>
        <w:ind w:left="410" w:hanging="411"/>
        <w:jc w:val="left"/>
      </w:pPr>
      <w:rPr>
        <w:rFonts w:ascii="Arial" w:eastAsia="Arial" w:hAnsi="Arial" w:cs="Arial" w:hint="default"/>
        <w:spacing w:val="-1"/>
        <w:w w:val="90"/>
        <w:sz w:val="31"/>
        <w:szCs w:val="31"/>
      </w:rPr>
    </w:lvl>
    <w:lvl w:ilvl="1">
      <w:start w:val="0"/>
      <w:numFmt w:val="bullet"/>
      <w:lvlText w:val="•"/>
      <w:lvlJc w:val="left"/>
      <w:pPr>
        <w:ind w:left="464" w:hanging="41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8" w:hanging="41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2" w:hanging="41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6" w:hanging="41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0" w:hanging="41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84" w:hanging="41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28" w:hanging="41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73" w:hanging="411"/>
      </w:pPr>
      <w:rPr>
        <w:rFonts w:hint="default"/>
      </w:rPr>
    </w:lvl>
  </w:abstractNum>
  <w:abstractNum w:abstractNumId="11">
    <w:nsid w:val="4D281436"/>
    <w:multiLevelType w:val="hybridMultilevel"/>
    <w:tmpl w:val="00000000"/>
    <w:lvl w:ilvl="0">
      <w:start w:val="1"/>
      <w:numFmt w:val="decimal"/>
      <w:lvlText w:val="（%1）"/>
      <w:lvlJc w:val="left"/>
      <w:pPr>
        <w:ind w:left="2697" w:hanging="1013"/>
        <w:jc w:val="left"/>
      </w:pPr>
      <w:rPr>
        <w:rFonts w:ascii="宋体" w:eastAsia="宋体" w:hAnsi="宋体" w:cs="宋体" w:hint="default"/>
        <w:color w:val="323232"/>
        <w:spacing w:val="-2"/>
        <w:w w:val="73"/>
        <w:sz w:val="40"/>
        <w:szCs w:val="40"/>
      </w:rPr>
    </w:lvl>
    <w:lvl w:ilvl="1">
      <w:start w:val="0"/>
      <w:numFmt w:val="bullet"/>
      <w:lvlText w:val="•"/>
      <w:lvlJc w:val="left"/>
      <w:pPr>
        <w:ind w:left="4215" w:hanging="101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101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101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101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101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101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101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1013"/>
      </w:pPr>
      <w:rPr>
        <w:rFonts w:hint="default"/>
      </w:rPr>
    </w:lvl>
  </w:abstractNum>
  <w:abstractNum w:abstractNumId="12">
    <w:nsid w:val="55E09D4D"/>
    <w:multiLevelType w:val="hybridMultilevel"/>
    <w:tmpl w:val="00000000"/>
    <w:lvl w:ilvl="0">
      <w:start w:val="2"/>
      <w:numFmt w:val="decimal"/>
      <w:lvlText w:val="%1."/>
      <w:lvlJc w:val="left"/>
      <w:pPr>
        <w:ind w:left="3914" w:hanging="379"/>
        <w:jc w:val="left"/>
      </w:pPr>
      <w:rPr>
        <w:rFonts w:ascii="Arial" w:eastAsia="Arial" w:hAnsi="Arial" w:cs="Arial" w:hint="default"/>
        <w:spacing w:val="-1"/>
        <w:w w:val="107"/>
        <w:sz w:val="40"/>
        <w:szCs w:val="40"/>
      </w:rPr>
    </w:lvl>
    <w:lvl w:ilvl="1">
      <w:start w:val="1"/>
      <w:numFmt w:val="decimal"/>
      <w:lvlText w:val="（%2）"/>
      <w:lvlJc w:val="left"/>
      <w:pPr>
        <w:ind w:left="5847" w:hanging="1232"/>
        <w:jc w:val="left"/>
      </w:pPr>
      <w:rPr>
        <w:rFonts w:ascii="宋体" w:eastAsia="宋体" w:hAnsi="宋体" w:cs="宋体" w:hint="default"/>
        <w:spacing w:val="-2"/>
        <w:w w:val="73"/>
        <w:sz w:val="42"/>
        <w:szCs w:val="42"/>
      </w:rPr>
    </w:lvl>
    <w:lvl w:ilvl="2">
      <w:start w:val="0"/>
      <w:numFmt w:val="bullet"/>
      <w:lvlText w:val="•"/>
      <w:lvlJc w:val="left"/>
      <w:pPr>
        <w:ind w:left="7175" w:hanging="123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511" w:hanging="123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846" w:hanging="123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182" w:hanging="123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517" w:hanging="123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853" w:hanging="123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88" w:hanging="1232"/>
      </w:pPr>
      <w:rPr>
        <w:rFonts w:hint="default"/>
      </w:rPr>
    </w:lvl>
  </w:abstractNum>
  <w:abstractNum w:abstractNumId="13">
    <w:nsid w:val="5C5D29D1"/>
    <w:multiLevelType w:val="hybridMultilevel"/>
    <w:tmpl w:val="00000000"/>
    <w:lvl w:ilvl="0">
      <w:start w:val="1"/>
      <w:numFmt w:val="decimal"/>
      <w:lvlText w:val="（%1）"/>
      <w:lvlJc w:val="left"/>
      <w:pPr>
        <w:ind w:left="2697" w:hanging="1017"/>
        <w:jc w:val="left"/>
      </w:pPr>
      <w:rPr>
        <w:rFonts w:ascii="宋体" w:eastAsia="宋体" w:hAnsi="宋体" w:cs="宋体" w:hint="default"/>
        <w:color w:val="323232"/>
        <w:spacing w:val="-2"/>
        <w:w w:val="73"/>
        <w:sz w:val="40"/>
        <w:szCs w:val="40"/>
      </w:rPr>
    </w:lvl>
    <w:lvl w:ilvl="1">
      <w:start w:val="0"/>
      <w:numFmt w:val="bullet"/>
      <w:lvlText w:val="•"/>
      <w:lvlJc w:val="left"/>
      <w:pPr>
        <w:ind w:left="4215" w:hanging="10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10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10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10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10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10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10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1017"/>
      </w:pPr>
      <w:rPr>
        <w:rFonts w:hint="default"/>
      </w:rPr>
    </w:lvl>
  </w:abstractNum>
  <w:abstractNum w:abstractNumId="14">
    <w:nsid w:val="658F9BDF"/>
    <w:multiLevelType w:val="hybridMultilevel"/>
    <w:tmpl w:val="00000000"/>
    <w:lvl w:ilvl="0">
      <w:start w:val="1"/>
      <w:numFmt w:val="decimal"/>
      <w:lvlText w:val="（%1）"/>
      <w:lvlJc w:val="left"/>
      <w:pPr>
        <w:ind w:left="2697" w:hanging="1020"/>
        <w:jc w:val="left"/>
      </w:pPr>
      <w:rPr>
        <w:rFonts w:ascii="宋体" w:eastAsia="宋体" w:hAnsi="宋体" w:cs="宋体" w:hint="default"/>
        <w:color w:val="323232"/>
        <w:spacing w:val="0"/>
        <w:w w:val="73"/>
        <w:sz w:val="40"/>
        <w:szCs w:val="40"/>
      </w:rPr>
    </w:lvl>
    <w:lvl w:ilvl="1">
      <w:start w:val="0"/>
      <w:numFmt w:val="bullet"/>
      <w:lvlText w:val="•"/>
      <w:lvlJc w:val="left"/>
      <w:pPr>
        <w:ind w:left="4215" w:hanging="10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10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10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10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10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10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10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1020"/>
      </w:pPr>
      <w:rPr>
        <w:rFonts w:hint="default"/>
      </w:rPr>
    </w:lvl>
  </w:abstractNum>
  <w:abstractNum w:abstractNumId="15">
    <w:nsid w:val="73D78714"/>
    <w:multiLevelType w:val="hybridMultilevel"/>
    <w:tmpl w:val="00000000"/>
    <w:lvl w:ilvl="0">
      <w:start w:val="1"/>
      <w:numFmt w:val="decimal"/>
      <w:lvlText w:val="（%1）"/>
      <w:lvlJc w:val="left"/>
      <w:pPr>
        <w:ind w:left="2697" w:hanging="1023"/>
        <w:jc w:val="left"/>
      </w:pPr>
      <w:rPr>
        <w:rFonts w:ascii="宋体" w:eastAsia="宋体" w:hAnsi="宋体" w:cs="宋体" w:hint="default"/>
        <w:color w:val="323232"/>
        <w:spacing w:val="2"/>
        <w:w w:val="73"/>
        <w:sz w:val="40"/>
        <w:szCs w:val="40"/>
      </w:rPr>
    </w:lvl>
    <w:lvl w:ilvl="1">
      <w:start w:val="0"/>
      <w:numFmt w:val="bullet"/>
      <w:lvlText w:val="•"/>
      <w:lvlJc w:val="left"/>
      <w:pPr>
        <w:ind w:left="4215" w:hanging="10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10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10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10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10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10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10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1023"/>
      </w:pPr>
      <w:rPr>
        <w:rFonts w:hint="default"/>
      </w:rPr>
    </w:lvl>
  </w:abstractNum>
  <w:abstractNum w:abstractNumId="16">
    <w:nsid w:val="77E13816"/>
    <w:multiLevelType w:val="hybridMultilevel"/>
    <w:tmpl w:val="00000000"/>
    <w:lvl w:ilvl="0">
      <w:start w:val="1"/>
      <w:numFmt w:val="decimal"/>
      <w:lvlText w:val="（%1）"/>
      <w:lvlJc w:val="left"/>
      <w:pPr>
        <w:ind w:left="5408" w:hanging="1020"/>
        <w:jc w:val="left"/>
      </w:pPr>
      <w:rPr>
        <w:rFonts w:ascii="宋体" w:eastAsia="宋体" w:hAnsi="宋体" w:cs="宋体" w:hint="default"/>
        <w:color w:val="323232"/>
        <w:spacing w:val="0"/>
        <w:w w:val="73"/>
        <w:sz w:val="40"/>
        <w:szCs w:val="40"/>
      </w:rPr>
    </w:lvl>
    <w:lvl w:ilvl="1">
      <w:start w:val="0"/>
      <w:numFmt w:val="bullet"/>
      <w:lvlText w:val="•"/>
      <w:lvlJc w:val="left"/>
      <w:pPr>
        <w:ind w:left="6645" w:hanging="10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891" w:hanging="10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137" w:hanging="10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383" w:hanging="10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629" w:hanging="10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875" w:hanging="10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121" w:hanging="10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367" w:hanging="1020"/>
      </w:pPr>
      <w:rPr>
        <w:rFonts w:hint="default"/>
      </w:rPr>
    </w:lvl>
  </w:abstractNum>
  <w:abstractNum w:abstractNumId="17">
    <w:nsid w:val="7A3AD0F3"/>
    <w:multiLevelType w:val="hybridMultilevel"/>
    <w:tmpl w:val="00000000"/>
    <w:lvl w:ilvl="0">
      <w:start w:val="1"/>
      <w:numFmt w:val="decimal"/>
      <w:lvlText w:val="（%1）"/>
      <w:lvlJc w:val="left"/>
      <w:pPr>
        <w:ind w:left="4609" w:hanging="1013"/>
        <w:jc w:val="left"/>
      </w:pPr>
      <w:rPr>
        <w:rFonts w:ascii="宋体" w:eastAsia="宋体" w:hAnsi="宋体" w:cs="宋体" w:hint="default"/>
        <w:color w:val="323232"/>
        <w:spacing w:val="-2"/>
        <w:w w:val="73"/>
        <w:sz w:val="40"/>
        <w:szCs w:val="40"/>
      </w:rPr>
    </w:lvl>
    <w:lvl w:ilvl="1">
      <w:start w:val="0"/>
      <w:numFmt w:val="bullet"/>
      <w:lvlText w:val="•"/>
      <w:lvlJc w:val="left"/>
      <w:pPr>
        <w:ind w:left="5925" w:hanging="101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251" w:hanging="101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577" w:hanging="101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903" w:hanging="101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229" w:hanging="101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555" w:hanging="101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881" w:hanging="101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207" w:hanging="1013"/>
      </w:pPr>
      <w:rPr>
        <w:rFonts w:hint="default"/>
      </w:rPr>
    </w:lvl>
  </w:abstractNum>
  <w:abstractNum w:abstractNumId="18">
    <w:nsid w:val="7DBBBC43"/>
    <w:multiLevelType w:val="hybridMultilevel"/>
    <w:tmpl w:val="00000000"/>
    <w:lvl w:ilvl="0">
      <w:start w:val="1"/>
      <w:numFmt w:val="decimal"/>
      <w:lvlText w:val="（%1）"/>
      <w:lvlJc w:val="left"/>
      <w:pPr>
        <w:ind w:left="2697" w:hanging="1023"/>
        <w:jc w:val="right"/>
      </w:pPr>
      <w:rPr>
        <w:rFonts w:ascii="宋体" w:eastAsia="宋体" w:hAnsi="宋体" w:cs="宋体" w:hint="default"/>
        <w:color w:val="323232"/>
        <w:spacing w:val="2"/>
        <w:w w:val="73"/>
        <w:sz w:val="40"/>
        <w:szCs w:val="40"/>
      </w:rPr>
    </w:lvl>
    <w:lvl w:ilvl="1">
      <w:start w:val="0"/>
      <w:numFmt w:val="bullet"/>
      <w:lvlText w:val="•"/>
      <w:lvlJc w:val="left"/>
      <w:pPr>
        <w:ind w:left="4215" w:hanging="10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10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10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10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10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10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10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1023"/>
      </w:pPr>
      <w:rPr>
        <w:rFonts w:hint="default"/>
      </w:rPr>
    </w:lvl>
  </w:abstractNum>
  <w:num w:numId="1">
    <w:abstractNumId w:val="10"/>
  </w:num>
  <w:num w:numId="2">
    <w:abstractNumId w:val="8"/>
  </w:num>
  <w:num w:numId="3">
    <w:abstractNumId w:val="2"/>
  </w:num>
  <w:num w:numId="4">
    <w:abstractNumId w:val="5"/>
  </w:num>
  <w:num w:numId="5">
    <w:abstractNumId w:val="7"/>
  </w:num>
  <w:num w:numId="6">
    <w:abstractNumId w:val="14"/>
  </w:num>
  <w:num w:numId="7">
    <w:abstractNumId w:val="1"/>
  </w:num>
  <w:num w:numId="8">
    <w:abstractNumId w:val="18"/>
  </w:num>
  <w:num w:numId="9">
    <w:abstractNumId w:val="15"/>
  </w:num>
  <w:num w:numId="10">
    <w:abstractNumId w:val="13"/>
  </w:num>
  <w:num w:numId="11">
    <w:abstractNumId w:val="17"/>
  </w:num>
  <w:num w:numId="12">
    <w:abstractNumId w:val="4"/>
  </w:num>
  <w:num w:numId="13">
    <w:abstractNumId w:val="6"/>
  </w:num>
  <w:num w:numId="14">
    <w:abstractNumId w:val="12"/>
  </w:num>
  <w:num w:numId="15">
    <w:abstractNumId w:val="11"/>
  </w:num>
  <w:num w:numId="16">
    <w:abstractNumId w:val="3"/>
  </w:num>
  <w:num w:numId="17">
    <w:abstractNumId w:val="9"/>
  </w:num>
  <w:num w:numId="18">
    <w:abstractNumId w:val="16"/>
  </w:num>
  <w:num w:numId="1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left="3597"/>
      <w:outlineLvl w:val="0"/>
    </w:pPr>
    <w:rPr>
      <w:rFonts w:ascii="宋体" w:eastAsia="宋体" w:hAnsi="宋体" w:cs="宋体"/>
      <w:b/>
      <w:bCs/>
      <w:sz w:val="45"/>
      <w:szCs w:val="45"/>
    </w:rPr>
  </w:style>
  <w:style w:type="paragraph" w:styleId="Heading2">
    <w:name w:val="heading 2"/>
    <w:basedOn w:val="Normal"/>
    <w:uiPriority w:val="1"/>
    <w:qFormat/>
    <w:pPr>
      <w:spacing w:before="42"/>
      <w:ind w:left="2999"/>
      <w:outlineLvl w:val="1"/>
    </w:pPr>
    <w:rPr>
      <w:rFonts w:ascii="宋体" w:eastAsia="宋体" w:hAnsi="宋体" w:cs="宋体"/>
      <w:b/>
      <w:bCs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2"/>
      <w:szCs w:val="42"/>
    </w:rPr>
  </w:style>
  <w:style w:type="paragraph" w:styleId="Title">
    <w:name w:val="Title"/>
    <w:basedOn w:val="Normal"/>
    <w:uiPriority w:val="1"/>
    <w:qFormat/>
    <w:pPr>
      <w:spacing w:before="122"/>
      <w:ind w:right="1"/>
      <w:jc w:val="center"/>
    </w:pPr>
    <w:rPr>
      <w:rFonts w:ascii="宋体" w:eastAsia="宋体" w:hAnsi="宋体" w:cs="宋体"/>
      <w:b/>
      <w:bCs/>
      <w:sz w:val="66"/>
      <w:szCs w:val="66"/>
    </w:rPr>
  </w:style>
  <w:style w:type="paragraph" w:styleId="ListParagraph">
    <w:name w:val="List Paragraph"/>
    <w:basedOn w:val="Normal"/>
    <w:uiPriority w:val="1"/>
    <w:qFormat/>
    <w:pPr>
      <w:ind w:left="2697" w:firstLine="838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image" Target="media/image2.png" /><Relationship Id="rId19" Type="http://schemas.openxmlformats.org/officeDocument/2006/relationships/image" Target="media/image3.png" /><Relationship Id="rId2" Type="http://schemas.openxmlformats.org/officeDocument/2006/relationships/webSettings" Target="webSettings.xml" /><Relationship Id="rId20" Type="http://schemas.openxmlformats.org/officeDocument/2006/relationships/header" Target="header8.xml" /><Relationship Id="rId21" Type="http://schemas.openxmlformats.org/officeDocument/2006/relationships/footer" Target="footer8.xml" /><Relationship Id="rId22" Type="http://schemas.openxmlformats.org/officeDocument/2006/relationships/header" Target="header9.xml" /><Relationship Id="rId23" Type="http://schemas.openxmlformats.org/officeDocument/2006/relationships/footer" Target="footer9.xml" /><Relationship Id="rId24" Type="http://schemas.openxmlformats.org/officeDocument/2006/relationships/header" Target="header10.xml" /><Relationship Id="rId25" Type="http://schemas.openxmlformats.org/officeDocument/2006/relationships/footer" Target="footer10.xml" /><Relationship Id="rId26" Type="http://schemas.openxmlformats.org/officeDocument/2006/relationships/header" Target="header11.xml" /><Relationship Id="rId27" Type="http://schemas.openxmlformats.org/officeDocument/2006/relationships/footer" Target="footer11.xml" /><Relationship Id="rId28" Type="http://schemas.openxmlformats.org/officeDocument/2006/relationships/header" Target="header12.xml" /><Relationship Id="rId29" Type="http://schemas.openxmlformats.org/officeDocument/2006/relationships/footer" Target="footer12.xml" /><Relationship Id="rId3" Type="http://schemas.openxmlformats.org/officeDocument/2006/relationships/fontTable" Target="fontTable.xml" /><Relationship Id="rId30" Type="http://schemas.openxmlformats.org/officeDocument/2006/relationships/hyperlink" Target="https://d.book118.com/628003005066006045" TargetMode="External" /><Relationship Id="rId31" Type="http://schemas.openxmlformats.org/officeDocument/2006/relationships/header" Target="header13.xml" /><Relationship Id="rId32" Type="http://schemas.openxmlformats.org/officeDocument/2006/relationships/footer" Target="footer13.xml" /><Relationship Id="rId33" Type="http://schemas.openxmlformats.org/officeDocument/2006/relationships/theme" Target="theme/theme1.xml" /><Relationship Id="rId34" Type="http://schemas.openxmlformats.org/officeDocument/2006/relationships/numbering" Target="numbering.xml" /><Relationship Id="rId35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2024-02-26T21:52:16Z</dcterms:created>
  <dcterms:modified xsi:type="dcterms:W3CDTF">2024-02-26T21:52:16Z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2022-12-02T00:00:00Z</vt:filetime>
  </property>
  <property fmtid="{D5CDD505-2E9C-101B-9397-08002B2CF9AE}" pid="3" name="LastSaved">
    <vt:filetime>2024-02-26T00:00:00Z</vt:filetime>
  </property>
</Properties>
</file>