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465" w:lineRule="auto"/>
        <w:rPr>
          <w:rFonts w:ascii="Arial"/>
          <w:sz w:val="21"/>
        </w:rPr>
      </w:pPr>
    </w:p>
    <w:p>
      <w:pPr>
        <w:spacing w:before="98" w:line="222" w:lineRule="auto"/>
        <w:ind w:left="3084"/>
        <w:outlineLvl w:val="0"/>
        <w:rPr>
          <w:rFonts w:ascii="SimHei" w:eastAsia="SimHei" w:hAnsi="SimHei" w:cs="SimHei"/>
          <w:sz w:val="30"/>
          <w:szCs w:val="30"/>
        </w:rPr>
      </w:pPr>
      <w:r>
        <w:rPr>
          <w:rFonts w:ascii="SimHei" w:eastAsia="SimHei" w:hAnsi="SimHei" w:cs="SimHei"/>
          <w:b/>
          <w:bCs/>
          <w:spacing w:val="4"/>
          <w:sz w:val="30"/>
          <w:szCs w:val="30"/>
        </w:rPr>
        <w:t>非自行指示秤检定规程</w:t>
      </w:r>
    </w:p>
    <w:p>
      <w:pPr>
        <w:spacing w:line="479" w:lineRule="auto"/>
        <w:rPr>
          <w:rFonts w:ascii="Arial"/>
          <w:sz w:val="21"/>
        </w:rPr>
      </w:pPr>
    </w:p>
    <w:p>
      <w:pPr>
        <w:spacing w:before="78" w:line="223" w:lineRule="auto"/>
        <w:ind w:left="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9"/>
          <w:sz w:val="24"/>
          <w:szCs w:val="24"/>
        </w:rPr>
        <w:t>1</w:t>
      </w:r>
      <w:r>
        <w:rPr>
          <w:rFonts w:ascii="SimHei" w:eastAsia="SimHei" w:hAnsi="SimHei" w:cs="SimHei"/>
          <w:spacing w:val="-9"/>
          <w:sz w:val="24"/>
          <w:szCs w:val="24"/>
        </w:rPr>
        <w:t xml:space="preserve">  </w:t>
      </w:r>
      <w:r>
        <w:rPr>
          <w:rFonts w:ascii="SimHei" w:eastAsia="SimHei" w:hAnsi="SimHei" w:cs="SimHei"/>
          <w:b/>
          <w:bCs/>
          <w:spacing w:val="-9"/>
          <w:sz w:val="24"/>
          <w:szCs w:val="24"/>
        </w:rPr>
        <w:t>范围</w:t>
      </w:r>
    </w:p>
    <w:p>
      <w:pPr>
        <w:pStyle w:val="BodyText"/>
        <w:spacing w:before="262" w:line="252" w:lineRule="auto"/>
        <w:ind w:right="79" w:firstLine="479"/>
      </w:pPr>
      <w:r>
        <w:rPr>
          <w:spacing w:val="7"/>
        </w:rPr>
        <w:t>本规程适用于中准确度级和普通准确度级的非自行指示秤(以下简称秤)的</w:t>
      </w:r>
      <w:r>
        <w:rPr>
          <w:spacing w:val="6"/>
        </w:rPr>
        <w:t>首次检</w:t>
      </w:r>
      <w:r>
        <w:t xml:space="preserve"> </w:t>
      </w:r>
      <w:r>
        <w:rPr>
          <w:spacing w:val="-4"/>
        </w:rPr>
        <w:t>定、后续检定和使用中检查。</w:t>
      </w:r>
    </w:p>
    <w:p>
      <w:pPr>
        <w:spacing w:before="250" w:line="222" w:lineRule="auto"/>
        <w:ind w:left="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7"/>
          <w:sz w:val="24"/>
          <w:szCs w:val="24"/>
        </w:rPr>
        <w:t>2</w:t>
      </w:r>
      <w:r>
        <w:rPr>
          <w:rFonts w:ascii="SimHei" w:eastAsia="SimHei" w:hAnsi="SimHei" w:cs="SimHei"/>
          <w:spacing w:val="-7"/>
          <w:sz w:val="24"/>
          <w:szCs w:val="24"/>
        </w:rPr>
        <w:t xml:space="preserve">  </w:t>
      </w:r>
      <w:r>
        <w:rPr>
          <w:rFonts w:ascii="SimHei" w:eastAsia="SimHei" w:hAnsi="SimHei" w:cs="SimHei"/>
          <w:b/>
          <w:bCs/>
          <w:spacing w:val="-7"/>
          <w:sz w:val="24"/>
          <w:szCs w:val="24"/>
        </w:rPr>
        <w:t>引用文件</w:t>
      </w:r>
    </w:p>
    <w:p>
      <w:pPr>
        <w:pStyle w:val="BodyText"/>
        <w:spacing w:before="260" w:line="223" w:lineRule="auto"/>
        <w:ind w:left="479"/>
      </w:pPr>
      <w:r>
        <w:rPr>
          <w:rFonts w:ascii="Times New Roman" w:eastAsia="Times New Roman" w:hAnsi="Times New Roman" w:cs="Times New Roman"/>
          <w:spacing w:val="-1"/>
        </w:rPr>
        <w:t>JJG</w:t>
      </w:r>
      <w:r>
        <w:rPr>
          <w:rFonts w:ascii="Times New Roman" w:eastAsia="Times New Roman" w:hAnsi="Times New Roman" w:cs="Times New Roman"/>
          <w:spacing w:val="38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99</w:t>
      </w:r>
      <w:r>
        <w:rPr>
          <w:rFonts w:ascii="Times New Roman" w:eastAsia="Times New Roman" w:hAnsi="Times New Roman" w:cs="Times New Roman"/>
          <w:spacing w:val="16"/>
          <w:w w:val="101"/>
        </w:rPr>
        <w:t xml:space="preserve">   </w:t>
      </w:r>
      <w:r>
        <w:rPr>
          <w:spacing w:val="-1"/>
        </w:rPr>
        <w:t>砝码</w:t>
      </w:r>
    </w:p>
    <w:p>
      <w:pPr>
        <w:pStyle w:val="BodyText"/>
        <w:spacing w:before="73" w:line="218" w:lineRule="auto"/>
        <w:ind w:left="479"/>
      </w:pPr>
      <w:r>
        <w:rPr>
          <w:spacing w:val="-4"/>
        </w:rPr>
        <w:t>JJF 1181  衡器计量名词术语及定义</w:t>
      </w:r>
    </w:p>
    <w:p>
      <w:pPr>
        <w:pStyle w:val="BodyText"/>
        <w:spacing w:before="87" w:line="248" w:lineRule="auto"/>
        <w:ind w:right="106" w:firstLine="479"/>
      </w:pPr>
      <w:r>
        <w:rPr>
          <w:spacing w:val="6"/>
        </w:rPr>
        <w:t>凡是注日期的引用文件，仅注日期的版本适用于本规程；凡是不注日期的引用文</w:t>
      </w:r>
      <w:r>
        <w:rPr>
          <w:spacing w:val="12"/>
        </w:rPr>
        <w:t xml:space="preserve"> </w:t>
      </w:r>
      <w:r>
        <w:rPr>
          <w:spacing w:val="8"/>
        </w:rPr>
        <w:t>件，其最新版本(包括所有的修改单)适用于本规程。</w:t>
      </w:r>
    </w:p>
    <w:p>
      <w:pPr>
        <w:spacing w:before="244" w:line="222" w:lineRule="auto"/>
        <w:ind w:left="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5"/>
          <w:sz w:val="24"/>
          <w:szCs w:val="24"/>
        </w:rPr>
        <w:t>3</w:t>
      </w:r>
      <w:r>
        <w:rPr>
          <w:rFonts w:ascii="SimHei" w:eastAsia="SimHei" w:hAnsi="SimHei" w:cs="SimHei"/>
          <w:spacing w:val="111"/>
          <w:sz w:val="24"/>
          <w:szCs w:val="24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24"/>
          <w:szCs w:val="24"/>
        </w:rPr>
        <w:t>术语和计量单位</w:t>
      </w:r>
    </w:p>
    <w:p>
      <w:pPr>
        <w:pStyle w:val="BodyText"/>
        <w:spacing w:before="265" w:line="219" w:lineRule="auto"/>
      </w:pPr>
      <w:r>
        <w:t>3.1  术语</w:t>
      </w:r>
    </w:p>
    <w:p>
      <w:pPr>
        <w:pStyle w:val="BodyText"/>
        <w:spacing w:before="72" w:line="253" w:lineRule="auto"/>
        <w:ind w:right="98" w:firstLine="479"/>
      </w:pPr>
      <w:r>
        <w:rPr>
          <w:spacing w:val="4"/>
        </w:rPr>
        <w:t>本规程所用的术语与</w:t>
      </w:r>
      <w:r>
        <w:t>JJF</w:t>
      </w:r>
      <w:r>
        <w:rPr>
          <w:spacing w:val="4"/>
        </w:rPr>
        <w:t>1181</w:t>
      </w:r>
      <w:r>
        <w:rPr>
          <w:spacing w:val="90"/>
        </w:rPr>
        <w:t xml:space="preserve"> </w:t>
      </w:r>
      <w:r>
        <w:rPr>
          <w:spacing w:val="4"/>
        </w:rPr>
        <w:t>的术语相一致，为使用方便和便于理解，引用了以</w:t>
      </w:r>
      <w:r>
        <w:t xml:space="preserve"> </w:t>
      </w:r>
      <w:r>
        <w:rPr>
          <w:spacing w:val="-10"/>
        </w:rPr>
        <w:t>下术语。</w:t>
      </w:r>
    </w:p>
    <w:p>
      <w:pPr>
        <w:pStyle w:val="BodyText"/>
        <w:spacing w:before="85" w:line="219" w:lineRule="auto"/>
        <w:rPr>
          <w:rFonts w:ascii="Times New Roman" w:eastAsia="Times New Roman" w:hAnsi="Times New Roman" w:cs="Times New Roman"/>
        </w:rPr>
      </w:pPr>
      <w:r>
        <w:rPr>
          <w:spacing w:val="-3"/>
        </w:rPr>
        <w:t>3.1.1</w:t>
      </w:r>
      <w:r>
        <w:rPr>
          <w:spacing w:val="122"/>
        </w:rPr>
        <w:t xml:space="preserve"> </w:t>
      </w:r>
      <w:r>
        <w:rPr>
          <w:spacing w:val="-3"/>
        </w:rPr>
        <w:t xml:space="preserve">载荷  </w:t>
      </w:r>
      <w:r>
        <w:rPr>
          <w:rFonts w:ascii="Times New Roman" w:eastAsia="Times New Roman" w:hAnsi="Times New Roman" w:cs="Times New Roman"/>
          <w:spacing w:val="-3"/>
        </w:rPr>
        <w:t>load</w:t>
      </w:r>
    </w:p>
    <w:p>
      <w:pPr>
        <w:pStyle w:val="BodyText"/>
        <w:spacing w:before="76" w:line="252" w:lineRule="auto"/>
        <w:ind w:left="460" w:right="369" w:firstLine="19"/>
        <w:rPr>
          <w:rFonts w:ascii="FangSong" w:eastAsia="FangSong" w:hAnsi="FangSong" w:cs="FangSong"/>
          <w:sz w:val="20"/>
          <w:szCs w:val="20"/>
        </w:rPr>
      </w:pPr>
      <w:r>
        <w:rPr>
          <w:spacing w:val="-1"/>
        </w:rPr>
        <w:t>因受重力作用，对秤的承载器施加力的被称物品，有时也直接指它</w:t>
      </w:r>
      <w:r>
        <w:rPr>
          <w:spacing w:val="-2"/>
        </w:rPr>
        <w:t>们的作用力。</w:t>
      </w:r>
      <w:r>
        <w:t xml:space="preserve"> </w:t>
      </w:r>
      <w:r>
        <w:rPr>
          <w:rFonts w:ascii="FangSong" w:eastAsia="FangSong" w:hAnsi="FangSong" w:cs="FangSong"/>
          <w:spacing w:val="4"/>
          <w:sz w:val="20"/>
          <w:szCs w:val="20"/>
        </w:rPr>
        <w:t>注：载荷包括砝码或其他量值稳定的物品。</w:t>
      </w:r>
    </w:p>
    <w:p>
      <w:pPr>
        <w:pStyle w:val="BodyText"/>
        <w:spacing w:before="63" w:line="258" w:lineRule="auto"/>
        <w:ind w:left="479" w:right="5893" w:hanging="479"/>
      </w:pPr>
      <w:r>
        <w:rPr>
          <w:spacing w:val="-2"/>
        </w:rPr>
        <w:t>3.1.2</w:t>
      </w:r>
      <w:r>
        <w:rPr>
          <w:spacing w:val="121"/>
        </w:rPr>
        <w:t xml:space="preserve"> </w:t>
      </w:r>
      <w:r>
        <w:rPr>
          <w:spacing w:val="-2"/>
        </w:rPr>
        <w:t>承载器</w:t>
      </w:r>
      <w:r>
        <w:rPr>
          <w:spacing w:val="20"/>
        </w:rPr>
        <w:t xml:space="preserve">  </w:t>
      </w:r>
      <w:r>
        <w:rPr>
          <w:rFonts w:ascii="Times New Roman" w:eastAsia="Times New Roman" w:hAnsi="Times New Roman" w:cs="Times New Roman"/>
          <w:spacing w:val="-2"/>
        </w:rPr>
        <w:t>load</w:t>
      </w:r>
      <w:r>
        <w:rPr>
          <w:rFonts w:ascii="Times New Roman" w:eastAsia="Times New Roman" w:hAnsi="Times New Roman" w:cs="Times New Roman"/>
          <w:spacing w:val="14"/>
        </w:rPr>
        <w:t xml:space="preserve">  </w:t>
      </w:r>
      <w:r>
        <w:rPr>
          <w:rFonts w:ascii="Times New Roman" w:eastAsia="Times New Roman" w:hAnsi="Times New Roman" w:cs="Times New Roman"/>
          <w:spacing w:val="-2"/>
        </w:rPr>
        <w:t>receptor</w:t>
      </w:r>
      <w:r>
        <w:rPr>
          <w:rFonts w:ascii="Times New Roman" w:eastAsia="Times New Roman" w:hAnsi="Times New Roman" w:cs="Times New Roman"/>
        </w:rPr>
        <w:t xml:space="preserve">    </w:t>
      </w:r>
      <w:r>
        <w:rPr>
          <w:spacing w:val="-4"/>
        </w:rPr>
        <w:t>秤中用于接受载荷的部件。</w:t>
      </w:r>
    </w:p>
    <w:p>
      <w:pPr>
        <w:pStyle w:val="BodyText"/>
        <w:spacing w:before="67" w:line="212" w:lineRule="auto"/>
        <w:rPr>
          <w:rFonts w:ascii="Times New Roman" w:eastAsia="Times New Roman" w:hAnsi="Times New Roman" w:cs="Times New Roman"/>
        </w:rPr>
      </w:pPr>
      <w:r>
        <w:rPr>
          <w:spacing w:val="1"/>
        </w:rPr>
        <w:t>3.1.3</w:t>
      </w:r>
      <w:r>
        <w:rPr>
          <w:spacing w:val="114"/>
        </w:rPr>
        <w:t xml:space="preserve"> </w:t>
      </w:r>
      <w:r>
        <w:rPr>
          <w:spacing w:val="1"/>
        </w:rPr>
        <w:t xml:space="preserve">计量杠杆  </w:t>
      </w:r>
      <w:r>
        <w:rPr>
          <w:rFonts w:ascii="Times New Roman" w:eastAsia="Times New Roman" w:hAnsi="Times New Roman" w:cs="Times New Roman"/>
        </w:rPr>
        <w:t>weighing</w:t>
      </w:r>
      <w:r>
        <w:rPr>
          <w:rFonts w:ascii="Times New Roman" w:eastAsia="Times New Roman" w:hAnsi="Times New Roman" w:cs="Times New Roman"/>
          <w:spacing w:val="1"/>
        </w:rPr>
        <w:t xml:space="preserve">  </w:t>
      </w:r>
      <w:r>
        <w:rPr>
          <w:rFonts w:ascii="Times New Roman" w:eastAsia="Times New Roman" w:hAnsi="Times New Roman" w:cs="Times New Roman"/>
        </w:rPr>
        <w:t>lever</w:t>
      </w:r>
    </w:p>
    <w:p>
      <w:pPr>
        <w:pStyle w:val="BodyText"/>
        <w:spacing w:before="112" w:line="230" w:lineRule="auto"/>
        <w:ind w:right="1089" w:firstLine="479"/>
        <w:rPr>
          <w:rFonts w:ascii="Times New Roman" w:eastAsia="Times New Roman" w:hAnsi="Times New Roman" w:cs="Times New Roman"/>
        </w:rPr>
      </w:pPr>
      <w:r>
        <w:rPr>
          <w:spacing w:val="6"/>
        </w:rPr>
        <w:t>配备有游砣和(或)平衡螺母，由一根或多根杠杆组成的载荷指示部件。</w:t>
      </w:r>
      <w:r>
        <w:rPr>
          <w:spacing w:val="7"/>
        </w:rPr>
        <w:t xml:space="preserve"> </w:t>
      </w:r>
      <w:r>
        <w:rPr>
          <w:spacing w:val="-2"/>
        </w:rPr>
        <w:t>3.1.4</w:t>
      </w:r>
      <w:r>
        <w:rPr>
          <w:spacing w:val="115"/>
        </w:rPr>
        <w:t xml:space="preserve"> </w:t>
      </w:r>
      <w:r>
        <w:rPr>
          <w:spacing w:val="-2"/>
        </w:rPr>
        <w:t>增砣</w:t>
      </w:r>
      <w:r>
        <w:rPr>
          <w:spacing w:val="10"/>
        </w:rPr>
        <w:t xml:space="preserve">  </w:t>
      </w:r>
      <w:r>
        <w:rPr>
          <w:rFonts w:ascii="Times New Roman" w:eastAsia="Times New Roman" w:hAnsi="Times New Roman" w:cs="Times New Roman"/>
          <w:spacing w:val="-2"/>
        </w:rPr>
        <w:t>slotted</w:t>
      </w:r>
      <w:r>
        <w:rPr>
          <w:rFonts w:ascii="Times New Roman" w:eastAsia="Times New Roman" w:hAnsi="Times New Roman" w:cs="Times New Roman"/>
          <w:spacing w:val="25"/>
        </w:rPr>
        <w:t xml:space="preserve">  </w:t>
      </w:r>
      <w:r>
        <w:rPr>
          <w:rFonts w:ascii="Times New Roman" w:eastAsia="Times New Roman" w:hAnsi="Times New Roman" w:cs="Times New Roman"/>
          <w:spacing w:val="-2"/>
        </w:rPr>
        <w:t>weight</w:t>
      </w:r>
    </w:p>
    <w:p>
      <w:pPr>
        <w:pStyle w:val="BodyText"/>
        <w:spacing w:before="122" w:line="219" w:lineRule="auto"/>
        <w:ind w:left="479"/>
      </w:pPr>
      <w:r>
        <w:rPr>
          <w:spacing w:val="-1"/>
        </w:rPr>
        <w:t>带有半圆形槽口的，以使其能放在增砣盘上的一定形状的砝码。</w:t>
      </w:r>
    </w:p>
    <w:p>
      <w:pPr>
        <w:pStyle w:val="BodyText"/>
        <w:spacing w:before="48" w:line="212" w:lineRule="auto"/>
        <w:rPr>
          <w:rFonts w:ascii="Times New Roman" w:eastAsia="Times New Roman" w:hAnsi="Times New Roman" w:cs="Times New Roman"/>
        </w:rPr>
      </w:pPr>
      <w:r>
        <w:rPr>
          <w:spacing w:val="-2"/>
        </w:rPr>
        <w:t>3.1.5</w:t>
      </w:r>
      <w:r>
        <w:rPr>
          <w:spacing w:val="8"/>
        </w:rPr>
        <w:t xml:space="preserve">  </w:t>
      </w:r>
      <w:r>
        <w:rPr>
          <w:spacing w:val="-2"/>
        </w:rPr>
        <w:t xml:space="preserve">游砣  </w:t>
      </w:r>
      <w:r>
        <w:rPr>
          <w:rFonts w:ascii="Times New Roman" w:eastAsia="Times New Roman" w:hAnsi="Times New Roman" w:cs="Times New Roman"/>
          <w:spacing w:val="-2"/>
        </w:rPr>
        <w:t>poise</w:t>
      </w:r>
    </w:p>
    <w:p>
      <w:pPr>
        <w:pStyle w:val="BodyText"/>
        <w:spacing w:before="102" w:line="255" w:lineRule="auto"/>
        <w:ind w:right="104" w:firstLine="479"/>
      </w:pPr>
      <w:r>
        <w:t>安装或悬挂在计量杠杆上，可与刻线组合使用</w:t>
      </w:r>
      <w:r>
        <w:rPr>
          <w:spacing w:val="-1"/>
        </w:rPr>
        <w:t>的活动砝码。它往往和计量杠杆上的</w:t>
      </w:r>
      <w:r>
        <w:t xml:space="preserve"> </w:t>
      </w:r>
      <w:r>
        <w:rPr>
          <w:spacing w:val="-4"/>
        </w:rPr>
        <w:t>标尺标记一起来指示称量值。</w:t>
      </w:r>
    </w:p>
    <w:p>
      <w:pPr>
        <w:pStyle w:val="BodyText"/>
        <w:spacing w:before="65" w:line="219" w:lineRule="auto"/>
        <w:rPr>
          <w:rFonts w:ascii="Times New Roman" w:eastAsia="Times New Roman" w:hAnsi="Times New Roman" w:cs="Times New Roman"/>
        </w:rPr>
      </w:pPr>
      <w:r>
        <w:rPr>
          <w:spacing w:val="-1"/>
        </w:rPr>
        <w:t>3.1.6</w:t>
      </w:r>
      <w:r>
        <w:rPr>
          <w:spacing w:val="108"/>
        </w:rPr>
        <w:t xml:space="preserve"> </w:t>
      </w:r>
      <w:r>
        <w:rPr>
          <w:spacing w:val="-1"/>
        </w:rPr>
        <w:t>臂比</w:t>
      </w:r>
      <w:r>
        <w:rPr>
          <w:spacing w:val="105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arm</w:t>
      </w:r>
      <w:r>
        <w:rPr>
          <w:rFonts w:ascii="Times New Roman" w:eastAsia="Times New Roman" w:hAnsi="Times New Roman" w:cs="Times New Roman"/>
          <w:spacing w:val="28"/>
        </w:rPr>
        <w:t xml:space="preserve">  </w:t>
      </w:r>
      <w:r>
        <w:rPr>
          <w:rFonts w:ascii="Times New Roman" w:eastAsia="Times New Roman" w:hAnsi="Times New Roman" w:cs="Times New Roman"/>
          <w:spacing w:val="-1"/>
        </w:rPr>
        <w:t>ratio</w:t>
      </w:r>
    </w:p>
    <w:p>
      <w:pPr>
        <w:pStyle w:val="BodyText"/>
        <w:spacing w:before="97" w:line="230" w:lineRule="auto"/>
        <w:ind w:right="339" w:firstLine="479"/>
        <w:rPr>
          <w:rFonts w:ascii="Times New Roman" w:eastAsia="Times New Roman" w:hAnsi="Times New Roman" w:cs="Times New Roman"/>
        </w:rPr>
        <w:sectPr>
          <w:headerReference w:type="default" r:id="rId4"/>
          <w:footerReference w:type="default" r:id="rId5"/>
          <w:pgSz w:w="11670" w:h="16470"/>
          <w:pgMar w:top="1619" w:right="1330" w:bottom="802" w:left="1130" w:header="1357" w:footer="643" w:gutter="0"/>
          <w:cols w:space="708"/>
        </w:sectPr>
      </w:pPr>
      <w:r>
        <w:rPr>
          <w:spacing w:val="-5"/>
        </w:rPr>
        <w:t>杠杆臂的长度比。</w:t>
      </w:r>
      <w:r>
        <w:rPr>
          <w:spacing w:val="49"/>
        </w:rPr>
        <w:t xml:space="preserve"> </w:t>
      </w:r>
      <w:r>
        <w:rPr>
          <w:spacing w:val="-5"/>
        </w:rPr>
        <w:t>一般是指支点到重点的距离除以支点到力点的距离</w:t>
      </w:r>
      <w:r>
        <w:rPr>
          <w:spacing w:val="-6"/>
        </w:rPr>
        <w:t>得出的商。</w:t>
      </w:r>
      <w:r>
        <w:t xml:space="preserve"> </w:t>
      </w:r>
      <w:r>
        <w:rPr>
          <w:spacing w:val="-2"/>
        </w:rPr>
        <w:t>3.1.7</w:t>
      </w:r>
      <w:r>
        <w:rPr>
          <w:spacing w:val="126"/>
        </w:rPr>
        <w:t xml:space="preserve"> </w:t>
      </w:r>
      <w:r>
        <w:rPr>
          <w:spacing w:val="-2"/>
        </w:rPr>
        <w:t>铅封</w:t>
      </w:r>
      <w:r>
        <w:rPr>
          <w:spacing w:val="10"/>
        </w:rPr>
        <w:t xml:space="preserve">  </w:t>
      </w:r>
      <w:r>
        <w:rPr>
          <w:rFonts w:ascii="Times New Roman" w:eastAsia="Times New Roman" w:hAnsi="Times New Roman" w:cs="Times New Roman"/>
          <w:spacing w:val="-2"/>
        </w:rPr>
        <w:t>lead  sealing</w:t>
      </w:r>
    </w:p>
    <w:p>
      <w:pPr>
        <w:pStyle w:val="BodyText"/>
        <w:spacing w:before="122" w:line="254" w:lineRule="auto"/>
        <w:ind w:right="103" w:firstLine="479"/>
      </w:pPr>
      <w:r>
        <w:t>一种用金属铅或铅合金的封印标记，用于防止对</w:t>
      </w:r>
      <w:r>
        <w:rPr>
          <w:spacing w:val="-1"/>
        </w:rPr>
        <w:t>秤进行任何未经授权的修改、再调</w:t>
      </w:r>
      <w:r>
        <w:t xml:space="preserve"> </w:t>
      </w:r>
      <w:r>
        <w:rPr>
          <w:spacing w:val="6"/>
        </w:rPr>
        <w:t>整或拆除部件等的物理标记。包括制造商的出厂检验合格铅封和检定机构的检</w:t>
      </w:r>
      <w:r>
        <w:rPr>
          <w:spacing w:val="5"/>
        </w:rPr>
        <w:t>定合格</w:t>
      </w:r>
      <w:r>
        <w:t xml:space="preserve"> </w:t>
      </w:r>
      <w:r>
        <w:rPr>
          <w:spacing w:val="-5"/>
        </w:rPr>
        <w:t>铅封。</w:t>
      </w:r>
    </w:p>
    <w:p>
      <w:pPr>
        <w:pStyle w:val="BodyText"/>
        <w:spacing w:before="100" w:line="220" w:lineRule="auto"/>
      </w:pPr>
      <w:r>
        <w:t>3.2</w:t>
      </w:r>
      <w:r>
        <w:rPr>
          <w:spacing w:val="118"/>
        </w:rPr>
        <w:t xml:space="preserve"> </w:t>
      </w:r>
      <w:r>
        <w:t>计量单位</w:t>
      </w:r>
    </w:p>
    <w:p>
      <w:pPr>
        <w:pStyle w:val="BodyText"/>
        <w:spacing w:before="46" w:line="212" w:lineRule="auto"/>
        <w:ind w:left="479"/>
      </w:pPr>
      <w:r>
        <w:rPr>
          <w:spacing w:val="-1"/>
        </w:rPr>
        <w:t xml:space="preserve">秤使用的计量单位应为法定计量单位，包括：千克 </w:t>
      </w:r>
      <w:r>
        <w:rPr>
          <w:rFonts w:ascii="Times New Roman" w:eastAsia="Times New Roman" w:hAnsi="Times New Roman" w:cs="Times New Roman"/>
          <w:spacing w:val="-1"/>
        </w:rPr>
        <w:t>(kg)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rPr>
          <w:spacing w:val="-1"/>
        </w:rPr>
        <w:t>、</w:t>
      </w:r>
      <w:r>
        <w:rPr>
          <w:spacing w:val="-30"/>
        </w:rPr>
        <w:t xml:space="preserve"> </w:t>
      </w:r>
      <w:r>
        <w:rPr>
          <w:spacing w:val="-1"/>
        </w:rPr>
        <w:t>克</w:t>
      </w:r>
      <w:r>
        <w:rPr>
          <w:spacing w:val="35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(g)   </w:t>
      </w:r>
      <w:r>
        <w:rPr>
          <w:spacing w:val="-1"/>
        </w:rPr>
        <w:t xml:space="preserve">和吨 </w:t>
      </w:r>
      <w:r>
        <w:rPr>
          <w:rFonts w:ascii="Times New Roman" w:eastAsia="Times New Roman" w:hAnsi="Times New Roman" w:cs="Times New Roman"/>
          <w:spacing w:val="-1"/>
        </w:rPr>
        <w:t>(t)</w:t>
      </w:r>
      <w:r>
        <w:rPr>
          <w:spacing w:val="-1"/>
        </w:rPr>
        <w:t>。</w:t>
      </w:r>
    </w:p>
    <w:p>
      <w:pPr>
        <w:spacing w:line="212" w:lineRule="auto"/>
        <w:sectPr>
          <w:headerReference w:type="default" r:id="rId6"/>
          <w:footerReference w:type="default" r:id="rId7"/>
          <w:type w:val="nextPage"/>
          <w:pgSz w:w="11670" w:h="16470"/>
          <w:pgMar w:top="1619" w:right="1330" w:bottom="802" w:left="1130" w:header="1357" w:footer="643" w:gutter="0"/>
          <w:pgNumType w:start="2"/>
          <w:cols w:space="708"/>
          <w:titlePg w:val="0"/>
        </w:sectPr>
      </w:pPr>
    </w:p>
    <w:p>
      <w:pPr>
        <w:spacing w:line="317" w:lineRule="auto"/>
        <w:rPr>
          <w:rFonts w:ascii="Arial"/>
          <w:sz w:val="21"/>
        </w:rPr>
      </w:pPr>
    </w:p>
    <w:p>
      <w:pPr>
        <w:spacing w:before="75" w:line="221" w:lineRule="auto"/>
        <w:ind w:left="8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b/>
          <w:bCs/>
          <w:spacing w:val="-4"/>
          <w:sz w:val="23"/>
          <w:szCs w:val="23"/>
        </w:rPr>
        <w:t>4</w:t>
      </w:r>
      <w:r>
        <w:rPr>
          <w:rFonts w:ascii="SimHei" w:eastAsia="SimHei" w:hAnsi="SimHei" w:cs="SimHei"/>
          <w:spacing w:val="-4"/>
          <w:sz w:val="23"/>
          <w:szCs w:val="23"/>
        </w:rPr>
        <w:t xml:space="preserve">  </w:t>
      </w:r>
      <w:r>
        <w:rPr>
          <w:rFonts w:ascii="SimHei" w:eastAsia="SimHei" w:hAnsi="SimHei" w:cs="SimHei"/>
          <w:b/>
          <w:bCs/>
          <w:spacing w:val="-4"/>
          <w:sz w:val="23"/>
          <w:szCs w:val="23"/>
        </w:rPr>
        <w:t>概述</w:t>
      </w:r>
    </w:p>
    <w:p>
      <w:pPr>
        <w:pStyle w:val="BodyText"/>
        <w:spacing w:before="280" w:line="220" w:lineRule="auto"/>
        <w:ind w:left="484"/>
        <w:rPr>
          <w:sz w:val="23"/>
          <w:szCs w:val="23"/>
        </w:rPr>
      </w:pPr>
      <w:r>
        <w:rPr>
          <w:spacing w:val="6"/>
          <w:sz w:val="23"/>
          <w:szCs w:val="23"/>
        </w:rPr>
        <w:t>非自行指示秤是一种非自动衡器。</w:t>
      </w:r>
    </w:p>
    <w:p>
      <w:pPr>
        <w:pStyle w:val="BodyText"/>
        <w:spacing w:before="55" w:line="258" w:lineRule="auto"/>
        <w:ind w:left="5" w:right="197" w:firstLine="479"/>
        <w:rPr>
          <w:sz w:val="23"/>
          <w:szCs w:val="23"/>
        </w:rPr>
      </w:pPr>
      <w:r>
        <w:rPr>
          <w:spacing w:val="9"/>
          <w:sz w:val="23"/>
          <w:szCs w:val="23"/>
        </w:rPr>
        <w:t>用途：主要应用于物品的称重计量，广泛应用于农贸集</w:t>
      </w:r>
      <w:r>
        <w:rPr>
          <w:spacing w:val="8"/>
          <w:sz w:val="23"/>
          <w:szCs w:val="23"/>
        </w:rPr>
        <w:t>市、商场、物资仓库和工厂</w:t>
      </w:r>
      <w:r>
        <w:rPr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企业等场所。</w:t>
      </w:r>
    </w:p>
    <w:p>
      <w:pPr>
        <w:pStyle w:val="BodyText"/>
        <w:spacing w:before="54" w:line="261" w:lineRule="auto"/>
        <w:ind w:left="5" w:right="146" w:firstLine="479"/>
        <w:rPr>
          <w:sz w:val="23"/>
          <w:szCs w:val="23"/>
        </w:rPr>
      </w:pPr>
      <w:r>
        <w:rPr>
          <w:spacing w:val="10"/>
          <w:sz w:val="23"/>
          <w:szCs w:val="23"/>
        </w:rPr>
        <w:t>原理：是基于杠杆平衡原理而设计，完全靠人员操作来取得平衡位置的机械秤，即</w:t>
      </w:r>
      <w:r>
        <w:rPr>
          <w:spacing w:val="3"/>
          <w:sz w:val="23"/>
          <w:szCs w:val="23"/>
        </w:rPr>
        <w:t xml:space="preserve"> </w:t>
      </w:r>
      <w:r>
        <w:rPr>
          <w:spacing w:val="16"/>
          <w:sz w:val="23"/>
          <w:szCs w:val="23"/>
        </w:rPr>
        <w:t>通过增砣的增减和(或)游砣在标尺上的移动来平衡被测物的重量</w:t>
      </w:r>
      <w:r>
        <w:rPr>
          <w:spacing w:val="15"/>
          <w:sz w:val="23"/>
          <w:szCs w:val="23"/>
        </w:rPr>
        <w:t>，通过计量杠杆的摆</w:t>
      </w:r>
      <w:r>
        <w:rPr>
          <w:sz w:val="23"/>
          <w:szCs w:val="23"/>
        </w:rPr>
        <w:t xml:space="preserve"> </w:t>
      </w:r>
      <w:r>
        <w:rPr>
          <w:spacing w:val="6"/>
          <w:sz w:val="23"/>
          <w:szCs w:val="23"/>
        </w:rPr>
        <w:t>动来确定平衡状态，从而获得称量示值。</w:t>
      </w:r>
    </w:p>
    <w:p>
      <w:pPr>
        <w:pStyle w:val="BodyText"/>
        <w:spacing w:before="97" w:line="219" w:lineRule="auto"/>
        <w:ind w:left="484"/>
        <w:rPr>
          <w:sz w:val="23"/>
          <w:szCs w:val="23"/>
        </w:rPr>
      </w:pPr>
      <w:r>
        <w:rPr>
          <w:spacing w:val="11"/>
          <w:sz w:val="23"/>
          <w:szCs w:val="23"/>
        </w:rPr>
        <w:t>结构：通常由承载器、计量杠神、游砣和增砣等组成</w:t>
      </w:r>
      <w:r>
        <w:rPr>
          <w:color w:val="E22500"/>
          <w:spacing w:val="11"/>
          <w:sz w:val="23"/>
          <w:szCs w:val="23"/>
        </w:rPr>
        <w:t>。</w:t>
      </w:r>
    </w:p>
    <w:p>
      <w:pPr>
        <w:pStyle w:val="BodyText"/>
        <w:spacing w:before="67" w:line="258" w:lineRule="auto"/>
        <w:ind w:left="5" w:right="96" w:firstLine="479"/>
        <w:rPr>
          <w:sz w:val="23"/>
          <w:szCs w:val="23"/>
        </w:rPr>
      </w:pPr>
      <w:r>
        <w:rPr>
          <w:spacing w:val="10"/>
          <w:sz w:val="23"/>
          <w:szCs w:val="23"/>
        </w:rPr>
        <w:t>非自行指示秤包括各种机械杠杆秘一如，移动式的案种</w:t>
      </w:r>
      <w:r>
        <w:rPr>
          <w:color w:val="E32D00"/>
          <w:spacing w:val="10"/>
          <w:sz w:val="23"/>
          <w:szCs w:val="23"/>
        </w:rPr>
        <w:t>一</w:t>
      </w:r>
      <w:r>
        <w:rPr>
          <w:color w:val="E32D00"/>
          <w:spacing w:val="-62"/>
          <w:sz w:val="23"/>
          <w:szCs w:val="23"/>
        </w:rPr>
        <w:t xml:space="preserve"> </w:t>
      </w:r>
      <w:r>
        <w:rPr>
          <w:spacing w:val="10"/>
          <w:sz w:val="23"/>
          <w:szCs w:val="23"/>
        </w:rPr>
        <w:t>台秤，固定式的地上衡、</w:t>
      </w:r>
      <w:r>
        <w:rPr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地中衡等。</w:t>
      </w:r>
    </w:p>
    <w:p>
      <w:pPr>
        <w:spacing w:before="243" w:line="222" w:lineRule="auto"/>
        <w:ind w:left="8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b/>
          <w:bCs/>
          <w:spacing w:val="2"/>
          <w:sz w:val="23"/>
          <w:szCs w:val="23"/>
        </w:rPr>
        <w:t>5</w:t>
      </w:r>
      <w:r>
        <w:rPr>
          <w:rFonts w:ascii="SimHei" w:eastAsia="SimHei" w:hAnsi="SimHei" w:cs="SimHei"/>
          <w:spacing w:val="14"/>
          <w:sz w:val="23"/>
          <w:szCs w:val="23"/>
        </w:rPr>
        <w:t xml:space="preserve">  </w:t>
      </w:r>
      <w:r>
        <w:rPr>
          <w:rFonts w:ascii="SimHei" w:eastAsia="SimHei" w:hAnsi="SimHei" w:cs="SimHei"/>
          <w:b/>
          <w:bCs/>
          <w:spacing w:val="2"/>
          <w:sz w:val="23"/>
          <w:szCs w:val="23"/>
        </w:rPr>
        <w:t>计量性能要求</w:t>
      </w:r>
    </w:p>
    <w:p>
      <w:pPr>
        <w:pStyle w:val="BodyText"/>
        <w:spacing w:before="257" w:line="219" w:lineRule="auto"/>
        <w:ind w:left="5"/>
        <w:rPr>
          <w:sz w:val="23"/>
          <w:szCs w:val="23"/>
        </w:rPr>
      </w:pPr>
      <w:r>
        <w:rPr>
          <w:spacing w:val="6"/>
          <w:sz w:val="23"/>
          <w:szCs w:val="23"/>
        </w:rPr>
        <w:t>5.1</w:t>
      </w:r>
      <w:r>
        <w:rPr>
          <w:spacing w:val="33"/>
          <w:sz w:val="23"/>
          <w:szCs w:val="23"/>
        </w:rPr>
        <w:t xml:space="preserve">  </w:t>
      </w:r>
      <w:r>
        <w:rPr>
          <w:spacing w:val="6"/>
          <w:sz w:val="23"/>
          <w:szCs w:val="23"/>
        </w:rPr>
        <w:t>准确度等级的划分</w:t>
      </w:r>
    </w:p>
    <w:p>
      <w:pPr>
        <w:pStyle w:val="BodyText"/>
        <w:spacing w:before="117" w:line="219" w:lineRule="auto"/>
        <w:ind w:left="484"/>
        <w:rPr>
          <w:sz w:val="23"/>
          <w:szCs w:val="23"/>
        </w:rPr>
      </w:pPr>
      <w:r>
        <w:rPr>
          <w:color w:val="E32500"/>
          <w:spacing w:val="11"/>
          <w:sz w:val="23"/>
          <w:szCs w:val="23"/>
        </w:rPr>
        <w:t>表1给出了和的准确度等级与检定分度值、检定分度数和最小秤量的关系。</w:t>
      </w:r>
    </w:p>
    <w:p>
      <w:pPr>
        <w:spacing w:before="35" w:line="221" w:lineRule="auto"/>
        <w:ind w:left="1675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-21"/>
          <w:sz w:val="23"/>
          <w:szCs w:val="23"/>
        </w:rPr>
        <w:t>象</w:t>
      </w:r>
      <w:r>
        <w:rPr>
          <w:rFonts w:ascii="SimHei" w:eastAsia="SimHei" w:hAnsi="SimHei" w:cs="SimHei"/>
          <w:spacing w:val="-21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-21"/>
          <w:sz w:val="23"/>
          <w:szCs w:val="23"/>
        </w:rPr>
        <w:t>1</w:t>
      </w:r>
      <w:r>
        <w:rPr>
          <w:rFonts w:ascii="SimHei" w:eastAsia="SimHei" w:hAnsi="SimHei" w:cs="SimHei"/>
          <w:spacing w:val="91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-21"/>
          <w:sz w:val="23"/>
          <w:szCs w:val="23"/>
        </w:rPr>
        <w:t>准确</w:t>
      </w:r>
      <w:r>
        <w:rPr>
          <w:rFonts w:ascii="SimHei" w:eastAsia="SimHei" w:hAnsi="SimHei" w:cs="SimHei"/>
          <w:color w:val="DC2400"/>
          <w:spacing w:val="-21"/>
          <w:sz w:val="23"/>
          <w:szCs w:val="23"/>
        </w:rPr>
        <w:t>度等级与检定分</w:t>
      </w:r>
      <w:r>
        <w:rPr>
          <w:rFonts w:ascii="SimHei" w:eastAsia="SimHei" w:hAnsi="SimHei" w:cs="SimHei"/>
          <w:spacing w:val="-21"/>
          <w:sz w:val="23"/>
          <w:szCs w:val="23"/>
        </w:rPr>
        <w:t>度值、检定分</w:t>
      </w:r>
      <w:r>
        <w:rPr>
          <w:rFonts w:ascii="SimHei" w:eastAsia="SimHei" w:hAnsi="SimHei" w:cs="SimHei"/>
          <w:color w:val="DC2400"/>
          <w:spacing w:val="-21"/>
          <w:sz w:val="23"/>
          <w:szCs w:val="23"/>
        </w:rPr>
        <w:t>度数和最小秤</w:t>
      </w:r>
      <w:r>
        <w:rPr>
          <w:rFonts w:ascii="SimHei" w:eastAsia="SimHei" w:hAnsi="SimHei" w:cs="SimHei"/>
          <w:spacing w:val="-21"/>
          <w:sz w:val="23"/>
          <w:szCs w:val="23"/>
        </w:rPr>
        <w:t>量</w:t>
      </w:r>
      <w:r>
        <w:rPr>
          <w:rFonts w:ascii="SimHei" w:eastAsia="SimHei" w:hAnsi="SimHei" w:cs="SimHei"/>
          <w:color w:val="DC2400"/>
          <w:spacing w:val="-21"/>
          <w:sz w:val="23"/>
          <w:szCs w:val="23"/>
        </w:rPr>
        <w:t>的</w:t>
      </w:r>
      <w:r>
        <w:rPr>
          <w:rFonts w:ascii="SimHei" w:eastAsia="SimHei" w:hAnsi="SimHei" w:cs="SimHei"/>
          <w:spacing w:val="-21"/>
          <w:sz w:val="23"/>
          <w:szCs w:val="23"/>
        </w:rPr>
        <w:t>关系</w:t>
      </w:r>
    </w:p>
    <w:p>
      <w:pPr>
        <w:spacing w:line="82" w:lineRule="exact"/>
      </w:pPr>
    </w:p>
    <w:tbl>
      <w:tblPr>
        <w:tblStyle w:val="TableNormal0"/>
        <w:tblW w:w="9129" w:type="dxa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312"/>
        <w:gridCol w:w="1678"/>
        <w:gridCol w:w="1668"/>
        <w:gridCol w:w="1658"/>
        <w:gridCol w:w="1070"/>
        <w:gridCol w:w="743"/>
      </w:tblGrid>
      <w:tr>
        <w:tblPrEx>
          <w:tblW w:w="9129" w:type="dxa"/>
          <w:tblInd w:w="3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48"/>
        </w:trPr>
        <w:tc>
          <w:tcPr>
            <w:tcW w:w="2312" w:type="dxa"/>
            <w:vMerge w:val="restart"/>
            <w:tcBorders>
              <w:bottom w:val="nil"/>
            </w:tcBorders>
            <w:vAlign w:val="top"/>
          </w:tcPr>
          <w:p>
            <w:pPr>
              <w:spacing w:line="4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19" w:lineRule="auto"/>
              <w:ind w:left="724"/>
            </w:pPr>
            <w:r>
              <w:rPr>
                <w:spacing w:val="-2"/>
              </w:rPr>
              <w:t>准确度等</w:t>
            </w:r>
          </w:p>
        </w:tc>
        <w:tc>
          <w:tcPr>
            <w:tcW w:w="1678" w:type="dxa"/>
            <w:vMerge w:val="restart"/>
            <w:tcBorders>
              <w:bottom w:val="nil"/>
            </w:tcBorders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219" w:lineRule="auto"/>
              <w:ind w:left="302"/>
            </w:pPr>
            <w:r>
              <w:rPr>
                <w:spacing w:val="2"/>
              </w:rPr>
              <w:t>检定分度值</w:t>
            </w:r>
          </w:p>
        </w:tc>
        <w:tc>
          <w:tcPr>
            <w:tcW w:w="3326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73" w:line="311" w:lineRule="exact"/>
              <w:ind w:left="1134"/>
            </w:pPr>
            <w:r>
              <w:rPr>
                <w:spacing w:val="-2"/>
                <w:position w:val="7"/>
              </w:rPr>
              <w:t>检定分度数</w:t>
            </w:r>
          </w:p>
          <w:p>
            <w:pPr>
              <w:pStyle w:val="TableText"/>
              <w:spacing w:line="220" w:lineRule="auto"/>
              <w:ind w:left="1184"/>
            </w:pPr>
            <w:r>
              <w:rPr>
                <w:spacing w:val="-1"/>
              </w:rPr>
              <w:t>分员Max/e</w:t>
            </w:r>
          </w:p>
        </w:tc>
        <w:tc>
          <w:tcPr>
            <w:tcW w:w="1813" w:type="dxa"/>
            <w:gridSpan w:val="2"/>
            <w:tcBorders>
              <w:bottom w:val="nil"/>
            </w:tcBorders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219" w:lineRule="auto"/>
              <w:ind w:left="478"/>
            </w:pPr>
            <w:r>
              <w:rPr>
                <w:spacing w:val="-3"/>
              </w:rPr>
              <w:t>最界秤量</w:t>
            </w:r>
          </w:p>
        </w:tc>
      </w:tr>
      <w:tr>
        <w:tblPrEx>
          <w:tblW w:w="9129" w:type="dxa"/>
          <w:tblInd w:w="35" w:type="dxa"/>
          <w:tblLayout w:type="fixed"/>
        </w:tblPrEx>
        <w:trPr>
          <w:trHeight w:val="74"/>
        </w:trPr>
        <w:tc>
          <w:tcPr>
            <w:tcW w:w="231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26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0" w:type="dxa"/>
            <w:vMerge w:val="restart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TableText"/>
              <w:spacing w:before="9" w:line="183" w:lineRule="auto"/>
              <w:ind w:right="12"/>
              <w:jc w:val="right"/>
            </w:pPr>
            <w:r>
              <w:rPr>
                <w:spacing w:val="-1"/>
              </w:rPr>
              <w:t>Win</w:t>
            </w:r>
          </w:p>
        </w:tc>
        <w:tc>
          <w:tcPr>
            <w:tcW w:w="743" w:type="dxa"/>
            <w:vMerge w:val="restart"/>
            <w:tcBorders>
              <w:top w:val="nil"/>
              <w:left w:val="nil"/>
              <w:bottom w:val="nil"/>
            </w:tcBorders>
            <w:vAlign w:val="top"/>
          </w:tcPr>
          <w:p>
            <w:pPr>
              <w:spacing w:before="67" w:line="400" w:lineRule="exact"/>
              <w:ind w:firstLine="23"/>
            </w:pPr>
            <w:r>
              <w:rPr>
                <w:position w:val="-8"/>
              </w:rPr>
              <w:drawing>
                <wp:inline distT="0" distB="0" distL="0" distR="0">
                  <wp:extent cx="444485" cy="254038"/>
                  <wp:effectExtent l="0" t="0" r="0" b="0"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485" cy="2540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9129" w:type="dxa"/>
          <w:tblInd w:w="35" w:type="dxa"/>
          <w:tblLayout w:type="fixed"/>
        </w:tblPrEx>
        <w:trPr>
          <w:trHeight w:val="429"/>
        </w:trPr>
        <w:tc>
          <w:tcPr>
            <w:tcW w:w="231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68" w:type="dxa"/>
            <w:vAlign w:val="top"/>
          </w:tcPr>
          <w:p>
            <w:pPr>
              <w:pStyle w:val="TableText"/>
              <w:spacing w:before="111" w:line="219" w:lineRule="auto"/>
              <w:ind w:left="614"/>
            </w:pPr>
            <w:r>
              <w:rPr>
                <w:spacing w:val="8"/>
              </w:rPr>
              <w:t>最小</w:t>
            </w:r>
          </w:p>
        </w:tc>
        <w:tc>
          <w:tcPr>
            <w:tcW w:w="1658" w:type="dxa"/>
            <w:vAlign w:val="top"/>
          </w:tcPr>
          <w:p>
            <w:pPr>
              <w:pStyle w:val="TableText"/>
              <w:spacing w:before="111" w:line="219" w:lineRule="auto"/>
              <w:ind w:left="616"/>
            </w:pPr>
            <w:r>
              <w:rPr>
                <w:spacing w:val="4"/>
              </w:rPr>
              <w:t>最大</w:t>
            </w:r>
          </w:p>
        </w:tc>
        <w:tc>
          <w:tcPr>
            <w:tcW w:w="1070" w:type="dxa"/>
            <w:vMerge/>
            <w:tcBorders>
              <w:top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3" w:type="dxa"/>
            <w:vMerge/>
            <w:tcBorders>
              <w:top w:val="nil"/>
              <w:lef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29" w:type="dxa"/>
          <w:tblInd w:w="35" w:type="dxa"/>
          <w:tblLayout w:type="fixed"/>
        </w:tblPrEx>
        <w:trPr>
          <w:trHeight w:val="817"/>
        </w:trPr>
        <w:tc>
          <w:tcPr>
            <w:tcW w:w="2312" w:type="dxa"/>
            <w:vAlign w:val="top"/>
          </w:tcPr>
          <w:p>
            <w:pPr>
              <w:pStyle w:val="TableText"/>
              <w:spacing w:before="143" w:line="220" w:lineRule="auto"/>
              <w:ind w:left="625"/>
            </w:pPr>
            <w:r>
              <w:rPr>
                <w:spacing w:val="2"/>
              </w:rPr>
              <w:t>中准确度级</w:t>
            </w:r>
          </w:p>
        </w:tc>
        <w:tc>
          <w:tcPr>
            <w:tcW w:w="1678" w:type="dxa"/>
            <w:shd w:val="clear" w:color="auto" w:fill="E05637"/>
            <w:vAlign w:val="top"/>
          </w:tcPr>
          <w:p>
            <w:pPr>
              <w:pStyle w:val="TableText"/>
              <w:spacing w:before="165" w:line="214" w:lineRule="auto"/>
              <w:ind w:left="302"/>
            </w:pPr>
            <w:r>
              <w:rPr>
                <w:spacing w:val="-2"/>
              </w:rPr>
              <w:t>0.EgkE≤28</w:t>
            </w:r>
          </w:p>
        </w:tc>
        <w:tc>
          <w:tcPr>
            <w:tcW w:w="1668" w:type="dxa"/>
            <w:vAlign w:val="top"/>
          </w:tcPr>
          <w:p>
            <w:pPr>
              <w:pStyle w:val="TableText"/>
              <w:spacing w:before="235" w:line="184" w:lineRule="auto"/>
              <w:ind w:left="664"/>
            </w:pPr>
            <w:r>
              <w:rPr>
                <w:spacing w:val="-6"/>
              </w:rPr>
              <w:t>106</w:t>
            </w:r>
          </w:p>
        </w:tc>
        <w:tc>
          <w:tcPr>
            <w:tcW w:w="1658" w:type="dxa"/>
            <w:shd w:val="clear" w:color="auto" w:fill="E25B3A"/>
            <w:vAlign w:val="top"/>
          </w:tcPr>
          <w:p>
            <w:pPr>
              <w:pStyle w:val="TableText"/>
              <w:spacing w:before="205" w:line="320" w:lineRule="exact"/>
              <w:ind w:left="506"/>
            </w:pPr>
            <w:r>
              <w:rPr>
                <w:spacing w:val="-4"/>
                <w:position w:val="11"/>
              </w:rPr>
              <w:t>10.000</w:t>
            </w:r>
          </w:p>
          <w:p>
            <w:pPr>
              <w:pStyle w:val="TableText"/>
              <w:spacing w:line="183" w:lineRule="auto"/>
              <w:ind w:left="506"/>
            </w:pPr>
            <w:r>
              <w:rPr>
                <w:spacing w:val="-4"/>
              </w:rPr>
              <w:t>10:000</w:t>
            </w:r>
          </w:p>
        </w:tc>
        <w:tc>
          <w:tcPr>
            <w:tcW w:w="1813" w:type="dxa"/>
            <w:gridSpan w:val="2"/>
            <w:vAlign w:val="top"/>
          </w:tcPr>
          <w:p>
            <w:pPr>
              <w:pStyle w:val="TableText"/>
              <w:spacing w:before="203" w:line="290" w:lineRule="exact"/>
              <w:ind w:left="689"/>
            </w:pPr>
            <w:r>
              <w:rPr>
                <w:spacing w:val="-4"/>
                <w:position w:val="5"/>
              </w:rPr>
              <w:t>20</w:t>
            </w:r>
            <w:r>
              <w:rPr>
                <w:spacing w:val="36"/>
                <w:position w:val="5"/>
              </w:rPr>
              <w:t xml:space="preserve"> </w:t>
            </w:r>
            <w:r>
              <w:rPr>
                <w:spacing w:val="-4"/>
                <w:position w:val="5"/>
              </w:rPr>
              <w:t>e</w:t>
            </w:r>
          </w:p>
          <w:p>
            <w:pPr>
              <w:pStyle w:val="TableText"/>
              <w:spacing w:line="239" w:lineRule="auto"/>
              <w:ind w:left="689"/>
            </w:pPr>
            <w:r>
              <w:rPr>
                <w:spacing w:val="-4"/>
              </w:rPr>
              <w:t>20</w:t>
            </w:r>
            <w:r>
              <w:rPr>
                <w:spacing w:val="36"/>
              </w:rPr>
              <w:t xml:space="preserve"> </w:t>
            </w:r>
            <w:r>
              <w:rPr>
                <w:spacing w:val="-4"/>
              </w:rPr>
              <w:t>e</w:t>
            </w:r>
          </w:p>
        </w:tc>
      </w:tr>
      <w:tr>
        <w:tblPrEx>
          <w:tblW w:w="9129" w:type="dxa"/>
          <w:tblInd w:w="35" w:type="dxa"/>
          <w:tblLayout w:type="fixed"/>
        </w:tblPrEx>
        <w:trPr>
          <w:trHeight w:val="832"/>
        </w:trPr>
        <w:tc>
          <w:tcPr>
            <w:tcW w:w="2312" w:type="dxa"/>
            <w:vAlign w:val="top"/>
          </w:tcPr>
          <w:p>
            <w:pPr>
              <w:pStyle w:val="TableText"/>
              <w:spacing w:before="155" w:line="368" w:lineRule="exact"/>
              <w:ind w:left="514"/>
            </w:pPr>
            <w:r>
              <w:rPr>
                <w:spacing w:val="2"/>
                <w:position w:val="11"/>
              </w:rPr>
              <w:t>普通准确成级</w:t>
            </w:r>
          </w:p>
          <w:p>
            <w:pPr>
              <w:pStyle w:val="TableText"/>
              <w:spacing w:line="235" w:lineRule="auto"/>
              <w:ind w:left="1044"/>
            </w:pPr>
            <w:r>
              <w:t>Ⅱ</w:t>
            </w:r>
          </w:p>
        </w:tc>
        <w:tc>
          <w:tcPr>
            <w:tcW w:w="1678" w:type="dxa"/>
            <w:vAlign w:val="top"/>
          </w:tcPr>
          <w:p>
            <w:pPr>
              <w:pStyle w:val="TableText"/>
              <w:spacing w:before="308" w:line="214" w:lineRule="auto"/>
              <w:ind w:left="512"/>
            </w:pPr>
            <w:r>
              <w:rPr>
                <w:spacing w:val="-6"/>
              </w:rPr>
              <w:t>5</w:t>
            </w:r>
            <w:r>
              <w:rPr>
                <w:spacing w:val="38"/>
              </w:rPr>
              <w:t xml:space="preserve"> </w:t>
            </w:r>
            <w:r>
              <w:rPr>
                <w:spacing w:val="-6"/>
              </w:rPr>
              <w:t>g≤e</w:t>
            </w:r>
          </w:p>
        </w:tc>
        <w:tc>
          <w:tcPr>
            <w:tcW w:w="1668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184" w:lineRule="auto"/>
              <w:ind w:left="664"/>
            </w:pPr>
            <w:r>
              <w:rPr>
                <w:spacing w:val="-6"/>
              </w:rPr>
              <w:t>100</w:t>
            </w:r>
          </w:p>
        </w:tc>
        <w:tc>
          <w:tcPr>
            <w:tcW w:w="1658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184" w:lineRule="auto"/>
              <w:ind w:left="616"/>
            </w:pPr>
            <w:r>
              <w:rPr>
                <w:spacing w:val="-5"/>
              </w:rPr>
              <w:t>1000</w:t>
            </w:r>
          </w:p>
        </w:tc>
        <w:tc>
          <w:tcPr>
            <w:tcW w:w="1813" w:type="dxa"/>
            <w:gridSpan w:val="2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/>
              <w:ind w:left="689"/>
            </w:pPr>
            <w:r>
              <w:rPr>
                <w:spacing w:val="-8"/>
              </w:rPr>
              <w:t>10</w:t>
            </w:r>
            <w:r>
              <w:rPr>
                <w:spacing w:val="49"/>
              </w:rPr>
              <w:t xml:space="preserve"> </w:t>
            </w:r>
            <w:r>
              <w:rPr>
                <w:spacing w:val="-8"/>
              </w:rPr>
              <w:t>e</w:t>
            </w:r>
          </w:p>
        </w:tc>
      </w:tr>
    </w:tbl>
    <w:p>
      <w:pPr>
        <w:pStyle w:val="BodyText"/>
        <w:spacing w:before="105" w:line="219" w:lineRule="auto"/>
        <w:ind w:left="5"/>
        <w:rPr>
          <w:sz w:val="23"/>
          <w:szCs w:val="23"/>
        </w:rPr>
      </w:pPr>
      <w:r>
        <w:rPr>
          <w:spacing w:val="4"/>
          <w:sz w:val="23"/>
          <w:szCs w:val="23"/>
        </w:rPr>
        <w:t>5.2  检定分度值</w:t>
      </w:r>
    </w:p>
    <w:p>
      <w:pPr>
        <w:pStyle w:val="BodyText"/>
        <w:spacing w:before="105" w:line="165" w:lineRule="auto"/>
        <w:ind w:left="484"/>
        <w:rPr>
          <w:sz w:val="23"/>
          <w:szCs w:val="23"/>
        </w:rPr>
      </w:pPr>
      <w:r>
        <w:rPr>
          <w:spacing w:val="-6"/>
          <w:sz w:val="23"/>
          <w:szCs w:val="23"/>
        </w:rPr>
        <w:t>秤的检定分度值</w:t>
      </w:r>
      <w:r>
        <w:rPr>
          <w:color w:val="D72300"/>
          <w:spacing w:val="-6"/>
          <w:sz w:val="23"/>
          <w:szCs w:val="23"/>
        </w:rPr>
        <w:t>与奥际</w:t>
      </w:r>
      <w:r>
        <w:rPr>
          <w:spacing w:val="-6"/>
          <w:sz w:val="23"/>
          <w:szCs w:val="23"/>
        </w:rPr>
        <w:t>分</w:t>
      </w:r>
      <w:r>
        <w:rPr>
          <w:color w:val="D72300"/>
          <w:spacing w:val="-6"/>
          <w:sz w:val="23"/>
          <w:szCs w:val="23"/>
        </w:rPr>
        <w:t>度</w:t>
      </w:r>
      <w:r>
        <w:rPr>
          <w:color w:val="D72300"/>
          <w:spacing w:val="-37"/>
          <w:sz w:val="23"/>
          <w:szCs w:val="23"/>
        </w:rPr>
        <w:t xml:space="preserve"> </w:t>
      </w:r>
      <w:r>
        <w:rPr>
          <w:color w:val="D72300"/>
          <w:spacing w:val="-6"/>
          <w:sz w:val="23"/>
          <w:szCs w:val="23"/>
        </w:rPr>
        <w:t>情</w:t>
      </w:r>
      <w:r>
        <w:rPr>
          <w:color w:val="D72300"/>
          <w:spacing w:val="-52"/>
          <w:sz w:val="23"/>
          <w:szCs w:val="23"/>
        </w:rPr>
        <w:t xml:space="preserve"> </w:t>
      </w:r>
      <w:r>
        <w:rPr>
          <w:color w:val="D72300"/>
          <w:spacing w:val="-6"/>
          <w:sz w:val="23"/>
          <w:szCs w:val="23"/>
        </w:rPr>
        <w:t>相</w:t>
      </w:r>
      <w:r>
        <w:rPr>
          <w:color w:val="D72300"/>
          <w:spacing w:val="-50"/>
          <w:sz w:val="23"/>
          <w:szCs w:val="23"/>
        </w:rPr>
        <w:t xml:space="preserve"> </w:t>
      </w:r>
      <w:r>
        <w:rPr>
          <w:color w:val="D72300"/>
          <w:spacing w:val="-6"/>
          <w:sz w:val="23"/>
          <w:szCs w:val="23"/>
        </w:rPr>
        <w:t>等</w:t>
      </w:r>
      <w:r>
        <w:rPr>
          <w:color w:val="D72300"/>
          <w:spacing w:val="-61"/>
          <w:sz w:val="23"/>
          <w:szCs w:val="23"/>
        </w:rPr>
        <w:t xml:space="preserve"> </w:t>
      </w:r>
      <w:r>
        <w:rPr>
          <w:color w:val="D72300"/>
          <w:spacing w:val="-6"/>
          <w:sz w:val="23"/>
          <w:szCs w:val="23"/>
        </w:rPr>
        <w:t>。</w:t>
      </w:r>
      <w:r>
        <w:rPr>
          <w:spacing w:val="-6"/>
          <w:sz w:val="23"/>
          <w:szCs w:val="23"/>
        </w:rPr>
        <w:t>即</w:t>
      </w:r>
      <w:r>
        <w:rPr>
          <w:spacing w:val="-58"/>
          <w:sz w:val="23"/>
          <w:szCs w:val="23"/>
        </w:rPr>
        <w:t xml:space="preserve"> </w:t>
      </w:r>
      <w:r>
        <w:rPr>
          <w:color w:val="D72300"/>
          <w:spacing w:val="-6"/>
          <w:sz w:val="23"/>
          <w:szCs w:val="23"/>
        </w:rPr>
        <w:t>：</w:t>
      </w:r>
    </w:p>
    <w:p>
      <w:pPr>
        <w:spacing w:line="427" w:lineRule="exact"/>
        <w:ind w:left="4314"/>
        <w:rPr>
          <w:rFonts w:ascii="Times New Roman" w:eastAsia="Times New Roman" w:hAnsi="Times New Roman" w:cs="Times New Roman"/>
          <w:sz w:val="34"/>
          <w:szCs w:val="34"/>
        </w:rPr>
      </w:pPr>
      <w:r>
        <w:rPr>
          <w:rFonts w:ascii="Times New Roman" w:eastAsia="Times New Roman" w:hAnsi="Times New Roman" w:cs="Times New Roman"/>
          <w:i/>
          <w:iCs/>
          <w:spacing w:val="-4"/>
          <w:w w:val="96"/>
          <w:position w:val="1"/>
          <w:sz w:val="34"/>
          <w:szCs w:val="34"/>
        </w:rPr>
        <w:t>e</w:t>
      </w:r>
      <w:r>
        <w:rPr>
          <w:rFonts w:ascii="Times New Roman" w:eastAsia="Times New Roman" w:hAnsi="Times New Roman" w:cs="Times New Roman"/>
          <w:i/>
          <w:iCs/>
          <w:color w:val="D91500"/>
          <w:spacing w:val="-4"/>
          <w:w w:val="96"/>
          <w:position w:val="1"/>
          <w:sz w:val="34"/>
          <w:szCs w:val="34"/>
        </w:rPr>
        <w:t>=d</w:t>
      </w:r>
    </w:p>
    <w:p>
      <w:pPr>
        <w:pStyle w:val="BodyText"/>
        <w:spacing w:before="35" w:line="264" w:lineRule="auto"/>
        <w:ind w:left="5" w:right="160" w:firstLine="479"/>
        <w:rPr>
          <w:sz w:val="23"/>
          <w:szCs w:val="23"/>
        </w:rPr>
      </w:pPr>
      <w:r>
        <w:rPr>
          <w:spacing w:val="5"/>
          <w:sz w:val="23"/>
          <w:szCs w:val="23"/>
        </w:rPr>
        <w:t>分度值应以1×10*,2×10*或</w:t>
      </w:r>
      <w:r>
        <w:rPr>
          <w:color w:val="DE2400"/>
          <w:spacing w:val="5"/>
          <w:sz w:val="23"/>
          <w:szCs w:val="23"/>
        </w:rPr>
        <w:t>5×</w:t>
      </w:r>
      <w:r>
        <w:rPr>
          <w:color w:val="DE2400"/>
          <w:spacing w:val="-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DE2400"/>
          <w:spacing w:val="5"/>
          <w:sz w:val="23"/>
          <w:szCs w:val="23"/>
        </w:rPr>
        <w:t>T0</w:t>
      </w:r>
      <w:r>
        <w:rPr>
          <w:rFonts w:ascii="Times New Roman" w:eastAsia="Times New Roman" w:hAnsi="Times New Roman" w:cs="Times New Roman"/>
          <w:color w:val="DE2400"/>
          <w:spacing w:val="28"/>
          <w:sz w:val="23"/>
          <w:szCs w:val="23"/>
        </w:rPr>
        <w:t xml:space="preserve">  </w:t>
      </w:r>
      <w:r>
        <w:rPr>
          <w:color w:val="DE2400"/>
          <w:spacing w:val="5"/>
          <w:sz w:val="23"/>
          <w:szCs w:val="23"/>
        </w:rPr>
        <w:t>的</w:t>
      </w:r>
      <w:r>
        <w:rPr>
          <w:color w:val="DE2400"/>
          <w:spacing w:val="-46"/>
          <w:sz w:val="23"/>
          <w:szCs w:val="23"/>
        </w:rPr>
        <w:t xml:space="preserve"> </w:t>
      </w:r>
      <w:r>
        <w:rPr>
          <w:color w:val="DE2400"/>
          <w:spacing w:val="5"/>
          <w:sz w:val="23"/>
          <w:szCs w:val="23"/>
        </w:rPr>
        <w:t>形</w:t>
      </w:r>
      <w:r>
        <w:rPr>
          <w:color w:val="DE2400"/>
          <w:spacing w:val="-44"/>
          <w:sz w:val="23"/>
          <w:szCs w:val="23"/>
        </w:rPr>
        <w:t xml:space="preserve"> </w:t>
      </w:r>
      <w:r>
        <w:rPr>
          <w:color w:val="DE2400"/>
          <w:spacing w:val="5"/>
          <w:sz w:val="23"/>
          <w:szCs w:val="23"/>
        </w:rPr>
        <w:t>式</w:t>
      </w:r>
      <w:r>
        <w:rPr>
          <w:color w:val="DE2400"/>
          <w:spacing w:val="-50"/>
          <w:sz w:val="23"/>
          <w:szCs w:val="23"/>
        </w:rPr>
        <w:t xml:space="preserve"> </w:t>
      </w:r>
      <w:r>
        <w:rPr>
          <w:color w:val="DE2400"/>
          <w:spacing w:val="5"/>
          <w:sz w:val="23"/>
          <w:szCs w:val="23"/>
        </w:rPr>
        <w:t>表</w:t>
      </w:r>
      <w:r>
        <w:rPr>
          <w:color w:val="DE2400"/>
          <w:spacing w:val="-48"/>
          <w:sz w:val="23"/>
          <w:szCs w:val="23"/>
        </w:rPr>
        <w:t xml:space="preserve"> </w:t>
      </w:r>
      <w:r>
        <w:rPr>
          <w:color w:val="DE2400"/>
          <w:spacing w:val="5"/>
          <w:sz w:val="23"/>
          <w:szCs w:val="23"/>
        </w:rPr>
        <w:t>示</w:t>
      </w:r>
      <w:r>
        <w:rPr>
          <w:spacing w:val="5"/>
          <w:sz w:val="23"/>
          <w:szCs w:val="23"/>
        </w:rPr>
        <w:t>，指数</w:t>
      </w:r>
      <w:r>
        <w:rPr>
          <w:spacing w:val="-6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spacing w:val="48"/>
          <w:w w:val="101"/>
          <w:sz w:val="23"/>
          <w:szCs w:val="23"/>
        </w:rPr>
        <w:t xml:space="preserve"> </w:t>
      </w:r>
      <w:r>
        <w:rPr>
          <w:spacing w:val="5"/>
          <w:sz w:val="23"/>
          <w:szCs w:val="23"/>
        </w:rPr>
        <w:t>为正整数、负整数或等</w:t>
      </w:r>
      <w:r>
        <w:rPr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于零。</w:t>
      </w:r>
    </w:p>
    <w:p>
      <w:pPr>
        <w:pStyle w:val="BodyText"/>
        <w:spacing w:before="77" w:line="219" w:lineRule="auto"/>
        <w:ind w:left="5"/>
        <w:rPr>
          <w:sz w:val="23"/>
          <w:szCs w:val="23"/>
        </w:rPr>
      </w:pPr>
      <w:r>
        <w:rPr>
          <w:spacing w:val="7"/>
          <w:sz w:val="23"/>
          <w:szCs w:val="23"/>
        </w:rPr>
        <w:t>5.3  秤的最大允许误差</w:t>
      </w:r>
    </w:p>
    <w:p>
      <w:pPr>
        <w:pStyle w:val="BodyText"/>
        <w:spacing w:before="67" w:line="219" w:lineRule="auto"/>
        <w:ind w:left="484"/>
        <w:rPr>
          <w:sz w:val="23"/>
          <w:szCs w:val="23"/>
        </w:rPr>
        <w:sectPr>
          <w:headerReference w:type="default" r:id="rId9"/>
          <w:footerReference w:type="default" r:id="rId10"/>
          <w:pgSz w:w="11860" w:h="16600"/>
          <w:pgMar w:top="1730" w:right="1779" w:bottom="842" w:left="805" w:header="1423" w:footer="683" w:gutter="0"/>
          <w:pgNumType w:start="3"/>
          <w:cols w:space="708"/>
        </w:sectPr>
      </w:pPr>
      <w:r>
        <w:rPr>
          <w:spacing w:val="11"/>
          <w:sz w:val="23"/>
          <w:szCs w:val="23"/>
        </w:rPr>
        <w:t>表2给出了秤加载或卸载时的最大允许误差。</w:t>
      </w:r>
    </w:p>
    <w:p>
      <w:pPr>
        <w:spacing w:before="62" w:line="222" w:lineRule="auto"/>
        <w:ind w:left="3658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b/>
          <w:bCs/>
          <w:spacing w:val="-19"/>
          <w:sz w:val="23"/>
          <w:szCs w:val="23"/>
        </w:rPr>
        <w:t>表</w:t>
      </w:r>
      <w:r>
        <w:rPr>
          <w:rFonts w:ascii="SimHei" w:eastAsia="SimHei" w:hAnsi="SimHei" w:cs="SimHei"/>
          <w:spacing w:val="-53"/>
          <w:sz w:val="23"/>
          <w:szCs w:val="23"/>
        </w:rPr>
        <w:t xml:space="preserve"> </w:t>
      </w:r>
      <w:r>
        <w:rPr>
          <w:rFonts w:ascii="SimHei" w:eastAsia="SimHei" w:hAnsi="SimHei" w:cs="SimHei"/>
          <w:b/>
          <w:bCs/>
          <w:spacing w:val="-19"/>
          <w:sz w:val="23"/>
          <w:szCs w:val="23"/>
        </w:rPr>
        <w:t>2</w:t>
      </w:r>
      <w:r>
        <w:rPr>
          <w:rFonts w:ascii="SimHei" w:eastAsia="SimHei" w:hAnsi="SimHei" w:cs="SimHei"/>
          <w:spacing w:val="88"/>
          <w:sz w:val="23"/>
          <w:szCs w:val="23"/>
        </w:rPr>
        <w:t xml:space="preserve"> </w:t>
      </w:r>
      <w:r>
        <w:rPr>
          <w:rFonts w:ascii="SimHei" w:eastAsia="SimHei" w:hAnsi="SimHei" w:cs="SimHei"/>
          <w:b/>
          <w:bCs/>
          <w:spacing w:val="-19"/>
          <w:sz w:val="23"/>
          <w:szCs w:val="23"/>
        </w:rPr>
        <w:t>最大允许误差</w:t>
      </w:r>
    </w:p>
    <w:p>
      <w:pPr>
        <w:spacing w:line="94" w:lineRule="exact"/>
      </w:pPr>
    </w:p>
    <w:tbl>
      <w:tblPr>
        <w:tblStyle w:val="TableNormal1"/>
        <w:tblW w:w="912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3151"/>
        <w:gridCol w:w="2917"/>
        <w:gridCol w:w="3061"/>
      </w:tblGrid>
      <w:tr>
        <w:tblPrEx>
          <w:tblW w:w="912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12"/>
        </w:trPr>
        <w:tc>
          <w:tcPr>
            <w:tcW w:w="3151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304" w:line="219" w:lineRule="auto"/>
              <w:ind w:left="905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最大允许误差</w:t>
            </w:r>
          </w:p>
        </w:tc>
        <w:tc>
          <w:tcPr>
            <w:tcW w:w="5978" w:type="dxa"/>
            <w:gridSpan w:val="2"/>
            <w:vAlign w:val="top"/>
          </w:tcPr>
          <w:p>
            <w:pPr>
              <w:pStyle w:val="TableText"/>
              <w:spacing w:before="104" w:line="219" w:lineRule="auto"/>
              <w:ind w:left="16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以检定分度值e表示的载荷m</w:t>
            </w:r>
          </w:p>
        </w:tc>
      </w:tr>
      <w:tr>
        <w:tblPrEx>
          <w:tblW w:w="9129" w:type="dxa"/>
          <w:tblInd w:w="5" w:type="dxa"/>
          <w:tblLayout w:type="fixed"/>
        </w:tblPrEx>
        <w:trPr>
          <w:trHeight w:val="398"/>
        </w:trPr>
        <w:tc>
          <w:tcPr>
            <w:tcW w:w="315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17" w:type="dxa"/>
            <w:vAlign w:val="top"/>
          </w:tcPr>
          <w:p>
            <w:pPr>
              <w:pStyle w:val="TableText"/>
              <w:spacing w:before="110" w:line="233" w:lineRule="auto"/>
              <w:ind w:left="134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Ⅲ</w:t>
            </w:r>
          </w:p>
        </w:tc>
        <w:tc>
          <w:tcPr>
            <w:tcW w:w="306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29" w:type="dxa"/>
          <w:tblInd w:w="5" w:type="dxa"/>
          <w:tblLayout w:type="fixed"/>
        </w:tblPrEx>
        <w:trPr>
          <w:trHeight w:val="408"/>
        </w:trPr>
        <w:tc>
          <w:tcPr>
            <w:tcW w:w="3151" w:type="dxa"/>
            <w:vAlign w:val="top"/>
          </w:tcPr>
          <w:p>
            <w:pPr>
              <w:pStyle w:val="TableText"/>
              <w:spacing w:before="125" w:line="229" w:lineRule="auto"/>
              <w:ind w:left="1294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土0.5</w:t>
            </w:r>
          </w:p>
        </w:tc>
        <w:tc>
          <w:tcPr>
            <w:tcW w:w="2917" w:type="dxa"/>
            <w:vAlign w:val="top"/>
          </w:tcPr>
          <w:p>
            <w:pPr>
              <w:pStyle w:val="TableText"/>
              <w:spacing w:before="123" w:line="230" w:lineRule="auto"/>
              <w:ind w:left="95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0≤m≤500</w:t>
            </w:r>
          </w:p>
        </w:tc>
        <w:tc>
          <w:tcPr>
            <w:tcW w:w="3061" w:type="dxa"/>
            <w:vAlign w:val="top"/>
          </w:tcPr>
          <w:p>
            <w:pPr>
              <w:pStyle w:val="TableText"/>
              <w:spacing w:before="123" w:line="230" w:lineRule="auto"/>
              <w:ind w:left="108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0≤m≤50</w:t>
            </w:r>
          </w:p>
        </w:tc>
      </w:tr>
      <w:tr>
        <w:tblPrEx>
          <w:tblW w:w="9129" w:type="dxa"/>
          <w:tblInd w:w="5" w:type="dxa"/>
          <w:tblLayout w:type="fixed"/>
        </w:tblPrEx>
        <w:trPr>
          <w:trHeight w:val="408"/>
        </w:trPr>
        <w:tc>
          <w:tcPr>
            <w:tcW w:w="3151" w:type="dxa"/>
            <w:vAlign w:val="top"/>
          </w:tcPr>
          <w:p>
            <w:pPr>
              <w:pStyle w:val="TableText"/>
              <w:spacing w:before="125" w:line="229" w:lineRule="auto"/>
              <w:ind w:left="1184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±1.0</w:t>
            </w:r>
            <w:r>
              <w:rPr>
                <w:spacing w:val="61"/>
                <w:sz w:val="22"/>
                <w:szCs w:val="22"/>
              </w:rPr>
              <w:t xml:space="preserve"> </w:t>
            </w:r>
            <w:r>
              <w:rPr>
                <w:spacing w:val="-7"/>
                <w:sz w:val="22"/>
                <w:szCs w:val="22"/>
              </w:rPr>
              <w:t>e</w:t>
            </w:r>
          </w:p>
        </w:tc>
        <w:tc>
          <w:tcPr>
            <w:tcW w:w="2917" w:type="dxa"/>
            <w:vAlign w:val="top"/>
          </w:tcPr>
          <w:p>
            <w:pPr>
              <w:pStyle w:val="TableText"/>
              <w:spacing w:before="125" w:line="229" w:lineRule="auto"/>
              <w:ind w:left="84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500&lt;m≤2000</w:t>
            </w:r>
          </w:p>
        </w:tc>
        <w:tc>
          <w:tcPr>
            <w:tcW w:w="3061" w:type="dxa"/>
            <w:vAlign w:val="top"/>
          </w:tcPr>
          <w:p>
            <w:pPr>
              <w:pStyle w:val="TableText"/>
              <w:spacing w:before="125" w:line="229" w:lineRule="auto"/>
              <w:ind w:left="102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50&lt;m≤200</w:t>
            </w:r>
          </w:p>
        </w:tc>
      </w:tr>
      <w:tr>
        <w:tblPrEx>
          <w:tblW w:w="9129" w:type="dxa"/>
          <w:tblInd w:w="5" w:type="dxa"/>
          <w:tblLayout w:type="fixed"/>
        </w:tblPrEx>
        <w:trPr>
          <w:trHeight w:val="413"/>
        </w:trPr>
        <w:tc>
          <w:tcPr>
            <w:tcW w:w="3151" w:type="dxa"/>
            <w:vAlign w:val="top"/>
          </w:tcPr>
          <w:p>
            <w:pPr>
              <w:pStyle w:val="TableText"/>
              <w:spacing w:before="126" w:line="232" w:lineRule="auto"/>
              <w:ind w:left="1184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±1.5</w:t>
            </w:r>
            <w:r>
              <w:rPr>
                <w:spacing w:val="61"/>
                <w:sz w:val="22"/>
                <w:szCs w:val="22"/>
              </w:rPr>
              <w:t xml:space="preserve"> </w:t>
            </w:r>
            <w:r>
              <w:rPr>
                <w:spacing w:val="-7"/>
                <w:sz w:val="22"/>
                <w:szCs w:val="22"/>
              </w:rPr>
              <w:t>e</w:t>
            </w:r>
          </w:p>
        </w:tc>
        <w:tc>
          <w:tcPr>
            <w:tcW w:w="2917" w:type="dxa"/>
            <w:vAlign w:val="top"/>
          </w:tcPr>
          <w:p>
            <w:pPr>
              <w:pStyle w:val="TableText"/>
              <w:spacing w:before="127" w:line="231" w:lineRule="auto"/>
              <w:ind w:left="73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2000&lt;m≤10000</w:t>
            </w:r>
          </w:p>
        </w:tc>
        <w:tc>
          <w:tcPr>
            <w:tcW w:w="3061" w:type="dxa"/>
            <w:vAlign w:val="top"/>
          </w:tcPr>
          <w:p>
            <w:pPr>
              <w:pStyle w:val="TableText"/>
              <w:spacing w:before="127" w:line="231" w:lineRule="auto"/>
              <w:ind w:left="91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200&lt;m≤1000</w:t>
            </w:r>
          </w:p>
        </w:tc>
      </w:tr>
    </w:tbl>
    <w:p>
      <w:pPr>
        <w:spacing w:line="173" w:lineRule="exact"/>
        <w:rPr>
          <w:rFonts w:ascii="Arial"/>
          <w:sz w:val="15"/>
        </w:rPr>
      </w:pPr>
    </w:p>
    <w:p>
      <w:pPr>
        <w:spacing w:line="173" w:lineRule="exact"/>
        <w:rPr>
          <w:rFonts w:ascii="Arial" w:eastAsia="Arial" w:hAnsi="Arial" w:cs="Arial"/>
          <w:sz w:val="15"/>
          <w:szCs w:val="15"/>
        </w:rPr>
        <w:sectPr>
          <w:headerReference w:type="default" r:id="rId11"/>
          <w:footerReference w:type="default" r:id="rId12"/>
          <w:type w:val="nextPage"/>
          <w:pgSz w:w="11860" w:h="16600"/>
          <w:pgMar w:top="1730" w:right="1779" w:bottom="842" w:left="805" w:header="1423" w:footer="683" w:gutter="0"/>
          <w:pgNumType w:start="4"/>
          <w:cols w:space="708"/>
          <w:titlePg w:val="0"/>
        </w:sectPr>
      </w:pPr>
    </w:p>
    <w:p>
      <w:pPr>
        <w:pStyle w:val="BodyText"/>
        <w:spacing w:before="210" w:line="220" w:lineRule="auto"/>
      </w:pPr>
      <w:r>
        <w:rPr>
          <w:spacing w:val="-4"/>
        </w:rPr>
        <w:t>5.4</w:t>
      </w:r>
      <w:r>
        <w:rPr>
          <w:spacing w:val="116"/>
        </w:rPr>
        <w:t xml:space="preserve"> </w:t>
      </w:r>
      <w:r>
        <w:rPr>
          <w:spacing w:val="-4"/>
        </w:rPr>
        <w:t>重复性</w:t>
      </w:r>
    </w:p>
    <w:p>
      <w:pPr>
        <w:pStyle w:val="BodyText"/>
        <w:spacing w:before="92" w:line="252" w:lineRule="auto"/>
        <w:ind w:right="120" w:firstLine="469"/>
      </w:pPr>
      <w:r>
        <w:rPr>
          <w:spacing w:val="3"/>
        </w:rPr>
        <w:t>对同一载荷，多次称量所得结果的最大值与最小值之差，应不大于5.3规定的该秤</w:t>
      </w:r>
      <w:r>
        <w:rPr>
          <w:spacing w:val="7"/>
        </w:rPr>
        <w:t xml:space="preserve"> </w:t>
      </w:r>
      <w:r>
        <w:rPr>
          <w:spacing w:val="-7"/>
        </w:rPr>
        <w:t>量最大允许误差的绝对值。</w:t>
      </w:r>
    </w:p>
    <w:p>
      <w:pPr>
        <w:pStyle w:val="BodyText"/>
        <w:spacing w:before="85" w:line="219" w:lineRule="auto"/>
      </w:pPr>
      <w:r>
        <w:rPr>
          <w:spacing w:val="-4"/>
        </w:rPr>
        <w:t>5.5</w:t>
      </w:r>
      <w:r>
        <w:rPr>
          <w:spacing w:val="7"/>
        </w:rPr>
        <w:t xml:space="preserve">  </w:t>
      </w:r>
      <w:r>
        <w:rPr>
          <w:spacing w:val="-4"/>
        </w:rPr>
        <w:t>偏载</w:t>
      </w:r>
    </w:p>
    <w:p>
      <w:pPr>
        <w:pStyle w:val="BodyText"/>
        <w:spacing w:before="94" w:line="249" w:lineRule="auto"/>
        <w:ind w:right="115" w:firstLine="469"/>
      </w:pPr>
      <w:r>
        <w:rPr>
          <w:spacing w:val="3"/>
        </w:rPr>
        <w:t>同一载荷在承载器的不同区域示值误差应不超过5.3规定的秤在该秤量下的最大允</w:t>
      </w:r>
      <w:r>
        <w:rPr>
          <w:spacing w:val="12"/>
        </w:rPr>
        <w:t xml:space="preserve"> </w:t>
      </w:r>
      <w:r>
        <w:rPr>
          <w:spacing w:val="-14"/>
        </w:rPr>
        <w:t>许误差。</w:t>
      </w:r>
    </w:p>
    <w:p>
      <w:pPr>
        <w:pStyle w:val="BodyText"/>
        <w:spacing w:before="93" w:line="219" w:lineRule="auto"/>
      </w:pPr>
      <w:r>
        <w:t>5.6  零点</w:t>
      </w:r>
    </w:p>
    <w:p>
      <w:pPr>
        <w:pStyle w:val="BodyText"/>
        <w:spacing w:before="85" w:line="252" w:lineRule="auto"/>
        <w:ind w:right="118" w:firstLine="469"/>
      </w:pPr>
      <w:r>
        <w:rPr>
          <w:spacing w:val="3"/>
        </w:rPr>
        <w:t>将计量杠杆调整至平衡状态，然后按照7.4.3条要求对秤进行零点检定时，计量杠</w:t>
      </w:r>
      <w:r>
        <w:rPr>
          <w:spacing w:val="7"/>
        </w:rPr>
        <w:t xml:space="preserve"> </w:t>
      </w:r>
      <w:r>
        <w:rPr>
          <w:spacing w:val="-5"/>
        </w:rPr>
        <w:t>杆应仍能保持平衡。</w:t>
      </w:r>
    </w:p>
    <w:p>
      <w:pPr>
        <w:pStyle w:val="BodyText"/>
        <w:spacing w:before="85" w:line="219" w:lineRule="auto"/>
      </w:pPr>
      <w:r>
        <w:rPr>
          <w:spacing w:val="1"/>
        </w:rPr>
        <w:t>5.7</w:t>
      </w:r>
      <w:r>
        <w:rPr>
          <w:spacing w:val="18"/>
        </w:rPr>
        <w:t xml:space="preserve">  </w:t>
      </w:r>
      <w:r>
        <w:rPr>
          <w:spacing w:val="1"/>
        </w:rPr>
        <w:t>灵敏度</w:t>
      </w:r>
    </w:p>
    <w:p>
      <w:pPr>
        <w:pStyle w:val="BodyText"/>
        <w:spacing w:before="106" w:line="247" w:lineRule="auto"/>
        <w:ind w:right="120" w:firstLine="469"/>
      </w:pPr>
      <w:r>
        <w:rPr>
          <w:spacing w:val="3"/>
        </w:rPr>
        <w:t>在处于平衡状态的秤上，施加等于5.3规定的秤在相应秤量最大允许误差的绝对值</w:t>
      </w:r>
      <w:r>
        <w:rPr>
          <w:spacing w:val="7"/>
        </w:rPr>
        <w:t xml:space="preserve"> </w:t>
      </w:r>
      <w:r>
        <w:rPr>
          <w:spacing w:val="5"/>
        </w:rPr>
        <w:t>的附加砝码，由此引起计量杠杆的位移(计量杠杆力点端所改变的距离</w:t>
      </w:r>
      <w:r>
        <w:rPr>
          <w:spacing w:val="4"/>
        </w:rPr>
        <w:t>)至少应为：</w:t>
      </w:r>
    </w:p>
    <w:p>
      <w:pPr>
        <w:pStyle w:val="BodyText"/>
        <w:spacing w:before="60" w:line="212" w:lineRule="auto"/>
        <w:ind w:left="469"/>
        <w:rPr>
          <w:rFonts w:ascii="Times New Roman" w:eastAsia="Times New Roman" w:hAnsi="Times New Roman" w:cs="Times New Roman"/>
        </w:rPr>
      </w:pPr>
      <w:r>
        <w:rPr>
          <w:spacing w:val="3"/>
        </w:rPr>
        <w:t>对最大秤量</w:t>
      </w:r>
      <w:r>
        <w:rPr>
          <w:spacing w:val="-62"/>
        </w:rPr>
        <w:t xml:space="preserve"> </w:t>
      </w:r>
      <w:r>
        <w:rPr>
          <w:rFonts w:ascii="Times New Roman" w:eastAsia="Times New Roman" w:hAnsi="Times New Roman" w:cs="Times New Roman"/>
        </w:rPr>
        <w:t>Max</w:t>
      </w:r>
      <w:r>
        <w:rPr>
          <w:rFonts w:ascii="Times New Roman" w:eastAsia="Times New Roman" w:hAnsi="Times New Roman" w:cs="Times New Roman"/>
          <w:spacing w:val="3"/>
        </w:rPr>
        <w:t xml:space="preserve">≤30     </w:t>
      </w:r>
      <w:r>
        <w:rPr>
          <w:rFonts w:ascii="Times New Roman" w:eastAsia="Times New Roman" w:hAnsi="Times New Roman" w:cs="Times New Roman"/>
        </w:rPr>
        <w:t>kg</w:t>
      </w:r>
      <w:r>
        <w:rPr>
          <w:spacing w:val="3"/>
        </w:rPr>
        <w:t xml:space="preserve">的秤为2 </w:t>
      </w:r>
      <w:r>
        <w:rPr>
          <w:rFonts w:ascii="Times New Roman" w:eastAsia="Times New Roman" w:hAnsi="Times New Roman" w:cs="Times New Roman"/>
        </w:rPr>
        <w:t>mm</w:t>
      </w:r>
      <w:r>
        <w:rPr>
          <w:rFonts w:ascii="Times New Roman" w:eastAsia="Times New Roman" w:hAnsi="Times New Roman" w:cs="Times New Roman"/>
          <w:spacing w:val="3"/>
        </w:rPr>
        <w:t>;</w:t>
      </w:r>
    </w:p>
    <w:p>
      <w:pPr>
        <w:pStyle w:val="BodyText"/>
        <w:spacing w:before="124" w:line="212" w:lineRule="auto"/>
        <w:ind w:left="469"/>
      </w:pPr>
      <w:r>
        <w:rPr>
          <w:spacing w:val="11"/>
        </w:rPr>
        <w:t>对最大秤量</w:t>
      </w:r>
      <w:r>
        <w:rPr>
          <w:spacing w:val="-58"/>
        </w:rPr>
        <w:t xml:space="preserve"> </w:t>
      </w:r>
      <w:r>
        <w:rPr>
          <w:rFonts w:ascii="Times New Roman" w:eastAsia="Times New Roman" w:hAnsi="Times New Roman" w:cs="Times New Roman"/>
        </w:rPr>
        <w:t>Max</w:t>
      </w:r>
      <w:r>
        <w:rPr>
          <w:rFonts w:ascii="Times New Roman" w:eastAsia="Times New Roman" w:hAnsi="Times New Roman" w:cs="Times New Roman"/>
          <w:spacing w:val="11"/>
        </w:rPr>
        <w:t>&gt;30</w:t>
      </w:r>
      <w:r>
        <w:rPr>
          <w:rFonts w:ascii="Times New Roman" w:eastAsia="Times New Roman" w:hAnsi="Times New Roman" w:cs="Times New Roman"/>
          <w:spacing w:val="1"/>
        </w:rPr>
        <w:t xml:space="preserve">     </w:t>
      </w:r>
      <w:r>
        <w:rPr>
          <w:rFonts w:ascii="Times New Roman" w:eastAsia="Times New Roman" w:hAnsi="Times New Roman" w:cs="Times New Roman"/>
        </w:rPr>
        <w:t>kg</w:t>
      </w:r>
      <w:r>
        <w:rPr>
          <w:spacing w:val="11"/>
        </w:rPr>
        <w:t>的秤为5</w:t>
      </w:r>
      <w:r>
        <w:rPr>
          <w:rFonts w:ascii="Times New Roman" w:eastAsia="Times New Roman" w:hAnsi="Times New Roman" w:cs="Times New Roman"/>
        </w:rPr>
        <w:t>mm</w:t>
      </w:r>
      <w:r>
        <w:rPr>
          <w:spacing w:val="11"/>
        </w:rPr>
        <w:t>。</w:t>
      </w:r>
    </w:p>
    <w:p>
      <w:pPr>
        <w:spacing w:before="269" w:line="222" w:lineRule="auto"/>
        <w:ind w:left="2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6"/>
          <w:sz w:val="24"/>
          <w:szCs w:val="24"/>
        </w:rPr>
        <w:t>6</w:t>
      </w:r>
      <w:r>
        <w:rPr>
          <w:rFonts w:ascii="SimHei" w:eastAsia="SimHei" w:hAnsi="SimHei" w:cs="SimHei"/>
          <w:spacing w:val="-6"/>
          <w:sz w:val="24"/>
          <w:szCs w:val="24"/>
        </w:rPr>
        <w:t xml:space="preserve">  </w:t>
      </w:r>
      <w:r>
        <w:rPr>
          <w:rFonts w:ascii="SimHei" w:eastAsia="SimHei" w:hAnsi="SimHei" w:cs="SimHei"/>
          <w:b/>
          <w:bCs/>
          <w:spacing w:val="-6"/>
          <w:sz w:val="24"/>
          <w:szCs w:val="24"/>
        </w:rPr>
        <w:t>通用技术要求</w:t>
      </w:r>
    </w:p>
    <w:p>
      <w:pPr>
        <w:pStyle w:val="BodyText"/>
        <w:spacing w:before="266" w:line="221" w:lineRule="auto"/>
      </w:pPr>
      <w:r>
        <w:rPr>
          <w:spacing w:val="-3"/>
        </w:rPr>
        <w:t>6.1</w:t>
      </w:r>
      <w:r>
        <w:rPr>
          <w:spacing w:val="98"/>
        </w:rPr>
        <w:t xml:space="preserve"> </w:t>
      </w:r>
      <w:r>
        <w:rPr>
          <w:spacing w:val="-3"/>
        </w:rPr>
        <w:t>计量的安全性</w:t>
      </w:r>
    </w:p>
    <w:p>
      <w:pPr>
        <w:pStyle w:val="BodyText"/>
        <w:spacing w:before="100" w:line="263" w:lineRule="auto"/>
        <w:ind w:right="120" w:firstLine="469"/>
        <w:jc w:val="both"/>
      </w:pPr>
      <w:r>
        <w:t>秤不应具有易于做欺骗性使用的特性。对游砣、增砣、调整</w:t>
      </w:r>
      <w:r>
        <w:rPr>
          <w:spacing w:val="-1"/>
        </w:rPr>
        <w:t>腔等直接影响到称量示</w:t>
      </w:r>
      <w:r>
        <w:t xml:space="preserve"> </w:t>
      </w:r>
      <w:r>
        <w:rPr>
          <w:spacing w:val="11"/>
        </w:rPr>
        <w:t>值的部件，应采用封闭式结构或者加铅封，铅封的直</w:t>
      </w:r>
      <w:r>
        <w:rPr>
          <w:spacing w:val="10"/>
        </w:rPr>
        <w:t>径至少为5</w:t>
      </w:r>
      <w:r>
        <w:rPr>
          <w:spacing w:val="-45"/>
        </w:rPr>
        <w:t xml:space="preserve"> </w:t>
      </w:r>
      <w:r>
        <w:t>mm</w:t>
      </w:r>
      <w:r>
        <w:rPr>
          <w:spacing w:val="10"/>
        </w:rPr>
        <w:t>,  并且有相关标</w:t>
      </w:r>
      <w:r>
        <w:t xml:space="preserve"> </w:t>
      </w:r>
      <w:r>
        <w:rPr>
          <w:spacing w:val="-2"/>
        </w:rPr>
        <w:t>识。铅封不能破坏和拆下；铅封破坏后，合格即失效。</w:t>
      </w:r>
    </w:p>
    <w:p>
      <w:pPr>
        <w:pStyle w:val="BodyText"/>
        <w:spacing w:before="87" w:line="221" w:lineRule="auto"/>
      </w:pPr>
      <w:r>
        <w:rPr>
          <w:spacing w:val="-3"/>
        </w:rPr>
        <w:t>6.2  增砣</w:t>
      </w:r>
    </w:p>
    <w:p>
      <w:pPr>
        <w:pStyle w:val="BodyText"/>
        <w:spacing w:before="101" w:line="219" w:lineRule="auto"/>
        <w:ind w:left="469"/>
      </w:pPr>
      <w:r>
        <w:rPr>
          <w:spacing w:val="-2"/>
        </w:rPr>
        <w:t>增砣应符合</w:t>
      </w:r>
      <w:r>
        <w:rPr>
          <w:rFonts w:ascii="Times New Roman" w:eastAsia="Times New Roman" w:hAnsi="Times New Roman" w:cs="Times New Roman"/>
          <w:spacing w:val="-2"/>
        </w:rPr>
        <w:t>JJG</w:t>
      </w:r>
      <w:r>
        <w:rPr>
          <w:rFonts w:ascii="Times New Roman" w:eastAsia="Times New Roman" w:hAnsi="Times New Roman" w:cs="Times New Roman"/>
          <w:spacing w:val="17"/>
          <w:w w:val="101"/>
        </w:rPr>
        <w:t xml:space="preserve">  </w:t>
      </w:r>
      <w:r>
        <w:rPr>
          <w:rFonts w:ascii="Times New Roman" w:eastAsia="Times New Roman" w:hAnsi="Times New Roman" w:cs="Times New Roman"/>
          <w:spacing w:val="-2"/>
        </w:rPr>
        <w:t xml:space="preserve">99 </w:t>
      </w:r>
      <w:r>
        <w:rPr>
          <w:spacing w:val="-2"/>
        </w:rPr>
        <w:t>中</w:t>
      </w:r>
      <w:r>
        <w:rPr>
          <w:spacing w:val="-48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M₂</w:t>
      </w:r>
      <w:r>
        <w:rPr>
          <w:rFonts w:ascii="Times New Roman" w:eastAsia="Times New Roman" w:hAnsi="Times New Roman" w:cs="Times New Roman"/>
          <w:spacing w:val="49"/>
        </w:rPr>
        <w:t xml:space="preserve"> </w:t>
      </w:r>
      <w:r>
        <w:rPr>
          <w:spacing w:val="-2"/>
        </w:rPr>
        <w:t>等级砝码质量允差的</w:t>
      </w:r>
      <w:r>
        <w:rPr>
          <w:spacing w:val="-3"/>
        </w:rPr>
        <w:t>要求。</w:t>
      </w:r>
    </w:p>
    <w:p>
      <w:pPr>
        <w:pStyle w:val="BodyText"/>
        <w:spacing w:before="76" w:line="220" w:lineRule="auto"/>
      </w:pPr>
      <w:r>
        <w:rPr>
          <w:spacing w:val="1"/>
        </w:rPr>
        <w:t>6.3  计量法制标志和计量器具标识</w:t>
      </w:r>
    </w:p>
    <w:p>
      <w:pPr>
        <w:pStyle w:val="BodyText"/>
        <w:spacing w:before="83" w:line="263" w:lineRule="auto"/>
        <w:ind w:right="109" w:firstLine="469"/>
      </w:pPr>
      <w:r>
        <w:t>计量法制标志和计量器具标识应标注在明显易见的地方，表示在永久固定于秤的铭</w:t>
      </w:r>
      <w:r>
        <w:rPr>
          <w:spacing w:val="9"/>
        </w:rPr>
        <w:t xml:space="preserve"> </w:t>
      </w:r>
      <w:r>
        <w:rPr>
          <w:spacing w:val="-1"/>
        </w:rPr>
        <w:t>牌或粘贴标签上，或在秤自身不可拆卸部分上。标志和标识必须清晰可辨、牢固可靠。</w:t>
      </w:r>
      <w:r>
        <w:rPr>
          <w:spacing w:val="17"/>
        </w:rPr>
        <w:t xml:space="preserve"> </w:t>
      </w:r>
      <w:r>
        <w:rPr>
          <w:spacing w:val="-3"/>
        </w:rPr>
        <w:t>6.3.1</w:t>
      </w:r>
      <w:r>
        <w:rPr>
          <w:spacing w:val="103"/>
        </w:rPr>
        <w:t xml:space="preserve"> </w:t>
      </w:r>
      <w:r>
        <w:rPr>
          <w:spacing w:val="-3"/>
        </w:rPr>
        <w:t>计量法制标志内容：</w:t>
      </w:r>
    </w:p>
    <w:p>
      <w:pPr>
        <w:pStyle w:val="BodyText"/>
        <w:spacing w:before="58" w:line="212" w:lineRule="auto"/>
        <w:ind w:left="469"/>
      </w:pPr>
      <w:r>
        <w:rPr>
          <w:rFonts w:ascii="Times New Roman" w:eastAsia="Times New Roman" w:hAnsi="Times New Roman" w:cs="Times New Roman"/>
          <w:spacing w:val="-2"/>
        </w:rPr>
        <w:t xml:space="preserve">a)  </w:t>
      </w:r>
      <w:r>
        <w:rPr>
          <w:spacing w:val="-2"/>
        </w:rPr>
        <w:t>制造计量器具许可证的标志和编号；</w:t>
      </w:r>
    </w:p>
    <w:p>
      <w:pPr>
        <w:pStyle w:val="BodyText"/>
        <w:spacing w:before="131" w:line="219" w:lineRule="auto"/>
        <w:ind w:left="469"/>
      </w:pPr>
      <w:r>
        <w:rPr>
          <w:spacing w:val="-5"/>
        </w:rPr>
        <w:t>b)</w:t>
      </w:r>
      <w:r>
        <w:rPr>
          <w:spacing w:val="-24"/>
        </w:rPr>
        <w:t xml:space="preserve"> </w:t>
      </w:r>
      <w:r>
        <w:rPr>
          <w:spacing w:val="-5"/>
        </w:rPr>
        <w:t>检定合格标志。</w:t>
      </w:r>
    </w:p>
    <w:p>
      <w:pPr>
        <w:pStyle w:val="BodyText"/>
        <w:spacing w:before="86" w:line="219" w:lineRule="auto"/>
      </w:pPr>
      <w:r>
        <w:rPr>
          <w:spacing w:val="-3"/>
        </w:rPr>
        <w:t>6.3.2  计量器具标识内容：</w:t>
      </w:r>
    </w:p>
    <w:p>
      <w:pPr>
        <w:pStyle w:val="BodyText"/>
        <w:spacing w:before="58" w:line="212" w:lineRule="auto"/>
        <w:ind w:left="469"/>
      </w:pPr>
      <w:r>
        <w:rPr>
          <w:rFonts w:ascii="Times New Roman" w:eastAsia="Times New Roman" w:hAnsi="Times New Roman" w:cs="Times New Roman"/>
          <w:spacing w:val="-3"/>
        </w:rPr>
        <w:t xml:space="preserve">a)  </w:t>
      </w:r>
      <w:r>
        <w:rPr>
          <w:spacing w:val="-3"/>
        </w:rPr>
        <w:t>制造厂名称；</w:t>
      </w:r>
    </w:p>
    <w:p>
      <w:pPr>
        <w:pStyle w:val="BodyText"/>
        <w:spacing w:before="104" w:line="360" w:lineRule="exact"/>
        <w:ind w:left="469"/>
      </w:pPr>
      <w:r>
        <w:rPr>
          <w:rFonts w:ascii="Times New Roman" w:eastAsia="Times New Roman" w:hAnsi="Times New Roman" w:cs="Times New Roman"/>
          <w:spacing w:val="10"/>
          <w:position w:val="9"/>
        </w:rPr>
        <w:t xml:space="preserve">b)  </w:t>
      </w:r>
      <w:r>
        <w:rPr>
          <w:spacing w:val="10"/>
          <w:position w:val="9"/>
        </w:rPr>
        <w:t>秤的名称、规格(型号);</w:t>
      </w:r>
    </w:p>
    <w:p>
      <w:pPr>
        <w:pStyle w:val="BodyText"/>
        <w:spacing w:line="212" w:lineRule="auto"/>
        <w:ind w:left="469"/>
      </w:pPr>
      <w:r>
        <w:rPr>
          <w:rFonts w:ascii="Times New Roman" w:eastAsia="Times New Roman" w:hAnsi="Times New Roman" w:cs="Times New Roman"/>
          <w:spacing w:val="-2"/>
        </w:rPr>
        <w:t xml:space="preserve">c)  </w:t>
      </w:r>
      <w:r>
        <w:rPr>
          <w:spacing w:val="-2"/>
        </w:rPr>
        <w:t>准确度等级标志；</w:t>
      </w:r>
    </w:p>
    <w:p>
      <w:pPr>
        <w:pStyle w:val="BodyText"/>
        <w:spacing w:before="151" w:line="333" w:lineRule="exact"/>
        <w:ind w:left="469"/>
        <w:sectPr>
          <w:headerReference w:type="default" r:id="rId13"/>
          <w:footerReference w:type="default" r:id="rId14"/>
          <w:pgSz w:w="11670" w:h="16470"/>
          <w:pgMar w:top="1619" w:right="1309" w:bottom="802" w:left="1130" w:header="1271" w:footer="643" w:gutter="0"/>
          <w:pgNumType w:start="5"/>
          <w:cols w:space="708"/>
        </w:sectPr>
      </w:pPr>
      <w:r>
        <w:rPr>
          <w:spacing w:val="3"/>
          <w:position w:val="6"/>
        </w:rPr>
        <w:t>d) 最大秤量，可表示为</w:t>
      </w:r>
      <w:r>
        <w:rPr>
          <w:position w:val="6"/>
        </w:rPr>
        <w:t>Max</w:t>
      </w:r>
      <w:r>
        <w:rPr>
          <w:spacing w:val="3"/>
          <w:position w:val="6"/>
        </w:rPr>
        <w:t>;</w:t>
      </w:r>
    </w:p>
    <w:p>
      <w:pPr>
        <w:pStyle w:val="BodyText"/>
        <w:spacing w:before="1" w:line="212" w:lineRule="auto"/>
        <w:ind w:left="46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3"/>
        </w:rPr>
        <w:t>e)</w:t>
      </w:r>
      <w:r>
        <w:rPr>
          <w:rFonts w:ascii="Times New Roman" w:eastAsia="Times New Roman" w:hAnsi="Times New Roman" w:cs="Times New Roman"/>
          <w:spacing w:val="26"/>
        </w:rPr>
        <w:t xml:space="preserve">  </w:t>
      </w:r>
      <w:r>
        <w:rPr>
          <w:spacing w:val="3"/>
        </w:rPr>
        <w:t>最小秤量，可表示为</w:t>
      </w:r>
      <w:r>
        <w:rPr>
          <w:rFonts w:ascii="Times New Roman" w:eastAsia="Times New Roman" w:hAnsi="Times New Roman" w:cs="Times New Roman"/>
        </w:rPr>
        <w:t>Min</w:t>
      </w:r>
      <w:r>
        <w:rPr>
          <w:rFonts w:ascii="Times New Roman" w:eastAsia="Times New Roman" w:hAnsi="Times New Roman" w:cs="Times New Roman"/>
          <w:spacing w:val="3"/>
        </w:rPr>
        <w:t>;</w:t>
      </w:r>
    </w:p>
    <w:p>
      <w:pPr>
        <w:pStyle w:val="BodyText"/>
        <w:spacing w:before="94" w:line="212" w:lineRule="auto"/>
        <w:ind w:left="46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2"/>
        </w:rPr>
        <w:t>f)</w:t>
      </w:r>
      <w:r>
        <w:rPr>
          <w:rFonts w:ascii="Times New Roman" w:eastAsia="Times New Roman" w:hAnsi="Times New Roman" w:cs="Times New Roman"/>
          <w:spacing w:val="27"/>
          <w:w w:val="101"/>
        </w:rPr>
        <w:t xml:space="preserve">  </w:t>
      </w:r>
      <w:r>
        <w:rPr>
          <w:spacing w:val="2"/>
        </w:rPr>
        <w:t>检定分度值，可表示为</w:t>
      </w:r>
      <w:r>
        <w:rPr>
          <w:rFonts w:ascii="Times New Roman" w:eastAsia="Times New Roman" w:hAnsi="Times New Roman" w:cs="Times New Roman"/>
          <w:spacing w:val="2"/>
        </w:rPr>
        <w:t>e;</w:t>
      </w:r>
    </w:p>
    <w:p>
      <w:pPr>
        <w:pStyle w:val="BodyText"/>
        <w:spacing w:before="74" w:line="212" w:lineRule="auto"/>
        <w:ind w:left="469"/>
      </w:pPr>
      <w:r>
        <w:rPr>
          <w:rFonts w:ascii="Times New Roman" w:eastAsia="Times New Roman" w:hAnsi="Times New Roman" w:cs="Times New Roman"/>
          <w:spacing w:val="-9"/>
        </w:rPr>
        <w:t>g)</w:t>
      </w:r>
      <w:r>
        <w:rPr>
          <w:rFonts w:ascii="Times New Roman" w:eastAsia="Times New Roman" w:hAnsi="Times New Roman" w:cs="Times New Roman"/>
          <w:spacing w:val="24"/>
          <w:w w:val="101"/>
        </w:rPr>
        <w:t xml:space="preserve">  </w:t>
      </w:r>
      <w:r>
        <w:rPr>
          <w:spacing w:val="-9"/>
        </w:rPr>
        <w:t>器具编号；</w:t>
      </w:r>
    </w:p>
    <w:p>
      <w:pPr>
        <w:pStyle w:val="BodyText"/>
        <w:spacing w:before="115" w:line="212" w:lineRule="auto"/>
        <w:ind w:left="469"/>
      </w:pPr>
      <w:r>
        <w:rPr>
          <w:rFonts w:ascii="Times New Roman" w:eastAsia="Times New Roman" w:hAnsi="Times New Roman" w:cs="Times New Roman"/>
          <w:spacing w:val="-4"/>
        </w:rPr>
        <w:t>h)</w:t>
      </w:r>
      <w:r>
        <w:rPr>
          <w:rFonts w:ascii="Times New Roman" w:eastAsia="Times New Roman" w:hAnsi="Times New Roman" w:cs="Times New Roman"/>
          <w:spacing w:val="26"/>
        </w:rPr>
        <w:t xml:space="preserve">  </w:t>
      </w:r>
      <w:r>
        <w:rPr>
          <w:spacing w:val="-4"/>
        </w:rPr>
        <w:t>具有增砣的秤的臂比。</w:t>
      </w:r>
    </w:p>
    <w:p>
      <w:pPr>
        <w:spacing w:line="212" w:lineRule="auto"/>
        <w:sectPr>
          <w:headerReference w:type="default" r:id="rId15"/>
          <w:footerReference w:type="default" r:id="rId16"/>
          <w:type w:val="nextPage"/>
          <w:pgSz w:w="11670" w:h="16470"/>
          <w:pgMar w:top="1619" w:right="1309" w:bottom="802" w:left="1130" w:header="1271" w:footer="643" w:gutter="0"/>
          <w:pgNumType w:start="6"/>
          <w:cols w:space="708"/>
          <w:titlePg w:val="0"/>
        </w:sectPr>
      </w:pPr>
    </w:p>
    <w:p>
      <w:pPr>
        <w:pStyle w:val="BodyText"/>
        <w:spacing w:before="229" w:line="219" w:lineRule="auto"/>
        <w:ind w:left="29"/>
        <w:rPr>
          <w:sz w:val="23"/>
          <w:szCs w:val="23"/>
        </w:rPr>
      </w:pPr>
      <w:r>
        <w:rPr>
          <w:spacing w:val="6"/>
          <w:sz w:val="23"/>
          <w:szCs w:val="23"/>
        </w:rPr>
        <w:t>6.3.3  对检定合格标志的要求：</w:t>
      </w:r>
    </w:p>
    <w:p>
      <w:pPr>
        <w:pStyle w:val="BodyText"/>
        <w:spacing w:before="71" w:line="369" w:lineRule="exact"/>
        <w:ind w:left="509"/>
        <w:rPr>
          <w:sz w:val="23"/>
          <w:szCs w:val="23"/>
        </w:rPr>
      </w:pPr>
      <w:r>
        <w:rPr>
          <w:rFonts w:ascii="Times New Roman" w:eastAsia="Times New Roman" w:hAnsi="Times New Roman" w:cs="Times New Roman"/>
          <w:spacing w:val="5"/>
          <w:position w:val="10"/>
          <w:sz w:val="23"/>
          <w:szCs w:val="23"/>
        </w:rPr>
        <w:t>a)</w:t>
      </w:r>
      <w:r>
        <w:rPr>
          <w:rFonts w:ascii="Times New Roman" w:eastAsia="Times New Roman" w:hAnsi="Times New Roman" w:cs="Times New Roman"/>
          <w:spacing w:val="22"/>
          <w:w w:val="101"/>
          <w:position w:val="10"/>
          <w:sz w:val="23"/>
          <w:szCs w:val="23"/>
        </w:rPr>
        <w:t xml:space="preserve">  </w:t>
      </w:r>
      <w:r>
        <w:rPr>
          <w:spacing w:val="5"/>
          <w:position w:val="10"/>
          <w:sz w:val="23"/>
          <w:szCs w:val="23"/>
        </w:rPr>
        <w:t>不破坏标志就无法将其拆下；</w:t>
      </w:r>
    </w:p>
    <w:p>
      <w:pPr>
        <w:pStyle w:val="BodyText"/>
        <w:spacing w:line="212" w:lineRule="auto"/>
        <w:ind w:left="509"/>
        <w:rPr>
          <w:sz w:val="23"/>
          <w:szCs w:val="23"/>
        </w:rPr>
      </w:pP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b)</w:t>
      </w:r>
      <w:r>
        <w:rPr>
          <w:rFonts w:ascii="Times New Roman" w:eastAsia="Times New Roman" w:hAnsi="Times New Roman" w:cs="Times New Roman"/>
          <w:spacing w:val="14"/>
          <w:w w:val="101"/>
          <w:sz w:val="23"/>
          <w:szCs w:val="23"/>
        </w:rPr>
        <w:t xml:space="preserve">  </w:t>
      </w:r>
      <w:r>
        <w:rPr>
          <w:spacing w:val="2"/>
          <w:sz w:val="23"/>
          <w:szCs w:val="23"/>
        </w:rPr>
        <w:t>标志容易固定；</w:t>
      </w:r>
    </w:p>
    <w:p>
      <w:pPr>
        <w:pStyle w:val="BodyText"/>
        <w:spacing w:before="115" w:line="212" w:lineRule="auto"/>
        <w:ind w:left="509"/>
        <w:rPr>
          <w:sz w:val="23"/>
          <w:szCs w:val="23"/>
        </w:rPr>
      </w:pP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c)  </w:t>
      </w:r>
      <w:r>
        <w:rPr>
          <w:spacing w:val="8"/>
          <w:sz w:val="23"/>
          <w:szCs w:val="23"/>
        </w:rPr>
        <w:t>在使用中，不移动秤就可以看见标志；</w:t>
      </w:r>
    </w:p>
    <w:p>
      <w:pPr>
        <w:pStyle w:val="BodyText"/>
        <w:spacing w:before="86" w:line="437" w:lineRule="exact"/>
        <w:ind w:right="23"/>
        <w:jc w:val="right"/>
        <w:rPr>
          <w:sz w:val="23"/>
          <w:szCs w:val="23"/>
        </w:rPr>
      </w:pPr>
      <w:r>
        <w:rPr>
          <w:rFonts w:ascii="Times New Roman" w:eastAsia="Times New Roman" w:hAnsi="Times New Roman" w:cs="Times New Roman"/>
          <w:spacing w:val="13"/>
          <w:position w:val="16"/>
          <w:sz w:val="23"/>
          <w:szCs w:val="23"/>
        </w:rPr>
        <w:t>d)</w:t>
      </w:r>
      <w:r>
        <w:rPr>
          <w:rFonts w:ascii="Times New Roman" w:eastAsia="Times New Roman" w:hAnsi="Times New Roman" w:cs="Times New Roman"/>
          <w:spacing w:val="2"/>
          <w:position w:val="16"/>
          <w:sz w:val="23"/>
          <w:szCs w:val="23"/>
        </w:rPr>
        <w:t xml:space="preserve">   </w:t>
      </w:r>
      <w:r>
        <w:rPr>
          <w:spacing w:val="13"/>
          <w:position w:val="16"/>
          <w:sz w:val="23"/>
          <w:szCs w:val="23"/>
        </w:rPr>
        <w:t>采用自粘型标志，应保证标志能持久保存，并留出固定位置，位置区域的直径</w:t>
      </w:r>
    </w:p>
    <w:p>
      <w:pPr>
        <w:pStyle w:val="BodyText"/>
        <w:spacing w:before="1" w:line="220" w:lineRule="auto"/>
        <w:ind w:left="29"/>
        <w:rPr>
          <w:sz w:val="23"/>
          <w:szCs w:val="23"/>
        </w:rPr>
      </w:pPr>
      <w:r>
        <w:rPr>
          <w:spacing w:val="6"/>
          <w:sz w:val="23"/>
          <w:szCs w:val="23"/>
        </w:rPr>
        <w:t xml:space="preserve">至少为25 </w:t>
      </w:r>
      <w:r>
        <w:rPr>
          <w:rFonts w:ascii="Times New Roman" w:eastAsia="Times New Roman" w:hAnsi="Times New Roman" w:cs="Times New Roman"/>
          <w:sz w:val="23"/>
          <w:szCs w:val="23"/>
        </w:rPr>
        <w:t>mm</w:t>
      </w:r>
      <w:r>
        <w:rPr>
          <w:spacing w:val="6"/>
          <w:sz w:val="23"/>
          <w:szCs w:val="23"/>
        </w:rPr>
        <w:t>。</w:t>
      </w:r>
    </w:p>
    <w:p>
      <w:pPr>
        <w:spacing w:before="281" w:line="223" w:lineRule="auto"/>
        <w:ind w:left="33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b/>
          <w:bCs/>
          <w:spacing w:val="5"/>
          <w:sz w:val="23"/>
          <w:szCs w:val="23"/>
        </w:rPr>
        <w:t>7</w:t>
      </w:r>
      <w:r>
        <w:rPr>
          <w:rFonts w:ascii="SimHei" w:eastAsia="SimHei" w:hAnsi="SimHei" w:cs="SimHei"/>
          <w:spacing w:val="2"/>
          <w:sz w:val="23"/>
          <w:szCs w:val="23"/>
        </w:rPr>
        <w:t xml:space="preserve">  </w:t>
      </w:r>
      <w:r>
        <w:rPr>
          <w:rFonts w:ascii="SimHei" w:eastAsia="SimHei" w:hAnsi="SimHei" w:cs="SimHei"/>
          <w:b/>
          <w:bCs/>
          <w:spacing w:val="5"/>
          <w:sz w:val="23"/>
          <w:szCs w:val="23"/>
        </w:rPr>
        <w:t>计量器具控制</w:t>
      </w:r>
    </w:p>
    <w:p>
      <w:pPr>
        <w:pStyle w:val="BodyText"/>
        <w:spacing w:before="275" w:line="219" w:lineRule="auto"/>
        <w:ind w:left="29"/>
        <w:rPr>
          <w:sz w:val="23"/>
          <w:szCs w:val="23"/>
        </w:rPr>
      </w:pPr>
      <w:r>
        <w:rPr>
          <w:spacing w:val="5"/>
          <w:sz w:val="23"/>
          <w:szCs w:val="23"/>
        </w:rPr>
        <w:t>7.1  检定用标准器具</w:t>
      </w:r>
    </w:p>
    <w:p>
      <w:pPr>
        <w:pStyle w:val="BodyText"/>
        <w:spacing w:before="118" w:line="220" w:lineRule="auto"/>
        <w:ind w:left="29"/>
        <w:rPr>
          <w:sz w:val="23"/>
          <w:szCs w:val="23"/>
        </w:rPr>
      </w:pPr>
      <w:r>
        <w:rPr>
          <w:spacing w:val="1"/>
          <w:sz w:val="23"/>
          <w:szCs w:val="23"/>
        </w:rPr>
        <w:t>7.1.1</w:t>
      </w:r>
      <w:r>
        <w:rPr>
          <w:spacing w:val="13"/>
          <w:sz w:val="23"/>
          <w:szCs w:val="23"/>
        </w:rPr>
        <w:t xml:space="preserve">  </w:t>
      </w:r>
      <w:r>
        <w:rPr>
          <w:spacing w:val="1"/>
          <w:sz w:val="23"/>
          <w:szCs w:val="23"/>
        </w:rPr>
        <w:t>标准砝码</w:t>
      </w:r>
    </w:p>
    <w:p>
      <w:pPr>
        <w:pStyle w:val="BodyText"/>
        <w:spacing w:before="95" w:line="262" w:lineRule="auto"/>
        <w:ind w:left="29" w:right="55" w:firstLine="479"/>
        <w:rPr>
          <w:sz w:val="23"/>
          <w:szCs w:val="23"/>
        </w:rPr>
      </w:pPr>
      <w:r>
        <w:rPr>
          <w:spacing w:val="20"/>
          <w:sz w:val="23"/>
          <w:szCs w:val="23"/>
        </w:rPr>
        <w:t>检定用的标准砝码(包括附加砝码)应符合</w:t>
      </w:r>
      <w:r>
        <w:rPr>
          <w:rFonts w:ascii="Times New Roman" w:eastAsia="Times New Roman" w:hAnsi="Times New Roman" w:cs="Times New Roman"/>
          <w:sz w:val="23"/>
          <w:szCs w:val="23"/>
        </w:rPr>
        <w:t>JJG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  </w:t>
      </w:r>
      <w:r>
        <w:rPr>
          <w:rFonts w:ascii="Times New Roman" w:eastAsia="Times New Roman" w:hAnsi="Times New Roman" w:cs="Times New Roman"/>
          <w:spacing w:val="20"/>
          <w:sz w:val="23"/>
          <w:szCs w:val="23"/>
        </w:rPr>
        <w:t xml:space="preserve">99 </w:t>
      </w:r>
      <w:r>
        <w:rPr>
          <w:spacing w:val="19"/>
          <w:sz w:val="23"/>
          <w:szCs w:val="23"/>
        </w:rPr>
        <w:t>的计量要求，其误差绝对值应</w:t>
      </w:r>
      <w:r>
        <w:rPr>
          <w:sz w:val="23"/>
          <w:szCs w:val="23"/>
        </w:rPr>
        <w:t xml:space="preserve"> </w:t>
      </w:r>
      <w:r>
        <w:rPr>
          <w:spacing w:val="13"/>
          <w:sz w:val="23"/>
          <w:szCs w:val="23"/>
        </w:rPr>
        <w:t>不大于5.3规定的相应载荷下秤的最大允许误差绝对值的1/3。</w:t>
      </w:r>
    </w:p>
    <w:p>
      <w:pPr>
        <w:pStyle w:val="BodyText"/>
        <w:spacing w:before="97" w:line="219" w:lineRule="auto"/>
        <w:ind w:left="29"/>
        <w:rPr>
          <w:sz w:val="23"/>
          <w:szCs w:val="23"/>
        </w:rPr>
      </w:pPr>
      <w:r>
        <w:rPr>
          <w:spacing w:val="4"/>
          <w:sz w:val="23"/>
          <w:szCs w:val="23"/>
        </w:rPr>
        <w:t>7.1.2  标准砝码的替代</w:t>
      </w:r>
    </w:p>
    <w:p>
      <w:pPr>
        <w:pStyle w:val="BodyText"/>
        <w:spacing w:before="87" w:line="400" w:lineRule="exact"/>
        <w:ind w:right="11"/>
        <w:jc w:val="right"/>
        <w:rPr>
          <w:sz w:val="23"/>
          <w:szCs w:val="23"/>
        </w:rPr>
      </w:pPr>
      <w:r>
        <w:rPr>
          <w:spacing w:val="21"/>
          <w:position w:val="12"/>
          <w:sz w:val="23"/>
          <w:szCs w:val="23"/>
        </w:rPr>
        <w:t>在使用地点对最大秤量大于1</w:t>
      </w:r>
      <w:r>
        <w:rPr>
          <w:spacing w:val="-58"/>
          <w:position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1"/>
          <w:position w:val="1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position w:val="12"/>
          <w:sz w:val="23"/>
          <w:szCs w:val="23"/>
        </w:rPr>
        <w:t xml:space="preserve">  </w:t>
      </w:r>
      <w:r>
        <w:rPr>
          <w:spacing w:val="21"/>
          <w:position w:val="12"/>
          <w:sz w:val="23"/>
          <w:szCs w:val="23"/>
        </w:rPr>
        <w:t>的秤进行检定时，可以使用其他</w:t>
      </w:r>
      <w:r>
        <w:rPr>
          <w:spacing w:val="20"/>
          <w:position w:val="12"/>
          <w:sz w:val="23"/>
          <w:szCs w:val="23"/>
        </w:rPr>
        <w:t>量值稳定的物品</w:t>
      </w:r>
    </w:p>
    <w:p>
      <w:pPr>
        <w:pStyle w:val="BodyText"/>
        <w:spacing w:before="1" w:line="219" w:lineRule="auto"/>
        <w:ind w:left="29"/>
        <w:rPr>
          <w:sz w:val="23"/>
          <w:szCs w:val="23"/>
        </w:rPr>
      </w:pPr>
      <w:r>
        <w:rPr>
          <w:spacing w:val="11"/>
          <w:sz w:val="23"/>
          <w:szCs w:val="23"/>
        </w:rPr>
        <w:t>(替代物)来替代部分标准砝码：</w:t>
      </w:r>
    </w:p>
    <w:p>
      <w:pPr>
        <w:pStyle w:val="BodyText"/>
        <w:spacing w:before="91" w:line="212" w:lineRule="auto"/>
        <w:ind w:left="509"/>
        <w:rPr>
          <w:sz w:val="23"/>
          <w:szCs w:val="23"/>
        </w:rPr>
      </w:pPr>
      <w:r>
        <w:rPr>
          <w:spacing w:val="15"/>
          <w:sz w:val="23"/>
          <w:szCs w:val="23"/>
        </w:rPr>
        <w:t>如果重复性大于0.3</w:t>
      </w:r>
      <w:r>
        <w:rPr>
          <w:rFonts w:ascii="Times New Roman" w:eastAsia="Times New Roman" w:hAnsi="Times New Roman" w:cs="Times New Roman"/>
          <w:spacing w:val="15"/>
          <w:sz w:val="23"/>
          <w:szCs w:val="23"/>
        </w:rPr>
        <w:t xml:space="preserve">e,   </w:t>
      </w:r>
      <w:r>
        <w:rPr>
          <w:spacing w:val="15"/>
          <w:sz w:val="23"/>
          <w:szCs w:val="23"/>
        </w:rPr>
        <w:t>使用的标准砝码质量至少</w:t>
      </w:r>
      <w:r>
        <w:rPr>
          <w:spacing w:val="14"/>
          <w:sz w:val="23"/>
          <w:szCs w:val="23"/>
        </w:rPr>
        <w:t>为最大秤量的1/2;</w:t>
      </w:r>
    </w:p>
    <w:p>
      <w:pPr>
        <w:pStyle w:val="BodyText"/>
        <w:spacing w:before="105" w:line="259" w:lineRule="auto"/>
        <w:ind w:left="509" w:right="710"/>
        <w:rPr>
          <w:sz w:val="23"/>
          <w:szCs w:val="23"/>
        </w:rPr>
      </w:pPr>
      <w:r>
        <w:rPr>
          <w:spacing w:val="14"/>
          <w:sz w:val="23"/>
          <w:szCs w:val="23"/>
        </w:rPr>
        <w:t>如果重复性不大于0.3</w:t>
      </w:r>
      <w:r>
        <w:rPr>
          <w:rFonts w:ascii="Times New Roman" w:eastAsia="Times New Roman" w:hAnsi="Times New Roman" w:cs="Times New Roman"/>
          <w:spacing w:val="14"/>
          <w:sz w:val="23"/>
          <w:szCs w:val="23"/>
        </w:rPr>
        <w:t xml:space="preserve">e,   </w:t>
      </w:r>
      <w:r>
        <w:rPr>
          <w:spacing w:val="14"/>
          <w:sz w:val="23"/>
          <w:szCs w:val="23"/>
        </w:rPr>
        <w:t xml:space="preserve">使用的标准砝码质量可以减少到最大秤量的1/3; </w:t>
      </w:r>
      <w:r>
        <w:rPr>
          <w:spacing w:val="13"/>
          <w:sz w:val="23"/>
          <w:szCs w:val="23"/>
        </w:rPr>
        <w:t>如果重复性不大于0.2</w:t>
      </w:r>
      <w:r>
        <w:rPr>
          <w:rFonts w:ascii="Times New Roman" w:eastAsia="Times New Roman" w:hAnsi="Times New Roman" w:cs="Times New Roman"/>
          <w:spacing w:val="13"/>
          <w:sz w:val="23"/>
          <w:szCs w:val="23"/>
        </w:rPr>
        <w:t xml:space="preserve">e,   </w:t>
      </w:r>
      <w:r>
        <w:rPr>
          <w:spacing w:val="13"/>
          <w:sz w:val="23"/>
          <w:szCs w:val="23"/>
        </w:rPr>
        <w:t>使用的标准砝码质量可以减少到最大秤量的1/5。</w:t>
      </w:r>
    </w:p>
    <w:p>
      <w:pPr>
        <w:pStyle w:val="BodyText"/>
        <w:spacing w:before="121" w:line="390" w:lineRule="exact"/>
        <w:ind w:right="24"/>
        <w:jc w:val="right"/>
        <w:rPr>
          <w:sz w:val="23"/>
          <w:szCs w:val="23"/>
        </w:rPr>
      </w:pPr>
      <w:r>
        <w:rPr>
          <w:spacing w:val="17"/>
          <w:position w:val="11"/>
          <w:sz w:val="23"/>
          <w:szCs w:val="23"/>
        </w:rPr>
        <w:t>上述重复性是用约为最大秤量1/2的载荷(标准砝码或其他质量稳定的物品)在承</w:t>
      </w:r>
    </w:p>
    <w:p>
      <w:pPr>
        <w:pStyle w:val="BodyText"/>
        <w:spacing w:line="219" w:lineRule="auto"/>
        <w:ind w:left="29"/>
        <w:rPr>
          <w:sz w:val="23"/>
          <w:szCs w:val="23"/>
        </w:rPr>
      </w:pPr>
      <w:r>
        <w:rPr>
          <w:spacing w:val="14"/>
          <w:sz w:val="23"/>
          <w:szCs w:val="23"/>
        </w:rPr>
        <w:t>载器上施加3次来确定。</w:t>
      </w:r>
    </w:p>
    <w:p>
      <w:pPr>
        <w:pStyle w:val="BodyText"/>
        <w:spacing w:before="107" w:line="219" w:lineRule="auto"/>
        <w:ind w:left="29"/>
        <w:rPr>
          <w:sz w:val="23"/>
          <w:szCs w:val="23"/>
        </w:rPr>
      </w:pPr>
      <w:r>
        <w:rPr>
          <w:spacing w:val="5"/>
          <w:sz w:val="23"/>
          <w:szCs w:val="23"/>
        </w:rPr>
        <w:t>7.2</w:t>
      </w:r>
      <w:r>
        <w:rPr>
          <w:spacing w:val="117"/>
          <w:sz w:val="23"/>
          <w:szCs w:val="23"/>
        </w:rPr>
        <w:t xml:space="preserve"> </w:t>
      </w:r>
      <w:r>
        <w:rPr>
          <w:spacing w:val="5"/>
          <w:sz w:val="23"/>
          <w:szCs w:val="23"/>
        </w:rPr>
        <w:t>检定项目</w:t>
      </w:r>
    </w:p>
    <w:p>
      <w:pPr>
        <w:pStyle w:val="BodyText"/>
        <w:spacing w:before="98" w:line="219" w:lineRule="auto"/>
        <w:ind w:left="509"/>
        <w:rPr>
          <w:sz w:val="23"/>
          <w:szCs w:val="23"/>
        </w:rPr>
      </w:pPr>
      <w:r>
        <w:rPr>
          <w:spacing w:val="12"/>
          <w:sz w:val="23"/>
          <w:szCs w:val="23"/>
        </w:rPr>
        <w:t>秤的首次检定、后续检定和使用中检查项目见表3。</w:t>
      </w:r>
    </w:p>
    <w:p>
      <w:pPr>
        <w:spacing w:before="92" w:line="222" w:lineRule="auto"/>
        <w:ind w:left="3603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b/>
          <w:bCs/>
          <w:spacing w:val="-15"/>
          <w:sz w:val="23"/>
          <w:szCs w:val="23"/>
        </w:rPr>
        <w:t>表3</w:t>
      </w:r>
      <w:r>
        <w:rPr>
          <w:rFonts w:ascii="SimHei" w:eastAsia="SimHei" w:hAnsi="SimHei" w:cs="SimHei"/>
          <w:spacing w:val="84"/>
          <w:sz w:val="23"/>
          <w:szCs w:val="23"/>
        </w:rPr>
        <w:t xml:space="preserve"> </w:t>
      </w:r>
      <w:r>
        <w:rPr>
          <w:rFonts w:ascii="SimHei" w:eastAsia="SimHei" w:hAnsi="SimHei" w:cs="SimHei"/>
          <w:b/>
          <w:bCs/>
          <w:spacing w:val="-15"/>
          <w:sz w:val="23"/>
          <w:szCs w:val="23"/>
        </w:rPr>
        <w:t>检定项目一览表</w:t>
      </w:r>
    </w:p>
    <w:tbl>
      <w:tblPr>
        <w:tblStyle w:val="TableNormal2"/>
        <w:tblW w:w="9149" w:type="dxa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44"/>
        <w:gridCol w:w="839"/>
        <w:gridCol w:w="2927"/>
        <w:gridCol w:w="1468"/>
        <w:gridCol w:w="1468"/>
        <w:gridCol w:w="1603"/>
      </w:tblGrid>
      <w:tr>
        <w:tblPrEx>
          <w:tblW w:w="9149" w:type="dxa"/>
          <w:tblInd w:w="4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14"/>
        </w:trPr>
        <w:tc>
          <w:tcPr>
            <w:tcW w:w="844" w:type="dxa"/>
            <w:vAlign w:val="top"/>
          </w:tcPr>
          <w:p>
            <w:pPr>
              <w:pStyle w:val="TableText"/>
              <w:spacing w:before="114" w:line="221" w:lineRule="auto"/>
              <w:ind w:left="21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序号</w:t>
            </w:r>
          </w:p>
        </w:tc>
        <w:tc>
          <w:tcPr>
            <w:tcW w:w="3766" w:type="dxa"/>
            <w:gridSpan w:val="2"/>
            <w:vAlign w:val="top"/>
          </w:tcPr>
          <w:p>
            <w:pPr>
              <w:pStyle w:val="TableText"/>
              <w:spacing w:before="113" w:line="219" w:lineRule="auto"/>
              <w:ind w:left="1470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检定项目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spacing w:before="113" w:line="219" w:lineRule="auto"/>
              <w:ind w:left="325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首次检定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spacing w:before="113" w:line="219" w:lineRule="auto"/>
              <w:ind w:left="326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后续检定</w:t>
            </w:r>
          </w:p>
        </w:tc>
        <w:tc>
          <w:tcPr>
            <w:tcW w:w="1603" w:type="dxa"/>
            <w:vAlign w:val="top"/>
          </w:tcPr>
          <w:p>
            <w:pPr>
              <w:pStyle w:val="TableText"/>
              <w:spacing w:before="113" w:line="219" w:lineRule="auto"/>
              <w:ind w:left="29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使用中检查</w:t>
            </w:r>
          </w:p>
        </w:tc>
      </w:tr>
      <w:tr>
        <w:tblPrEx>
          <w:tblW w:w="9149" w:type="dxa"/>
          <w:tblInd w:w="40" w:type="dxa"/>
          <w:tblLayout w:type="fixed"/>
        </w:tblPrEx>
        <w:trPr>
          <w:trHeight w:val="359"/>
        </w:trPr>
        <w:tc>
          <w:tcPr>
            <w:tcW w:w="844" w:type="dxa"/>
            <w:vMerge w:val="restart"/>
            <w:tcBorders>
              <w:bottom w:val="nil"/>
            </w:tcBorders>
            <w:vAlign w:val="top"/>
          </w:tcPr>
          <w:p>
            <w:pPr>
              <w:spacing w:line="4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4" w:lineRule="auto"/>
              <w:ind w:left="36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3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20" w:line="339" w:lineRule="exact"/>
              <w:ind w:left="210"/>
              <w:rPr>
                <w:sz w:val="20"/>
                <w:szCs w:val="20"/>
              </w:rPr>
            </w:pPr>
            <w:r>
              <w:rPr>
                <w:spacing w:val="12"/>
                <w:position w:val="10"/>
                <w:sz w:val="20"/>
                <w:szCs w:val="20"/>
              </w:rPr>
              <w:t>通用</w:t>
            </w:r>
          </w:p>
          <w:p>
            <w:pPr>
              <w:pStyle w:val="TableText"/>
              <w:spacing w:line="219" w:lineRule="auto"/>
              <w:ind w:left="21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技术</w:t>
            </w:r>
          </w:p>
          <w:p>
            <w:pPr>
              <w:pStyle w:val="TableText"/>
              <w:spacing w:before="103" w:line="221" w:lineRule="auto"/>
              <w:ind w:left="21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要求</w:t>
            </w:r>
          </w:p>
        </w:tc>
        <w:tc>
          <w:tcPr>
            <w:tcW w:w="2927" w:type="dxa"/>
            <w:vAlign w:val="top"/>
          </w:tcPr>
          <w:p>
            <w:pPr>
              <w:pStyle w:val="TableText"/>
              <w:spacing w:before="80" w:line="221" w:lineRule="auto"/>
              <w:ind w:left="10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计量的安全性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spacing w:before="98" w:line="221" w:lineRule="auto"/>
              <w:ind w:left="64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十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spacing w:before="107" w:line="221" w:lineRule="auto"/>
              <w:ind w:left="657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十</w:t>
            </w:r>
          </w:p>
        </w:tc>
        <w:tc>
          <w:tcPr>
            <w:tcW w:w="1603" w:type="dxa"/>
            <w:vAlign w:val="top"/>
          </w:tcPr>
          <w:p>
            <w:pPr>
              <w:pStyle w:val="TableText"/>
              <w:spacing w:before="98" w:line="221" w:lineRule="auto"/>
              <w:ind w:left="71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十</w:t>
            </w:r>
          </w:p>
        </w:tc>
      </w:tr>
      <w:tr>
        <w:tblPrEx>
          <w:tblW w:w="9149" w:type="dxa"/>
          <w:tblInd w:w="40" w:type="dxa"/>
          <w:tblLayout w:type="fixed"/>
        </w:tblPrEx>
        <w:trPr>
          <w:trHeight w:val="369"/>
        </w:trPr>
        <w:tc>
          <w:tcPr>
            <w:tcW w:w="84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27" w:type="dxa"/>
            <w:vAlign w:val="top"/>
          </w:tcPr>
          <w:p>
            <w:pPr>
              <w:pStyle w:val="TableText"/>
              <w:spacing w:before="91" w:line="221" w:lineRule="auto"/>
              <w:ind w:left="101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增砣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spacing w:before="109" w:line="221" w:lineRule="auto"/>
              <w:ind w:left="64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十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spacing w:before="188" w:line="41" w:lineRule="exact"/>
              <w:ind w:left="696"/>
              <w:rPr>
                <w:sz w:val="6"/>
                <w:szCs w:val="6"/>
              </w:rPr>
            </w:pPr>
            <w:r>
              <w:rPr>
                <w:color w:val="004DA5"/>
                <w:position w:val="-1"/>
                <w:sz w:val="6"/>
                <w:szCs w:val="6"/>
              </w:rPr>
              <w:t>—</w:t>
            </w:r>
          </w:p>
        </w:tc>
        <w:tc>
          <w:tcPr>
            <w:tcW w:w="16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49" w:type="dxa"/>
          <w:tblInd w:w="40" w:type="dxa"/>
          <w:tblLayout w:type="fixed"/>
        </w:tblPrEx>
        <w:trPr>
          <w:trHeight w:val="359"/>
        </w:trPr>
        <w:tc>
          <w:tcPr>
            <w:tcW w:w="84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27" w:type="dxa"/>
            <w:vAlign w:val="top"/>
          </w:tcPr>
          <w:p>
            <w:pPr>
              <w:pStyle w:val="TableText"/>
              <w:spacing w:before="81" w:line="220" w:lineRule="auto"/>
              <w:ind w:left="101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计量法制标志和计量器具标识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spacing w:before="100" w:line="221" w:lineRule="auto"/>
              <w:ind w:left="64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十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spacing w:before="109" w:line="221" w:lineRule="auto"/>
              <w:ind w:left="657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十</w:t>
            </w:r>
          </w:p>
        </w:tc>
        <w:tc>
          <w:tcPr>
            <w:tcW w:w="1603" w:type="dxa"/>
            <w:vAlign w:val="top"/>
          </w:tcPr>
          <w:p>
            <w:pPr>
              <w:pStyle w:val="TableText"/>
              <w:spacing w:before="100" w:line="221" w:lineRule="auto"/>
              <w:ind w:left="71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十</w:t>
            </w:r>
          </w:p>
        </w:tc>
      </w:tr>
      <w:tr>
        <w:tblPrEx>
          <w:tblW w:w="9149" w:type="dxa"/>
          <w:tblInd w:w="40" w:type="dxa"/>
          <w:tblLayout w:type="fixed"/>
        </w:tblPrEx>
        <w:trPr>
          <w:trHeight w:val="359"/>
        </w:trPr>
        <w:tc>
          <w:tcPr>
            <w:tcW w:w="844" w:type="dxa"/>
            <w:vAlign w:val="top"/>
          </w:tcPr>
          <w:p>
            <w:pPr>
              <w:pStyle w:val="TableText"/>
              <w:spacing w:before="133" w:line="183" w:lineRule="auto"/>
              <w:ind w:left="36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766" w:type="dxa"/>
            <w:gridSpan w:val="2"/>
            <w:vAlign w:val="top"/>
          </w:tcPr>
          <w:p>
            <w:pPr>
              <w:pStyle w:val="TableText"/>
              <w:spacing w:before="82" w:line="219" w:lineRule="auto"/>
              <w:ind w:left="167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零点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spacing w:before="101" w:line="221" w:lineRule="auto"/>
              <w:ind w:left="64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十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spacing w:before="110" w:line="221" w:lineRule="auto"/>
              <w:ind w:left="657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十</w:t>
            </w:r>
          </w:p>
        </w:tc>
        <w:tc>
          <w:tcPr>
            <w:tcW w:w="1603" w:type="dxa"/>
            <w:vAlign w:val="top"/>
          </w:tcPr>
          <w:p>
            <w:pPr>
              <w:pStyle w:val="TableText"/>
              <w:spacing w:before="180" w:line="41" w:lineRule="exact"/>
              <w:ind w:left="769"/>
              <w:rPr>
                <w:sz w:val="6"/>
                <w:szCs w:val="6"/>
              </w:rPr>
            </w:pPr>
            <w:r>
              <w:rPr>
                <w:position w:val="-1"/>
                <w:sz w:val="6"/>
                <w:szCs w:val="6"/>
              </w:rPr>
              <w:t>—</w:t>
            </w:r>
          </w:p>
        </w:tc>
      </w:tr>
      <w:tr>
        <w:tblPrEx>
          <w:tblW w:w="9149" w:type="dxa"/>
          <w:tblInd w:w="40" w:type="dxa"/>
          <w:tblLayout w:type="fixed"/>
        </w:tblPrEx>
        <w:trPr>
          <w:trHeight w:val="359"/>
        </w:trPr>
        <w:tc>
          <w:tcPr>
            <w:tcW w:w="844" w:type="dxa"/>
            <w:vAlign w:val="top"/>
          </w:tcPr>
          <w:p>
            <w:pPr>
              <w:pStyle w:val="TableText"/>
              <w:spacing w:before="134" w:line="183" w:lineRule="auto"/>
              <w:ind w:left="36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3766" w:type="dxa"/>
            <w:gridSpan w:val="2"/>
            <w:vAlign w:val="top"/>
          </w:tcPr>
          <w:p>
            <w:pPr>
              <w:pStyle w:val="TableText"/>
              <w:spacing w:before="85" w:line="221" w:lineRule="auto"/>
              <w:ind w:left="167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称量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spacing w:before="102" w:line="221" w:lineRule="auto"/>
              <w:ind w:left="64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十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spacing w:before="111" w:line="221" w:lineRule="auto"/>
              <w:ind w:left="657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十</w:t>
            </w:r>
          </w:p>
        </w:tc>
        <w:tc>
          <w:tcPr>
            <w:tcW w:w="1603" w:type="dxa"/>
            <w:vAlign w:val="top"/>
          </w:tcPr>
          <w:p>
            <w:pPr>
              <w:tabs>
                <w:tab w:val="left" w:pos="826"/>
              </w:tabs>
              <w:spacing w:line="227" w:lineRule="exact"/>
              <w:ind w:left="769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position w:val="-1"/>
                <w:sz w:val="21"/>
                <w:szCs w:val="21"/>
                <w:u w:val="single" w:color="auto"/>
              </w:rPr>
              <w:tab/>
            </w:r>
          </w:p>
        </w:tc>
      </w:tr>
    </w:tbl>
    <w:p>
      <w:pPr>
        <w:sectPr>
          <w:headerReference w:type="default" r:id="rId17"/>
          <w:footerReference w:type="default" r:id="rId18"/>
          <w:pgSz w:w="11670" w:h="16470"/>
          <w:pgMar w:top="1660" w:right="1154" w:bottom="775" w:left="1319" w:header="1349" w:footer="626" w:gutter="0"/>
          <w:pgNumType w:start="7"/>
          <w:cols w:space="708"/>
        </w:sectPr>
      </w:pPr>
    </w:p>
    <w:tbl>
      <w:tblPr>
        <w:tblStyle w:val="TableNormal3"/>
        <w:tblW w:w="9149" w:type="dxa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44"/>
        <w:gridCol w:w="3766"/>
        <w:gridCol w:w="1468"/>
        <w:gridCol w:w="1468"/>
        <w:gridCol w:w="1603"/>
      </w:tblGrid>
      <w:tr>
        <w:tblPrEx>
          <w:tblW w:w="9149" w:type="dxa"/>
          <w:tblInd w:w="4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69"/>
        </w:trPr>
        <w:tc>
          <w:tcPr>
            <w:tcW w:w="844" w:type="dxa"/>
            <w:vAlign w:val="top"/>
          </w:tcPr>
          <w:p>
            <w:pPr>
              <w:pStyle w:val="TableText"/>
              <w:spacing w:before="145" w:line="183" w:lineRule="auto"/>
              <w:ind w:left="36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3766" w:type="dxa"/>
            <w:vAlign w:val="top"/>
          </w:tcPr>
          <w:p>
            <w:pPr>
              <w:pStyle w:val="TableText"/>
              <w:spacing w:before="94" w:line="220" w:lineRule="auto"/>
              <w:ind w:left="157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重复性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spacing w:before="113" w:line="221" w:lineRule="auto"/>
              <w:ind w:left="64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十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spacing w:before="122" w:line="221" w:lineRule="auto"/>
              <w:ind w:left="657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十</w:t>
            </w:r>
          </w:p>
        </w:tc>
        <w:tc>
          <w:tcPr>
            <w:tcW w:w="1603" w:type="dxa"/>
            <w:vAlign w:val="top"/>
          </w:tcPr>
          <w:p>
            <w:pPr>
              <w:tabs>
                <w:tab w:val="left" w:pos="826"/>
              </w:tabs>
              <w:spacing w:line="238" w:lineRule="exact"/>
              <w:ind w:left="769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</w:tc>
      </w:tr>
      <w:tr>
        <w:tblPrEx>
          <w:tblW w:w="9149" w:type="dxa"/>
          <w:tblInd w:w="40" w:type="dxa"/>
          <w:tblLayout w:type="fixed"/>
        </w:tblPrEx>
        <w:trPr>
          <w:trHeight w:val="369"/>
        </w:trPr>
        <w:tc>
          <w:tcPr>
            <w:tcW w:w="844" w:type="dxa"/>
            <w:vAlign w:val="top"/>
          </w:tcPr>
          <w:p>
            <w:pPr>
              <w:pStyle w:val="TableText"/>
              <w:spacing w:before="147" w:line="182" w:lineRule="auto"/>
              <w:ind w:left="36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3766" w:type="dxa"/>
            <w:vAlign w:val="top"/>
          </w:tcPr>
          <w:p>
            <w:pPr>
              <w:pStyle w:val="TableText"/>
              <w:spacing w:before="95" w:line="219" w:lineRule="auto"/>
              <w:ind w:left="167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偏载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spacing w:before="114" w:line="221" w:lineRule="auto"/>
              <w:ind w:left="64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十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spacing w:before="123" w:line="221" w:lineRule="auto"/>
              <w:ind w:left="657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十</w:t>
            </w:r>
          </w:p>
        </w:tc>
        <w:tc>
          <w:tcPr>
            <w:tcW w:w="1603" w:type="dxa"/>
            <w:vAlign w:val="top"/>
          </w:tcPr>
          <w:p>
            <w:pPr>
              <w:tabs>
                <w:tab w:val="left" w:pos="826"/>
              </w:tabs>
              <w:spacing w:line="239" w:lineRule="exact"/>
              <w:ind w:left="769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</w:tc>
      </w:tr>
      <w:tr>
        <w:tblPrEx>
          <w:tblW w:w="9149" w:type="dxa"/>
          <w:tblInd w:w="40" w:type="dxa"/>
          <w:tblLayout w:type="fixed"/>
        </w:tblPrEx>
        <w:trPr>
          <w:trHeight w:val="349"/>
        </w:trPr>
        <w:tc>
          <w:tcPr>
            <w:tcW w:w="844" w:type="dxa"/>
            <w:vAlign w:val="top"/>
          </w:tcPr>
          <w:p>
            <w:pPr>
              <w:pStyle w:val="TableText"/>
              <w:spacing w:before="137" w:line="183" w:lineRule="auto"/>
              <w:ind w:left="36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3766" w:type="dxa"/>
            <w:vAlign w:val="top"/>
          </w:tcPr>
          <w:p>
            <w:pPr>
              <w:pStyle w:val="TableText"/>
              <w:spacing w:before="86" w:line="219" w:lineRule="auto"/>
              <w:ind w:left="1571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灵敏度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spacing w:before="105" w:line="221" w:lineRule="auto"/>
              <w:ind w:left="64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十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spacing w:before="114" w:line="221" w:lineRule="auto"/>
              <w:ind w:left="657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十</w:t>
            </w:r>
          </w:p>
        </w:tc>
        <w:tc>
          <w:tcPr>
            <w:tcW w:w="1603" w:type="dxa"/>
            <w:vAlign w:val="top"/>
          </w:tcPr>
          <w:p>
            <w:pPr>
              <w:pStyle w:val="TableText"/>
              <w:spacing w:before="184" w:line="41" w:lineRule="exact"/>
              <w:ind w:left="769"/>
              <w:rPr>
                <w:sz w:val="6"/>
                <w:szCs w:val="6"/>
              </w:rPr>
            </w:pPr>
            <w:r>
              <w:rPr>
                <w:position w:val="-1"/>
                <w:sz w:val="6"/>
                <w:szCs w:val="6"/>
              </w:rPr>
              <w:t>—</w:t>
            </w:r>
          </w:p>
        </w:tc>
      </w:tr>
      <w:tr>
        <w:tblPrEx>
          <w:tblW w:w="9149" w:type="dxa"/>
          <w:tblInd w:w="40" w:type="dxa"/>
          <w:tblLayout w:type="fixed"/>
        </w:tblPrEx>
        <w:trPr>
          <w:trHeight w:val="414"/>
        </w:trPr>
        <w:tc>
          <w:tcPr>
            <w:tcW w:w="9149" w:type="dxa"/>
            <w:gridSpan w:val="5"/>
            <w:vAlign w:val="top"/>
          </w:tcPr>
          <w:p>
            <w:pPr>
              <w:pStyle w:val="TableText"/>
              <w:spacing w:before="117" w:line="219" w:lineRule="auto"/>
              <w:ind w:left="534"/>
              <w:rPr>
                <w:sz w:val="20"/>
                <w:szCs w:val="20"/>
              </w:rPr>
            </w:pPr>
            <w:r>
              <w:rPr>
                <w:spacing w:val="-7"/>
                <w:sz w:val="20"/>
                <w:szCs w:val="20"/>
              </w:rPr>
              <w:t>注：十表示需要检定的项目；</w:t>
            </w:r>
            <w:r>
              <w:rPr>
                <w:spacing w:val="75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一表示不需要检定的项目。</w:t>
            </w:r>
          </w:p>
        </w:tc>
      </w:tr>
    </w:tbl>
    <w:p>
      <w:pPr>
        <w:pStyle w:val="BodyText"/>
        <w:spacing w:before="144" w:line="219" w:lineRule="auto"/>
        <w:ind w:left="29"/>
        <w:rPr>
          <w:sz w:val="23"/>
          <w:szCs w:val="23"/>
        </w:rPr>
      </w:pPr>
      <w:r>
        <w:rPr>
          <w:spacing w:val="5"/>
          <w:sz w:val="23"/>
          <w:szCs w:val="23"/>
        </w:rPr>
        <w:t>7.3  通用技术要求的检查</w:t>
      </w:r>
    </w:p>
    <w:p>
      <w:pPr>
        <w:pStyle w:val="BodyText"/>
        <w:spacing w:before="86" w:line="421" w:lineRule="exact"/>
        <w:ind w:right="17"/>
        <w:jc w:val="right"/>
        <w:rPr>
          <w:sz w:val="23"/>
          <w:szCs w:val="23"/>
        </w:rPr>
      </w:pPr>
      <w:r>
        <w:rPr>
          <w:spacing w:val="16"/>
          <w:position w:val="14"/>
          <w:sz w:val="23"/>
          <w:szCs w:val="23"/>
        </w:rPr>
        <w:t>对秤按照本规程6.1～6.3的要求进行检查，经检查符合要求后再进行其他项目的</w:t>
      </w:r>
    </w:p>
    <w:p>
      <w:pPr>
        <w:pStyle w:val="BodyText"/>
        <w:spacing w:line="219" w:lineRule="auto"/>
        <w:ind w:left="29"/>
        <w:rPr>
          <w:sz w:val="23"/>
          <w:szCs w:val="23"/>
        </w:rPr>
      </w:pPr>
      <w:r>
        <w:rPr>
          <w:spacing w:val="-10"/>
          <w:sz w:val="23"/>
          <w:szCs w:val="23"/>
        </w:rPr>
        <w:t>检定。</w:t>
      </w:r>
    </w:p>
    <w:p>
      <w:pPr>
        <w:spacing w:line="219" w:lineRule="auto"/>
        <w:rPr>
          <w:sz w:val="23"/>
          <w:szCs w:val="23"/>
        </w:rPr>
        <w:sectPr>
          <w:headerReference w:type="default" r:id="rId19"/>
          <w:footerReference w:type="default" r:id="rId20"/>
          <w:type w:val="nextPage"/>
          <w:pgSz w:w="11670" w:h="16470"/>
          <w:pgMar w:top="1660" w:right="1154" w:bottom="775" w:left="1319" w:header="1349" w:footer="626" w:gutter="0"/>
          <w:pgNumType w:start="8"/>
          <w:cols w:space="708"/>
          <w:titlePg w:val="0"/>
        </w:sectPr>
      </w:pPr>
    </w:p>
    <w:p>
      <w:pPr>
        <w:pStyle w:val="BodyText"/>
        <w:spacing w:before="219" w:line="219" w:lineRule="auto"/>
        <w:ind w:left="20"/>
      </w:pPr>
      <w:r>
        <w:rPr>
          <w:spacing w:val="-3"/>
        </w:rPr>
        <w:t>7.4</w:t>
      </w:r>
      <w:r>
        <w:rPr>
          <w:spacing w:val="108"/>
        </w:rPr>
        <w:t xml:space="preserve"> </w:t>
      </w:r>
      <w:r>
        <w:rPr>
          <w:spacing w:val="-3"/>
        </w:rPr>
        <w:t>计量性能检定</w:t>
      </w:r>
    </w:p>
    <w:p>
      <w:pPr>
        <w:pStyle w:val="BodyText"/>
        <w:spacing w:before="75" w:line="219" w:lineRule="auto"/>
        <w:ind w:left="20"/>
      </w:pPr>
      <w:r>
        <w:rPr>
          <w:spacing w:val="-3"/>
        </w:rPr>
        <w:t>7.4.1</w:t>
      </w:r>
      <w:r>
        <w:rPr>
          <w:spacing w:val="114"/>
        </w:rPr>
        <w:t xml:space="preserve"> </w:t>
      </w:r>
      <w:r>
        <w:rPr>
          <w:spacing w:val="-3"/>
        </w:rPr>
        <w:t>检定前的准备</w:t>
      </w:r>
    </w:p>
    <w:p>
      <w:pPr>
        <w:pStyle w:val="BodyText"/>
        <w:spacing w:before="58" w:line="212" w:lineRule="auto"/>
        <w:ind w:left="500"/>
      </w:pPr>
      <w:r>
        <w:rPr>
          <w:rFonts w:ascii="Times New Roman" w:eastAsia="Times New Roman" w:hAnsi="Times New Roman" w:cs="Times New Roman"/>
          <w:spacing w:val="-4"/>
        </w:rPr>
        <w:t xml:space="preserve">a)  </w:t>
      </w:r>
      <w:r>
        <w:rPr>
          <w:spacing w:val="-4"/>
        </w:rPr>
        <w:t>预加载荷一次到接近最大秤量；</w:t>
      </w:r>
    </w:p>
    <w:p>
      <w:pPr>
        <w:pStyle w:val="BodyText"/>
        <w:spacing w:before="84" w:line="360" w:lineRule="exact"/>
        <w:ind w:left="500"/>
      </w:pPr>
      <w:r>
        <w:rPr>
          <w:rFonts w:ascii="Times New Roman" w:eastAsia="Times New Roman" w:hAnsi="Times New Roman" w:cs="Times New Roman"/>
          <w:spacing w:val="-1"/>
          <w:position w:val="9"/>
        </w:rPr>
        <w:t xml:space="preserve">b)  </w:t>
      </w:r>
      <w:r>
        <w:rPr>
          <w:spacing w:val="-1"/>
          <w:position w:val="9"/>
        </w:rPr>
        <w:t>易倾斜的秤，应将秤调整到水平位置，并加以锁定；</w:t>
      </w:r>
    </w:p>
    <w:p>
      <w:pPr>
        <w:pStyle w:val="BodyText"/>
        <w:spacing w:line="212" w:lineRule="auto"/>
        <w:ind w:left="500"/>
      </w:pPr>
      <w:r>
        <w:rPr>
          <w:rFonts w:ascii="Times New Roman" w:eastAsia="Times New Roman" w:hAnsi="Times New Roman" w:cs="Times New Roman"/>
          <w:spacing w:val="-2"/>
        </w:rPr>
        <w:t xml:space="preserve">c)  </w:t>
      </w:r>
      <w:r>
        <w:rPr>
          <w:spacing w:val="-2"/>
        </w:rPr>
        <w:t>移动式的秤，应在平板或平台上进行检定；</w:t>
      </w:r>
    </w:p>
    <w:p>
      <w:pPr>
        <w:pStyle w:val="BodyText"/>
        <w:spacing w:before="85" w:line="258" w:lineRule="auto"/>
        <w:ind w:left="20" w:right="77" w:firstLine="479"/>
      </w:pPr>
      <w:r>
        <w:rPr>
          <w:rFonts w:ascii="Times New Roman" w:eastAsia="Times New Roman" w:hAnsi="Times New Roman" w:cs="Times New Roman"/>
          <w:spacing w:val="4"/>
        </w:rPr>
        <w:t xml:space="preserve">d)  </w:t>
      </w:r>
      <w:r>
        <w:rPr>
          <w:spacing w:val="4"/>
        </w:rPr>
        <w:t>四轮移动的秤，检定前先将秤推移一定的距离，然后安放在平板或平台上，使</w:t>
      </w:r>
      <w:r>
        <w:rPr>
          <w:spacing w:val="9"/>
        </w:rPr>
        <w:t xml:space="preserve"> </w:t>
      </w:r>
      <w:r>
        <w:rPr>
          <w:spacing w:val="-4"/>
        </w:rPr>
        <w:t>四轮全部着实，承载器、连接件应正常接触。</w:t>
      </w:r>
    </w:p>
    <w:p>
      <w:pPr>
        <w:pStyle w:val="BodyText"/>
        <w:spacing w:before="85" w:line="219" w:lineRule="auto"/>
        <w:ind w:left="20"/>
      </w:pPr>
      <w:r>
        <w:rPr>
          <w:spacing w:val="-2"/>
        </w:rPr>
        <w:t>7.4.2  每项检定前，应有必要的恢复时间。</w:t>
      </w:r>
    </w:p>
    <w:p>
      <w:pPr>
        <w:pStyle w:val="BodyText"/>
        <w:spacing w:before="75" w:line="219" w:lineRule="auto"/>
        <w:ind w:left="20"/>
      </w:pPr>
      <w:r>
        <w:rPr>
          <w:spacing w:val="1"/>
        </w:rPr>
        <w:t>7.4.3  零点</w:t>
      </w:r>
    </w:p>
    <w:p>
      <w:pPr>
        <w:pStyle w:val="BodyText"/>
        <w:spacing w:before="74" w:line="219" w:lineRule="auto"/>
        <w:ind w:left="20"/>
      </w:pPr>
      <w:hyperlink r:id="rId21" w:history="1">
        <w:r>
          <w:t>7.4.3.1</w:t>
        </w:r>
      </w:hyperlink>
      <w:r>
        <w:t xml:space="preserve">  将游砣置于标尺零点刻线的位置，用平衡螺母</w:t>
      </w:r>
      <w:r>
        <w:rPr>
          <w:spacing w:val="-1"/>
        </w:rPr>
        <w:t>调整计量杠杆至平衡状态。</w:t>
      </w:r>
    </w:p>
    <w:p>
      <w:pPr>
        <w:pStyle w:val="BodyText"/>
        <w:spacing w:before="77" w:line="219" w:lineRule="auto"/>
        <w:ind w:left="20"/>
      </w:pPr>
      <w:hyperlink r:id="rId22" w:history="1">
        <w:r>
          <w:t>7.4.3.2</w:t>
        </w:r>
      </w:hyperlink>
      <w:r>
        <w:rPr>
          <w:spacing w:val="105"/>
        </w:rPr>
        <w:t xml:space="preserve"> </w:t>
      </w:r>
      <w:r>
        <w:t>计量杠杆平衡状态的确定</w:t>
      </w:r>
    </w:p>
    <w:p>
      <w:pPr>
        <w:pStyle w:val="BodyText"/>
        <w:spacing w:before="73" w:line="243" w:lineRule="auto"/>
        <w:ind w:left="20" w:right="89" w:firstLine="479"/>
      </w:pPr>
      <w:r>
        <w:t>计量杠杆在示准器内作上下均匀摆动，其摆幅在第一周期</w:t>
      </w:r>
      <w:r>
        <w:rPr>
          <w:spacing w:val="-1"/>
        </w:rPr>
        <w:t>内距示准器上下边缘的距</w:t>
      </w:r>
      <w:r>
        <w:t xml:space="preserve"> </w:t>
      </w:r>
      <w:r>
        <w:rPr>
          <w:spacing w:val="1"/>
        </w:rPr>
        <w:t xml:space="preserve">离不大于1 </w:t>
      </w:r>
      <w:r>
        <w:rPr>
          <w:rFonts w:ascii="Times New Roman" w:eastAsia="Times New Roman" w:hAnsi="Times New Roman" w:cs="Times New Roman"/>
        </w:rPr>
        <w:t>mm</w:t>
      </w:r>
      <w:r>
        <w:rPr>
          <w:rFonts w:ascii="Times New Roman" w:eastAsia="Times New Roman" w:hAnsi="Times New Roman" w:cs="Times New Roman"/>
          <w:spacing w:val="1"/>
        </w:rPr>
        <w:t xml:space="preserve">,   </w:t>
      </w:r>
      <w:r>
        <w:rPr>
          <w:spacing w:val="1"/>
        </w:rPr>
        <w:t>此时，计量杠杆即处于平衡状态。</w:t>
      </w:r>
    </w:p>
    <w:p>
      <w:pPr>
        <w:pStyle w:val="BodyText"/>
        <w:spacing w:before="70" w:line="219" w:lineRule="auto"/>
        <w:ind w:left="20"/>
      </w:pPr>
      <w:hyperlink r:id="rId23" w:history="1">
        <w:r>
          <w:rPr>
            <w:spacing w:val="3"/>
          </w:rPr>
          <w:t>7.4.3.3</w:t>
        </w:r>
      </w:hyperlink>
      <w:r>
        <w:rPr>
          <w:spacing w:val="3"/>
        </w:rPr>
        <w:t xml:space="preserve">  对具有增砣的秤，将计量杠杆的力点端横向推拉至示准器的任一</w:t>
      </w:r>
      <w:r>
        <w:rPr>
          <w:spacing w:val="2"/>
        </w:rPr>
        <w:t>边，计量杠</w:t>
      </w:r>
    </w:p>
    <w:p>
      <w:pPr>
        <w:pStyle w:val="BodyText"/>
        <w:spacing w:before="106" w:line="219" w:lineRule="auto"/>
        <w:ind w:left="20"/>
      </w:pPr>
      <w:r>
        <w:rPr>
          <w:spacing w:val="3"/>
        </w:rPr>
        <w:t>杆应能自动地回到原来的位置或偏离示准器中线不大于5</w:t>
      </w:r>
      <w:r>
        <w:t>mm</w:t>
      </w:r>
      <w:r>
        <w:rPr>
          <w:spacing w:val="114"/>
        </w:rPr>
        <w:t xml:space="preserve"> </w:t>
      </w:r>
      <w:r>
        <w:rPr>
          <w:spacing w:val="3"/>
        </w:rPr>
        <w:t>的位置。</w:t>
      </w:r>
    </w:p>
    <w:p>
      <w:pPr>
        <w:pStyle w:val="BodyText"/>
        <w:spacing w:before="54" w:line="263" w:lineRule="auto"/>
        <w:ind w:left="20"/>
        <w:jc w:val="both"/>
      </w:pPr>
      <w:hyperlink r:id="rId24" w:history="1">
        <w:r>
          <w:rPr>
            <w:spacing w:val="4"/>
          </w:rPr>
          <w:t>7.4.3.4</w:t>
        </w:r>
      </w:hyperlink>
      <w:r>
        <w:rPr>
          <w:spacing w:val="4"/>
        </w:rPr>
        <w:t xml:space="preserve">  将计量杠杆的支、重、力点刀子分别</w:t>
      </w:r>
      <w:r>
        <w:rPr>
          <w:spacing w:val="3"/>
        </w:rPr>
        <w:t>沿其刀承的纵向平移至一极限位置，使</w:t>
      </w:r>
      <w:r>
        <w:t xml:space="preserve"> </w:t>
      </w:r>
      <w:r>
        <w:rPr>
          <w:spacing w:val="5"/>
        </w:rPr>
        <w:t>刀子的减磨件与刀承紧密接触，然后再移至另一极限位置(如图1所示)。每次移动后，</w:t>
      </w:r>
      <w:r>
        <w:rPr>
          <w:spacing w:val="3"/>
        </w:rPr>
        <w:t xml:space="preserve"> </w:t>
      </w:r>
      <w:r>
        <w:rPr>
          <w:spacing w:val="-3"/>
        </w:rPr>
        <w:t>计量杠杆仍能恢复到平衡状态。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1" w:line="3550" w:lineRule="exact"/>
        <w:ind w:firstLine="1420"/>
      </w:pPr>
      <w:r>
        <w:rPr>
          <w:position w:val="-71"/>
        </w:rPr>
        <w:drawing>
          <wp:inline distT="0" distB="0" distL="0" distR="0">
            <wp:extent cx="4044993" cy="2254318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044993" cy="2254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38" w:lineRule="auto"/>
        <w:rPr>
          <w:rFonts w:ascii="Arial"/>
          <w:sz w:val="21"/>
        </w:rPr>
      </w:pPr>
    </w:p>
    <w:p>
      <w:pPr>
        <w:pStyle w:val="BodyText"/>
        <w:spacing w:before="69" w:line="351" w:lineRule="exact"/>
        <w:ind w:left="3400"/>
        <w:rPr>
          <w:sz w:val="21"/>
          <w:szCs w:val="21"/>
        </w:rPr>
      </w:pPr>
      <w:r>
        <w:rPr>
          <w:spacing w:val="-5"/>
          <w:position w:val="10"/>
          <w:sz w:val="21"/>
          <w:szCs w:val="21"/>
        </w:rPr>
        <w:t>图 1</w:t>
      </w:r>
      <w:r>
        <w:rPr>
          <w:spacing w:val="102"/>
          <w:position w:val="10"/>
          <w:sz w:val="21"/>
          <w:szCs w:val="21"/>
        </w:rPr>
        <w:t xml:space="preserve"> </w:t>
      </w:r>
      <w:r>
        <w:rPr>
          <w:spacing w:val="-5"/>
          <w:position w:val="10"/>
          <w:sz w:val="21"/>
          <w:szCs w:val="21"/>
        </w:rPr>
        <w:t>刀子纵向平移示意图</w:t>
      </w:r>
    </w:p>
    <w:p>
      <w:pPr>
        <w:pStyle w:val="BodyText"/>
        <w:spacing w:line="220" w:lineRule="auto"/>
        <w:ind w:left="500"/>
      </w:pPr>
      <w:r>
        <w:rPr>
          <w:spacing w:val="-3"/>
        </w:rPr>
        <w:t>对不具有增砣的秤，只移动重点刀和支点刀。</w:t>
      </w: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https://d.book118.com/628076024025006025</w:t>
        </w:r>
      </w:hyperlink>
    </w:p>
    <w:p>
      <w:pPr>
        <w:pStyle w:val="BodyText"/>
        <w:spacing w:line="220" w:lineRule="auto"/>
        <w:ind w:left="500"/>
      </w:pPr>
    </w:p>
    <w:sectPr>
      <w:headerReference w:type="default" r:id="rId27"/>
      <w:footerReference w:type="default" r:id="rId28"/>
      <w:pgSz w:w="11670" w:h="16470"/>
      <w:pgMar w:top="1590" w:right="1370" w:bottom="861" w:left="1079" w:header="1299" w:footer="703" w:gutter="0"/>
      <w:pgNumType w:start="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8879"/>
      <w:rPr>
        <w:sz w:val="16"/>
        <w:szCs w:val="16"/>
      </w:rPr>
    </w:pPr>
    <w:r>
      <w:rPr>
        <w:sz w:val="16"/>
        <w:szCs w:val="16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8879"/>
      <w:rPr>
        <w:sz w:val="16"/>
        <w:szCs w:val="16"/>
      </w:rPr>
    </w:pPr>
    <w:r>
      <w:rPr>
        <w:sz w:val="16"/>
        <w:szCs w:val="16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154"/>
      <w:rPr>
        <w:sz w:val="16"/>
        <w:szCs w:val="16"/>
      </w:rPr>
    </w:pPr>
    <w:r>
      <w:rPr>
        <w:sz w:val="16"/>
        <w:szCs w:val="16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154"/>
      <w:rPr>
        <w:sz w:val="16"/>
        <w:szCs w:val="16"/>
      </w:rPr>
    </w:pPr>
    <w:r>
      <w:rPr>
        <w:sz w:val="16"/>
        <w:szCs w:val="16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8849"/>
      <w:rPr>
        <w:sz w:val="16"/>
        <w:szCs w:val="16"/>
      </w:rPr>
    </w:pPr>
    <w:r>
      <w:rPr>
        <w:sz w:val="16"/>
        <w:szCs w:val="16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8849"/>
      <w:rPr>
        <w:sz w:val="16"/>
        <w:szCs w:val="16"/>
      </w:rPr>
    </w:pPr>
    <w:r>
      <w:rPr>
        <w:sz w:val="16"/>
        <w:szCs w:val="16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189"/>
      <w:rPr>
        <w:sz w:val="15"/>
        <w:szCs w:val="15"/>
      </w:rPr>
    </w:pPr>
    <w:r>
      <w:rPr>
        <w:sz w:val="15"/>
        <w:szCs w:val="15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189"/>
      <w:rPr>
        <w:sz w:val="15"/>
        <w:szCs w:val="15"/>
      </w:rPr>
    </w:pPr>
    <w:r>
      <w:rPr>
        <w:sz w:val="15"/>
        <w:szCs w:val="15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8920"/>
      <w:rPr>
        <w:sz w:val="16"/>
        <w:szCs w:val="16"/>
      </w:rPr>
    </w:pPr>
    <w:r>
      <w:rPr>
        <w:sz w:val="16"/>
        <w:szCs w:val="16"/>
      </w:rPr>
      <w:t>5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000"/>
      <w:rPr>
        <w:sz w:val="20"/>
        <w:szCs w:val="20"/>
      </w:rPr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730225</wp:posOffset>
          </wp:positionH>
          <wp:positionV relativeFrom="page">
            <wp:posOffset>1022312</wp:posOffset>
          </wp:positionV>
          <wp:extent cx="5835656" cy="6379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35656" cy="63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3"/>
        <w:sz w:val="20"/>
        <w:szCs w:val="20"/>
      </w:rPr>
      <w:t>JJG</w:t>
    </w:r>
    <w:r>
      <w:rPr>
        <w:spacing w:val="69"/>
        <w:sz w:val="20"/>
        <w:szCs w:val="20"/>
      </w:rPr>
      <w:t xml:space="preserve"> </w:t>
    </w:r>
    <w:r>
      <w:rPr>
        <w:spacing w:val="-3"/>
        <w:sz w:val="20"/>
        <w:szCs w:val="20"/>
      </w:rPr>
      <w:t>14—2016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000"/>
      <w:rPr>
        <w:sz w:val="20"/>
        <w:szCs w:val="20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730225</wp:posOffset>
          </wp:positionH>
          <wp:positionV relativeFrom="page">
            <wp:posOffset>1022312</wp:posOffset>
          </wp:positionV>
          <wp:extent cx="5835656" cy="6379"/>
          <wp:effectExtent l="0" t="0" r="0" b="0"/>
          <wp:wrapNone/>
          <wp:docPr id="1927236933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27236933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35656" cy="63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3"/>
        <w:sz w:val="20"/>
        <w:szCs w:val="20"/>
      </w:rPr>
      <w:t>JJG</w:t>
    </w:r>
    <w:r>
      <w:rPr>
        <w:spacing w:val="69"/>
        <w:sz w:val="20"/>
        <w:szCs w:val="20"/>
      </w:rPr>
      <w:t xml:space="preserve"> </w:t>
    </w:r>
    <w:r>
      <w:rPr>
        <w:spacing w:val="-3"/>
        <w:sz w:val="20"/>
        <w:szCs w:val="20"/>
      </w:rPr>
      <w:t>14—2016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984"/>
      <w:rPr>
        <w:sz w:val="23"/>
        <w:szCs w:val="23"/>
      </w:rPr>
    </w:pPr>
    <w:r>
      <w:rPr>
        <w:spacing w:val="-14"/>
        <w:sz w:val="23"/>
        <w:szCs w:val="23"/>
      </w:rPr>
      <w:t>JJG</w:t>
    </w:r>
    <w:r>
      <w:rPr>
        <w:spacing w:val="19"/>
        <w:sz w:val="23"/>
        <w:szCs w:val="23"/>
      </w:rPr>
      <w:t xml:space="preserve"> </w:t>
    </w:r>
    <w:r>
      <w:rPr>
        <w:spacing w:val="-14"/>
        <w:sz w:val="23"/>
        <w:szCs w:val="23"/>
      </w:rPr>
      <w:t>14—2016</w:t>
    </w:r>
  </w:p>
  <w:p>
    <w:pPr>
      <w:spacing w:before="58" w:line="10" w:lineRule="exact"/>
      <w:ind w:firstLine="24"/>
    </w:pPr>
    <w:r>
      <w:drawing>
        <wp:inline distT="0" distB="0" distL="0" distR="0">
          <wp:extent cx="5829297" cy="6404"/>
          <wp:effectExtent l="0" t="0" r="0" b="0"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29297" cy="640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984"/>
      <w:rPr>
        <w:sz w:val="23"/>
        <w:szCs w:val="23"/>
      </w:rPr>
    </w:pPr>
    <w:r>
      <w:rPr>
        <w:spacing w:val="-14"/>
        <w:sz w:val="23"/>
        <w:szCs w:val="23"/>
      </w:rPr>
      <w:t>JJG</w:t>
    </w:r>
    <w:r>
      <w:rPr>
        <w:spacing w:val="19"/>
        <w:sz w:val="23"/>
        <w:szCs w:val="23"/>
      </w:rPr>
      <w:t xml:space="preserve"> </w:t>
    </w:r>
    <w:r>
      <w:rPr>
        <w:spacing w:val="-14"/>
        <w:sz w:val="23"/>
        <w:szCs w:val="23"/>
      </w:rPr>
      <w:t>14—2016</w:t>
    </w:r>
  </w:p>
  <w:p>
    <w:pPr>
      <w:spacing w:before="58" w:line="10" w:lineRule="exact"/>
      <w:ind w:firstLine="24"/>
    </w:pPr>
    <w:r>
      <w:drawing>
        <wp:inline distT="0" distB="0" distL="0" distR="0">
          <wp:extent cx="5829297" cy="6404"/>
          <wp:effectExtent l="0" t="0" r="0" b="0"/>
          <wp:docPr id="1808704172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8704172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29297" cy="640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013"/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749270</wp:posOffset>
          </wp:positionH>
          <wp:positionV relativeFrom="page">
            <wp:posOffset>1016038</wp:posOffset>
          </wp:positionV>
          <wp:extent cx="5829356" cy="12654"/>
          <wp:effectExtent l="0" t="0" r="0" b="0"/>
          <wp:wrapNone/>
          <wp:docPr id="8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29356" cy="1265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22"/>
      </w:rPr>
      <w:t>JJG</w:t>
    </w:r>
    <w:r>
      <w:rPr>
        <w:spacing w:val="14"/>
      </w:rPr>
      <w:t xml:space="preserve"> </w:t>
    </w:r>
    <w:r>
      <w:rPr>
        <w:b/>
        <w:bCs/>
        <w:spacing w:val="-22"/>
      </w:rPr>
      <w:t>14—2016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013"/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749270</wp:posOffset>
          </wp:positionH>
          <wp:positionV relativeFrom="page">
            <wp:posOffset>1016038</wp:posOffset>
          </wp:positionV>
          <wp:extent cx="5829356" cy="12654"/>
          <wp:effectExtent l="0" t="0" r="0" b="0"/>
          <wp:wrapNone/>
          <wp:docPr id="991049136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91049136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29356" cy="1265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22"/>
      </w:rPr>
      <w:t>JJG</w:t>
    </w:r>
    <w:r>
      <w:rPr>
        <w:spacing w:val="14"/>
      </w:rPr>
      <w:t xml:space="preserve"> </w:t>
    </w:r>
    <w:r>
      <w:rPr>
        <w:b/>
        <w:bCs/>
        <w:spacing w:val="-22"/>
      </w:rPr>
      <w:t>14—2016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983"/>
      <w:rPr>
        <w:sz w:val="23"/>
        <w:szCs w:val="23"/>
      </w:rPr>
    </w:pPr>
    <w:r>
      <w:rPr>
        <w:b/>
        <w:bCs/>
        <w:spacing w:val="-17"/>
        <w:sz w:val="23"/>
        <w:szCs w:val="23"/>
      </w:rPr>
      <w:t>JJG</w:t>
    </w:r>
    <w:r>
      <w:rPr>
        <w:spacing w:val="20"/>
        <w:sz w:val="23"/>
        <w:szCs w:val="23"/>
      </w:rPr>
      <w:t xml:space="preserve"> </w:t>
    </w:r>
    <w:r>
      <w:rPr>
        <w:b/>
        <w:bCs/>
        <w:spacing w:val="-17"/>
        <w:sz w:val="23"/>
        <w:szCs w:val="23"/>
      </w:rPr>
      <w:t>14—2016</w:t>
    </w:r>
  </w:p>
  <w:p>
    <w:pPr>
      <w:spacing w:before="61" w:line="10" w:lineRule="exact"/>
    </w:pPr>
    <w:r>
      <w:drawing>
        <wp:inline distT="0" distB="0" distL="0" distR="0">
          <wp:extent cx="5835655" cy="6408"/>
          <wp:effectExtent l="0" t="0" r="0" b="0"/>
          <wp:docPr id="10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35655" cy="640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983"/>
      <w:rPr>
        <w:sz w:val="23"/>
        <w:szCs w:val="23"/>
      </w:rPr>
    </w:pPr>
    <w:r>
      <w:rPr>
        <w:b/>
        <w:bCs/>
        <w:spacing w:val="-17"/>
        <w:sz w:val="23"/>
        <w:szCs w:val="23"/>
      </w:rPr>
      <w:t>JJG</w:t>
    </w:r>
    <w:r>
      <w:rPr>
        <w:spacing w:val="20"/>
        <w:sz w:val="23"/>
        <w:szCs w:val="23"/>
      </w:rPr>
      <w:t xml:space="preserve"> </w:t>
    </w:r>
    <w:r>
      <w:rPr>
        <w:b/>
        <w:bCs/>
        <w:spacing w:val="-17"/>
        <w:sz w:val="23"/>
        <w:szCs w:val="23"/>
      </w:rPr>
      <w:t>14—2016</w:t>
    </w:r>
  </w:p>
  <w:p>
    <w:pPr>
      <w:spacing w:before="61" w:line="10" w:lineRule="exact"/>
    </w:pPr>
    <w:r>
      <w:drawing>
        <wp:inline distT="0" distB="0" distL="0" distR="0">
          <wp:extent cx="5835655" cy="6408"/>
          <wp:effectExtent l="0" t="0" r="0" b="0"/>
          <wp:docPr id="109883275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883275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35655" cy="640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970"/>
      <w:rPr>
        <w:sz w:val="21"/>
        <w:szCs w:val="21"/>
      </w:rPr>
    </w:pPr>
    <w:r>
      <w:rPr>
        <w:spacing w:val="-4"/>
        <w:sz w:val="21"/>
        <w:szCs w:val="21"/>
      </w:rPr>
      <w:t>JJG</w:t>
    </w:r>
    <w:r>
      <w:rPr>
        <w:spacing w:val="31"/>
        <w:sz w:val="21"/>
        <w:szCs w:val="21"/>
      </w:rPr>
      <w:t xml:space="preserve"> </w:t>
    </w:r>
    <w:r>
      <w:rPr>
        <w:spacing w:val="-4"/>
        <w:sz w:val="21"/>
        <w:szCs w:val="21"/>
      </w:rPr>
      <w:t>14—2016</w:t>
    </w:r>
  </w:p>
  <w:p>
    <w:pPr>
      <w:spacing w:before="61" w:line="10" w:lineRule="exact"/>
    </w:pPr>
    <w:r>
      <w:drawing>
        <wp:inline distT="0" distB="0" distL="0" distR="0">
          <wp:extent cx="5829355" cy="6408"/>
          <wp:effectExtent l="0" t="0" r="0" b="0"/>
          <wp:docPr id="12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 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29355" cy="640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4"/>
      <w:szCs w:val="24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header" Target="header8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yperlink" Target="7.4.3.1" TargetMode="External" /><Relationship Id="rId22" Type="http://schemas.openxmlformats.org/officeDocument/2006/relationships/hyperlink" Target="7.4.3.2" TargetMode="External" /><Relationship Id="rId23" Type="http://schemas.openxmlformats.org/officeDocument/2006/relationships/hyperlink" Target="7.4.3.3" TargetMode="External" /><Relationship Id="rId24" Type="http://schemas.openxmlformats.org/officeDocument/2006/relationships/hyperlink" Target="7.4.3.4" TargetMode="External" /><Relationship Id="rId25" Type="http://schemas.openxmlformats.org/officeDocument/2006/relationships/image" Target="media/image5.jpeg" /><Relationship Id="rId26" Type="http://schemas.openxmlformats.org/officeDocument/2006/relationships/hyperlink" Target="https://d.book118.com/628076024025006025" TargetMode="External" /><Relationship Id="rId27" Type="http://schemas.openxmlformats.org/officeDocument/2006/relationships/header" Target="header9.xml" /><Relationship Id="rId28" Type="http://schemas.openxmlformats.org/officeDocument/2006/relationships/footer" Target="footer9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image" Target="media/image2.png" /><Relationship Id="rId9" Type="http://schemas.openxmlformats.org/officeDocument/2006/relationships/header" Target="head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2024-01-10T22:22:11Z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2024-01-10T22:22:13Z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659ea80e72a3fa001f1d2848wl</vt:lpwstr>
  </property>
</Properties>
</file>