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86" w:lineRule="auto"/>
        <w:rPr>
          <w:rFonts w:ascii="Arial"/>
          <w:sz w:val="21"/>
        </w:rPr>
      </w:pPr>
    </w:p>
    <w:p>
      <w:pPr>
        <w:spacing w:before="101" w:line="226" w:lineRule="auto"/>
        <w:ind w:left="28"/>
        <w:outlineLvl w:val="0"/>
        <w:rPr>
          <w:rFonts w:ascii="SimHei" w:eastAsia="SimHei" w:hAnsi="SimHei" w:cs="SimHei"/>
          <w:sz w:val="31"/>
          <w:szCs w:val="31"/>
        </w:rPr>
      </w:pPr>
      <w:r>
        <w:rPr>
          <w:rFonts w:ascii="SimHei" w:eastAsia="SimHei" w:hAnsi="SimHei" w:cs="SimHei"/>
          <w:spacing w:val="2"/>
          <w:sz w:val="31"/>
          <w:szCs w:val="31"/>
          <w14:textOutline w14:w="5793" w14:cap="sq">
            <w14:solidFill>
              <w14:srgbClr w14:val="000000"/>
            </w14:solidFill>
            <w14:prstDash w14:val="solid"/>
            <w14:bevel/>
          </w14:textOutline>
        </w:rPr>
        <w:t>1.</w:t>
      </w:r>
      <w:r>
        <w:rPr>
          <w:rFonts w:ascii="SimHei" w:eastAsia="SimHei" w:hAnsi="SimHei" w:cs="SimHei"/>
          <w:spacing w:val="-43"/>
          <w:sz w:val="31"/>
          <w:szCs w:val="31"/>
        </w:rPr>
        <w:t xml:space="preserve"> </w:t>
      </w:r>
      <w:r>
        <w:rPr>
          <w:rFonts w:ascii="SimHei" w:eastAsia="SimHei" w:hAnsi="SimHei" w:cs="SimHei"/>
          <w:spacing w:val="2"/>
          <w:sz w:val="31"/>
          <w:szCs w:val="31"/>
          <w14:textOutline w14:w="5793" w14:cap="sq">
            <w14:solidFill>
              <w14:srgbClr w14:val="000000"/>
            </w14:solidFill>
            <w14:prstDash w14:val="solid"/>
            <w14:bevel/>
          </w14:textOutline>
        </w:rPr>
        <w:t>项目背景</w:t>
      </w:r>
    </w:p>
    <w:p>
      <w:pPr>
        <w:spacing w:line="466" w:lineRule="auto"/>
        <w:rPr>
          <w:rFonts w:ascii="Arial"/>
          <w:sz w:val="21"/>
        </w:rPr>
      </w:pPr>
    </w:p>
    <w:p>
      <w:pPr>
        <w:spacing w:before="98" w:line="221" w:lineRule="auto"/>
        <w:ind w:left="26"/>
        <w:outlineLvl w:val="1"/>
        <w:rPr>
          <w:rFonts w:ascii="SimHei" w:eastAsia="SimHei" w:hAnsi="SimHei" w:cs="SimHei"/>
          <w:sz w:val="30"/>
          <w:szCs w:val="30"/>
        </w:rPr>
      </w:pPr>
      <w:r>
        <w:rPr>
          <w:rFonts w:ascii="SimHei" w:eastAsia="SimHei" w:hAnsi="SimHei" w:cs="SimHei"/>
          <w:spacing w:val="-4"/>
          <w:sz w:val="30"/>
          <w:szCs w:val="30"/>
          <w14:textOutline w14:w="5448" w14:cap="sq">
            <w14:solidFill>
              <w14:srgbClr w14:val="000000"/>
            </w14:solidFill>
            <w14:prstDash w14:val="solid"/>
            <w14:bevel/>
          </w14:textOutline>
        </w:rPr>
        <w:t>1.1.</w:t>
      </w:r>
      <w:r>
        <w:rPr>
          <w:rFonts w:ascii="SimHei" w:eastAsia="SimHei" w:hAnsi="SimHei" w:cs="SimHei"/>
          <w:spacing w:val="96"/>
          <w:sz w:val="30"/>
          <w:szCs w:val="30"/>
        </w:rPr>
        <w:t xml:space="preserve"> </w:t>
      </w:r>
      <w:r>
        <w:rPr>
          <w:rFonts w:ascii="SimHei" w:eastAsia="SimHei" w:hAnsi="SimHei" w:cs="SimHei"/>
          <w:spacing w:val="-4"/>
          <w:sz w:val="30"/>
          <w:szCs w:val="30"/>
          <w14:textOutline w14:w="5448" w14:cap="sq">
            <w14:solidFill>
              <w14:srgbClr w14:val="000000"/>
            </w14:solidFill>
            <w14:prstDash w14:val="solid"/>
            <w14:bevel/>
          </w14:textOutline>
        </w:rPr>
        <w:t>任务由来</w:t>
      </w:r>
    </w:p>
    <w:p>
      <w:pPr>
        <w:spacing w:line="388" w:lineRule="auto"/>
        <w:rPr>
          <w:rFonts w:ascii="Arial"/>
          <w:sz w:val="21"/>
        </w:rPr>
      </w:pPr>
    </w:p>
    <w:p>
      <w:pPr>
        <w:pStyle w:val="BodyText"/>
        <w:spacing w:before="91" w:line="359" w:lineRule="auto"/>
        <w:ind w:left="37" w:firstLine="572"/>
        <w:jc w:val="both"/>
      </w:pPr>
      <w:r>
        <w:rPr>
          <w:spacing w:val="-12"/>
        </w:rPr>
        <w:t>根据《广西环境科学学会2024</w:t>
      </w:r>
      <w:r>
        <w:rPr>
          <w:spacing w:val="-12"/>
        </w:rPr>
        <w:t xml:space="preserve"> </w:t>
      </w:r>
      <w:r>
        <w:rPr>
          <w:spacing w:val="-12"/>
        </w:rPr>
        <w:t>年第一批团体标准制修订项目计划》</w:t>
      </w:r>
      <w:r>
        <w:rPr>
          <w:spacing w:val="4"/>
        </w:rPr>
        <w:t xml:space="preserve"> </w:t>
      </w:r>
      <w:r>
        <w:rPr>
          <w:spacing w:val="-7"/>
        </w:rPr>
        <w:t>的通知。广西壮族自治区生态环境监测中心（以下简称“</w:t>
      </w:r>
      <w:r>
        <w:rPr>
          <w:spacing w:val="60"/>
        </w:rPr>
        <w:t xml:space="preserve"> </w:t>
      </w:r>
      <w:r>
        <w:rPr>
          <w:spacing w:val="-7"/>
        </w:rPr>
        <w:t>自治</w:t>
      </w:r>
      <w:r>
        <w:rPr>
          <w:spacing w:val="-8"/>
        </w:rPr>
        <w:t>区生态</w:t>
      </w:r>
      <w:r>
        <w:t xml:space="preserve"> </w:t>
      </w:r>
      <w:r>
        <w:rPr>
          <w:spacing w:val="-6"/>
        </w:rPr>
        <w:t>环境监测</w:t>
      </w:r>
      <w:r>
        <w:rPr>
          <w:spacing w:val="44"/>
        </w:rPr>
        <w:t xml:space="preserve"> </w:t>
      </w:r>
      <w:r>
        <w:rPr>
          <w:spacing w:val="-6"/>
        </w:rPr>
        <w:t>中心”</w:t>
      </w:r>
      <w:r>
        <w:rPr>
          <w:spacing w:val="-6"/>
        </w:rPr>
        <w:t xml:space="preserve"> </w:t>
      </w:r>
      <w:r>
        <w:rPr>
          <w:spacing w:val="-6"/>
        </w:rPr>
        <w:t>）、</w:t>
      </w:r>
      <w:r>
        <w:rPr>
          <w:spacing w:val="-6"/>
        </w:rPr>
        <w:t xml:space="preserve"> </w:t>
      </w:r>
      <w:r>
        <w:rPr>
          <w:spacing w:val="-6"/>
        </w:rPr>
        <w:t>广西有色勘察设计研</w:t>
      </w:r>
      <w:r>
        <w:rPr>
          <w:spacing w:val="-7"/>
        </w:rPr>
        <w:t>究院、广西壮族自治区地</w:t>
      </w:r>
      <w:r>
        <w:t xml:space="preserve"> </w:t>
      </w:r>
      <w:r>
        <w:rPr>
          <w:spacing w:val="-9"/>
        </w:rPr>
        <w:t>质调查院共同承担广西地方团体标准《地下水型集中式饮用水水</w:t>
      </w:r>
      <w:r>
        <w:rPr>
          <w:spacing w:val="-10"/>
        </w:rPr>
        <w:t>源地下</w:t>
      </w:r>
    </w:p>
    <w:p>
      <w:pPr>
        <w:pStyle w:val="BodyText"/>
        <w:spacing w:before="1" w:line="222" w:lineRule="auto"/>
        <w:ind w:left="36"/>
      </w:pPr>
      <w:r>
        <w:rPr>
          <w:spacing w:val="-12"/>
        </w:rPr>
        <w:t>水环境监测现状调查技术规范》起草。</w:t>
      </w:r>
    </w:p>
    <w:p>
      <w:pPr>
        <w:spacing w:line="370" w:lineRule="auto"/>
        <w:rPr>
          <w:rFonts w:ascii="Arial"/>
          <w:sz w:val="21"/>
        </w:rPr>
      </w:pPr>
    </w:p>
    <w:p>
      <w:pPr>
        <w:spacing w:before="98" w:line="222" w:lineRule="auto"/>
        <w:ind w:left="26"/>
        <w:outlineLvl w:val="1"/>
        <w:rPr>
          <w:rFonts w:ascii="SimHei" w:eastAsia="SimHei" w:hAnsi="SimHei" w:cs="SimHei"/>
          <w:sz w:val="30"/>
          <w:szCs w:val="30"/>
        </w:rPr>
      </w:pPr>
      <w:r>
        <w:rPr>
          <w:rFonts w:ascii="SimHei" w:eastAsia="SimHei" w:hAnsi="SimHei" w:cs="SimHei"/>
          <w:spacing w:val="-5"/>
          <w:sz w:val="30"/>
          <w:szCs w:val="30"/>
          <w14:textOutline w14:w="5448" w14:cap="sq">
            <w14:solidFill>
              <w14:srgbClr w14:val="000000"/>
            </w14:solidFill>
            <w14:prstDash w14:val="solid"/>
            <w14:bevel/>
          </w14:textOutline>
        </w:rPr>
        <w:t>1.2.</w:t>
      </w:r>
      <w:r>
        <w:rPr>
          <w:rFonts w:ascii="SimHei" w:eastAsia="SimHei" w:hAnsi="SimHei" w:cs="SimHei"/>
          <w:spacing w:val="104"/>
          <w:sz w:val="30"/>
          <w:szCs w:val="30"/>
        </w:rPr>
        <w:t xml:space="preserve"> </w:t>
      </w:r>
      <w:r>
        <w:rPr>
          <w:rFonts w:ascii="SimHei" w:eastAsia="SimHei" w:hAnsi="SimHei" w:cs="SimHei"/>
          <w:spacing w:val="-5"/>
          <w:sz w:val="30"/>
          <w:szCs w:val="30"/>
          <w14:textOutline w14:w="5448" w14:cap="sq">
            <w14:solidFill>
              <w14:srgbClr w14:val="000000"/>
            </w14:solidFill>
            <w14:prstDash w14:val="solid"/>
            <w14:bevel/>
          </w14:textOutline>
        </w:rPr>
        <w:t>工作过程</w:t>
      </w:r>
    </w:p>
    <w:p>
      <w:pPr>
        <w:spacing w:line="385" w:lineRule="auto"/>
        <w:rPr>
          <w:rFonts w:ascii="Arial"/>
          <w:sz w:val="21"/>
        </w:rPr>
      </w:pPr>
    </w:p>
    <w:p>
      <w:pPr>
        <w:spacing w:before="91" w:line="222" w:lineRule="auto"/>
        <w:ind w:left="24"/>
        <w:outlineLvl w:val="2"/>
        <w:rPr>
          <w:rFonts w:ascii="SimHei" w:eastAsia="SimHei" w:hAnsi="SimHei" w:cs="SimHei"/>
          <w:sz w:val="28"/>
          <w:szCs w:val="28"/>
        </w:rPr>
      </w:pPr>
      <w:r>
        <w:rPr>
          <w:rFonts w:ascii="SimHei" w:eastAsia="SimHei" w:hAnsi="SimHei" w:cs="SimHei"/>
          <w:spacing w:val="-1"/>
          <w:sz w:val="28"/>
          <w:szCs w:val="28"/>
          <w14:textOutline w14:w="5103" w14:cap="sq">
            <w14:solidFill>
              <w14:srgbClr w14:val="000000"/>
            </w14:solidFill>
            <w14:prstDash w14:val="solid"/>
            <w14:bevel/>
          </w14:textOutline>
        </w:rPr>
        <w:t>1.2.1.</w:t>
      </w:r>
      <w:r>
        <w:rPr>
          <w:rFonts w:ascii="SimHei" w:eastAsia="SimHei" w:hAnsi="SimHei" w:cs="SimHei"/>
          <w:spacing w:val="-1"/>
          <w:sz w:val="28"/>
          <w:szCs w:val="28"/>
        </w:rPr>
        <w:t xml:space="preserve">   </w:t>
      </w:r>
      <w:r>
        <w:rPr>
          <w:rFonts w:ascii="SimHei" w:eastAsia="SimHei" w:hAnsi="SimHei" w:cs="SimHei"/>
          <w:spacing w:val="-1"/>
          <w:sz w:val="28"/>
          <w:szCs w:val="28"/>
          <w14:textOutline w14:w="5103" w14:cap="sq">
            <w14:solidFill>
              <w14:srgbClr w14:val="000000"/>
            </w14:solidFill>
            <w14:prstDash w14:val="solid"/>
            <w14:bevel/>
          </w14:textOutline>
        </w:rPr>
        <w:t>成立标准编制小组</w:t>
      </w:r>
    </w:p>
    <w:p>
      <w:pPr>
        <w:pStyle w:val="BodyText"/>
        <w:spacing w:before="300" w:line="544" w:lineRule="exact"/>
        <w:ind w:right="44"/>
        <w:jc w:val="right"/>
      </w:pPr>
      <w:r>
        <w:rPr>
          <w:spacing w:val="-6"/>
          <w:position w:val="19"/>
        </w:rPr>
        <w:t>2023</w:t>
      </w:r>
      <w:r>
        <w:rPr>
          <w:spacing w:val="-6"/>
          <w:position w:val="19"/>
        </w:rPr>
        <w:t xml:space="preserve"> </w:t>
      </w:r>
      <w:r>
        <w:rPr>
          <w:spacing w:val="-6"/>
          <w:position w:val="19"/>
        </w:rPr>
        <w:t>年11月，</w:t>
      </w:r>
      <w:r>
        <w:rPr>
          <w:spacing w:val="-73"/>
          <w:position w:val="19"/>
        </w:rPr>
        <w:t xml:space="preserve"> </w:t>
      </w:r>
      <w:r>
        <w:rPr>
          <w:spacing w:val="-6"/>
          <w:position w:val="19"/>
        </w:rPr>
        <w:t>自治区生态环境监测</w:t>
      </w:r>
      <w:r>
        <w:rPr>
          <w:spacing w:val="-7"/>
          <w:position w:val="19"/>
        </w:rPr>
        <w:t>中心成立了标准编制小组，并</w:t>
      </w:r>
    </w:p>
    <w:p>
      <w:pPr>
        <w:pStyle w:val="BodyText"/>
        <w:spacing w:before="1" w:line="221" w:lineRule="auto"/>
        <w:ind w:left="43"/>
      </w:pPr>
      <w:r>
        <w:rPr>
          <w:spacing w:val="-13"/>
        </w:rPr>
        <w:t>召开标准编制启动会进行任务分解。</w:t>
      </w:r>
    </w:p>
    <w:p>
      <w:pPr>
        <w:spacing w:before="209" w:line="222" w:lineRule="auto"/>
        <w:ind w:left="24"/>
        <w:outlineLvl w:val="2"/>
        <w:rPr>
          <w:rFonts w:ascii="SimHei" w:eastAsia="SimHei" w:hAnsi="SimHei" w:cs="SimHei"/>
          <w:sz w:val="28"/>
          <w:szCs w:val="28"/>
        </w:rPr>
      </w:pPr>
      <w:r>
        <w:rPr>
          <w:rFonts w:ascii="SimHei" w:eastAsia="SimHei" w:hAnsi="SimHei" w:cs="SimHei"/>
          <w:spacing w:val="-1"/>
          <w:sz w:val="28"/>
          <w:szCs w:val="28"/>
          <w14:textOutline w14:w="5103" w14:cap="sq">
            <w14:solidFill>
              <w14:srgbClr w14:val="000000"/>
            </w14:solidFill>
            <w14:prstDash w14:val="solid"/>
            <w14:bevel/>
          </w14:textOutline>
        </w:rPr>
        <w:t>1.2.2.</w:t>
      </w:r>
      <w:r>
        <w:rPr>
          <w:rFonts w:ascii="SimHei" w:eastAsia="SimHei" w:hAnsi="SimHei" w:cs="SimHei"/>
          <w:spacing w:val="-1"/>
          <w:sz w:val="28"/>
          <w:szCs w:val="28"/>
        </w:rPr>
        <w:t xml:space="preserve">   </w:t>
      </w:r>
      <w:r>
        <w:rPr>
          <w:rFonts w:ascii="SimHei" w:eastAsia="SimHei" w:hAnsi="SimHei" w:cs="SimHei"/>
          <w:spacing w:val="-1"/>
          <w:sz w:val="28"/>
          <w:szCs w:val="28"/>
          <w14:textOutline w14:w="5103" w14:cap="sq">
            <w14:solidFill>
              <w14:srgbClr w14:val="000000"/>
            </w14:solidFill>
            <w14:prstDash w14:val="solid"/>
            <w14:bevel/>
          </w14:textOutline>
        </w:rPr>
        <w:t>查询国内外相关标准和文献资料</w:t>
      </w:r>
    </w:p>
    <w:p>
      <w:pPr>
        <w:pStyle w:val="BodyText"/>
        <w:spacing w:before="301" w:line="359" w:lineRule="auto"/>
        <w:ind w:left="36" w:right="62" w:firstLine="566"/>
      </w:pPr>
      <w:r>
        <w:rPr>
          <w:spacing w:val="3"/>
        </w:rPr>
        <w:t>2023年11-12月标准编制小组根据《地方标准管理办法》（1990</w:t>
      </w:r>
      <w:r>
        <w:rPr>
          <w:spacing w:val="18"/>
        </w:rPr>
        <w:t xml:space="preserve"> </w:t>
      </w:r>
      <w:r>
        <w:rPr>
          <w:spacing w:val="-9"/>
        </w:rPr>
        <w:t>年9月6日国家技术监督局第15号令发布）和国家环保标准修订工作管理</w:t>
      </w:r>
      <w:r>
        <w:rPr>
          <w:spacing w:val="5"/>
        </w:rPr>
        <w:t xml:space="preserve"> </w:t>
      </w:r>
      <w:r>
        <w:rPr>
          <w:spacing w:val="-9"/>
        </w:rPr>
        <w:t>办法的相关规定，在前期工作的基础上，进一</w:t>
      </w:r>
      <w:r>
        <w:rPr>
          <w:spacing w:val="-10"/>
        </w:rPr>
        <w:t>步扩大相关法规、规范、</w:t>
      </w:r>
      <w:r>
        <w:t xml:space="preserve"> </w:t>
      </w:r>
      <w:r>
        <w:rPr>
          <w:spacing w:val="-9"/>
        </w:rPr>
        <w:t>标准和文献资料范围，了解掌握国内外水源地</w:t>
      </w:r>
      <w:r>
        <w:rPr>
          <w:spacing w:val="-10"/>
        </w:rPr>
        <w:t>周边土壤环境监测相关情</w:t>
      </w:r>
    </w:p>
    <w:p>
      <w:pPr>
        <w:pStyle w:val="BodyText"/>
        <w:spacing w:line="222" w:lineRule="auto"/>
        <w:ind w:left="38"/>
      </w:pPr>
      <w:r>
        <w:rPr>
          <w:spacing w:val="-12"/>
        </w:rPr>
        <w:t>况，同时结合广西的实际情况，确定本指南的重点方向和编制思路。</w:t>
      </w:r>
    </w:p>
    <w:p>
      <w:pPr>
        <w:spacing w:before="207" w:line="214" w:lineRule="auto"/>
        <w:ind w:left="24"/>
        <w:outlineLvl w:val="2"/>
        <w:rPr>
          <w:rFonts w:ascii="SimHei" w:eastAsia="SimHei" w:hAnsi="SimHei" w:cs="SimHei"/>
          <w:sz w:val="28"/>
          <w:szCs w:val="28"/>
        </w:rPr>
        <w:sectPr>
          <w:footerReference w:type="default" r:id="rId4"/>
          <w:pgSz w:w="11906" w:h="16840"/>
          <w:pgMar w:top="1431" w:right="1628" w:bottom="1316" w:left="1785" w:header="0" w:footer="1147" w:gutter="0"/>
          <w:cols w:space="708"/>
        </w:sectPr>
      </w:pPr>
      <w:r>
        <w:rPr>
          <w:rFonts w:ascii="SimHei" w:eastAsia="SimHei" w:hAnsi="SimHei" w:cs="SimHei"/>
          <w:spacing w:val="-1"/>
          <w:sz w:val="28"/>
          <w:szCs w:val="28"/>
          <w14:textOutline w14:w="5103" w14:cap="sq">
            <w14:solidFill>
              <w14:srgbClr w14:val="000000"/>
            </w14:solidFill>
            <w14:prstDash w14:val="solid"/>
            <w14:bevel/>
          </w14:textOutline>
        </w:rPr>
        <w:t>1.2.3.</w:t>
      </w:r>
      <w:r>
        <w:rPr>
          <w:rFonts w:ascii="SimHei" w:eastAsia="SimHei" w:hAnsi="SimHei" w:cs="SimHei"/>
          <w:spacing w:val="-1"/>
          <w:sz w:val="28"/>
          <w:szCs w:val="28"/>
        </w:rPr>
        <w:t xml:space="preserve">   </w:t>
      </w:r>
      <w:r>
        <w:rPr>
          <w:rFonts w:ascii="SimHei" w:eastAsia="SimHei" w:hAnsi="SimHei" w:cs="SimHei"/>
          <w:spacing w:val="-1"/>
          <w:sz w:val="28"/>
          <w:szCs w:val="28"/>
          <w14:textOutline w14:w="5103" w14:cap="sq">
            <w14:solidFill>
              <w14:srgbClr w14:val="000000"/>
            </w14:solidFill>
            <w14:prstDash w14:val="solid"/>
            <w14:bevel/>
          </w14:textOutline>
        </w:rPr>
        <w:t>确定标准制订技术路线，制订原则</w:t>
      </w:r>
    </w:p>
    <w:p>
      <w:pPr>
        <w:pStyle w:val="BodyText"/>
        <w:spacing w:before="313" w:line="358" w:lineRule="auto"/>
        <w:ind w:left="45" w:right="62" w:firstLine="557"/>
      </w:pPr>
      <w:r>
        <w:rPr>
          <w:spacing w:val="-7"/>
        </w:rPr>
        <w:t>2023</w:t>
      </w:r>
      <w:r>
        <w:rPr>
          <w:spacing w:val="-7"/>
        </w:rPr>
        <w:t xml:space="preserve"> </w:t>
      </w:r>
      <w:r>
        <w:rPr>
          <w:spacing w:val="-7"/>
        </w:rPr>
        <w:t>年11月，</w:t>
      </w:r>
      <w:r>
        <w:rPr>
          <w:spacing w:val="-72"/>
        </w:rPr>
        <w:t xml:space="preserve"> </w:t>
      </w:r>
      <w:r>
        <w:rPr>
          <w:spacing w:val="-7"/>
        </w:rPr>
        <w:t>自治区生态环境监测中心成立了标准编制小组，编</w:t>
      </w:r>
      <w:r>
        <w:t xml:space="preserve"> </w:t>
      </w:r>
      <w:r>
        <w:rPr>
          <w:spacing w:val="-12"/>
        </w:rPr>
        <w:t>写项目任务计划，确定了本标准的具体内容、原则、技术路线等内容，</w:t>
      </w:r>
    </w:p>
    <w:p>
      <w:pPr>
        <w:pStyle w:val="BodyText"/>
        <w:spacing w:before="2" w:line="220" w:lineRule="auto"/>
        <w:ind w:left="52"/>
      </w:pPr>
      <w:r>
        <w:rPr>
          <w:spacing w:val="-10"/>
        </w:rPr>
        <w:t>收集相关资料，查阅文献，筛选、整理、汇总相关资料和文献，本规范</w:t>
      </w:r>
    </w:p>
    <w:p>
      <w:pPr>
        <w:spacing w:line="220" w:lineRule="auto"/>
        <w:sectPr>
          <w:footerReference w:type="default" r:id="rId5"/>
          <w:type w:val="nextPage"/>
          <w:pgSz w:w="11906" w:h="16840"/>
          <w:pgMar w:top="1431" w:right="1628" w:bottom="1316" w:left="1785" w:header="0" w:footer="1147" w:gutter="0"/>
          <w:pgNumType w:start="2"/>
          <w:cols w:space="708"/>
          <w:titlePg w:val="0"/>
        </w:sectPr>
      </w:pPr>
    </w:p>
    <w:p>
      <w:pPr>
        <w:pStyle w:val="BodyText"/>
        <w:spacing w:before="57" w:line="542" w:lineRule="exact"/>
        <w:ind w:left="36"/>
      </w:pPr>
      <w:r>
        <w:rPr>
          <w:spacing w:val="-9"/>
          <w:position w:val="19"/>
        </w:rPr>
        <w:t>适用于广西壮族自治区境内的地下水型集中式饮用水水源地下水环</w:t>
      </w:r>
      <w:r>
        <w:rPr>
          <w:spacing w:val="-10"/>
          <w:position w:val="19"/>
        </w:rPr>
        <w:t>境监</w:t>
      </w:r>
    </w:p>
    <w:p>
      <w:pPr>
        <w:pStyle w:val="BodyText"/>
        <w:spacing w:before="1" w:line="220" w:lineRule="auto"/>
        <w:ind w:left="37"/>
      </w:pPr>
      <w:r>
        <w:rPr>
          <w:spacing w:val="-12"/>
        </w:rPr>
        <w:t>测现状调查工作，包括城镇水源和农村水源。</w:t>
      </w:r>
    </w:p>
    <w:p>
      <w:pPr>
        <w:spacing w:before="209" w:line="222" w:lineRule="auto"/>
        <w:ind w:left="24"/>
        <w:outlineLvl w:val="2"/>
        <w:rPr>
          <w:rFonts w:ascii="SimHei" w:eastAsia="SimHei" w:hAnsi="SimHei" w:cs="SimHei"/>
          <w:sz w:val="28"/>
          <w:szCs w:val="28"/>
        </w:rPr>
      </w:pPr>
      <w:r>
        <w:rPr>
          <w:rFonts w:ascii="SimHei" w:eastAsia="SimHei" w:hAnsi="SimHei" w:cs="SimHei"/>
          <w:spacing w:val="-1"/>
          <w:sz w:val="28"/>
          <w:szCs w:val="28"/>
          <w14:textOutline w14:w="5103" w14:cap="sq">
            <w14:solidFill>
              <w14:srgbClr w14:val="000000"/>
            </w14:solidFill>
            <w14:prstDash w14:val="solid"/>
            <w14:bevel/>
          </w14:textOutline>
        </w:rPr>
        <w:t>1.2.4.</w:t>
      </w:r>
      <w:r>
        <w:rPr>
          <w:rFonts w:ascii="SimHei" w:eastAsia="SimHei" w:hAnsi="SimHei" w:cs="SimHei"/>
          <w:spacing w:val="-1"/>
          <w:sz w:val="28"/>
          <w:szCs w:val="28"/>
        </w:rPr>
        <w:t xml:space="preserve">   </w:t>
      </w:r>
      <w:r>
        <w:rPr>
          <w:rFonts w:ascii="SimHei" w:eastAsia="SimHei" w:hAnsi="SimHei" w:cs="SimHei"/>
          <w:spacing w:val="-1"/>
          <w:sz w:val="28"/>
          <w:szCs w:val="28"/>
          <w14:textOutline w14:w="5103" w14:cap="sq">
            <w14:solidFill>
              <w14:srgbClr w14:val="000000"/>
            </w14:solidFill>
            <w14:prstDash w14:val="solid"/>
            <w14:bevel/>
          </w14:textOutline>
        </w:rPr>
        <w:t>编写标准草稿和编制说明草稿</w:t>
      </w:r>
    </w:p>
    <w:p>
      <w:pPr>
        <w:pStyle w:val="BodyText"/>
        <w:spacing w:before="300" w:line="359" w:lineRule="auto"/>
        <w:ind w:left="40" w:right="142" w:firstLine="562"/>
      </w:pPr>
      <w:r>
        <w:rPr>
          <w:spacing w:val="-8"/>
        </w:rPr>
        <w:t>2023年11月，本规范编制组经对2020年～2022年</w:t>
      </w:r>
      <w:r>
        <w:rPr>
          <w:spacing w:val="-9"/>
        </w:rPr>
        <w:t>“双源”调查监测</w:t>
      </w:r>
      <w:r>
        <w:t xml:space="preserve"> </w:t>
      </w:r>
      <w:r>
        <w:rPr>
          <w:spacing w:val="-10"/>
        </w:rPr>
        <w:t>井基础信息进行了汇总，对监测点基础信息核查并建立现场核查档案，</w:t>
      </w:r>
      <w:r>
        <w:rPr>
          <w:spacing w:val="16"/>
        </w:rPr>
        <w:t xml:space="preserve"> </w:t>
      </w:r>
      <w:r>
        <w:rPr>
          <w:spacing w:val="-10"/>
        </w:rPr>
        <w:t>并对饮用水水源地下水环境监测现状调查进行归纳总结，然后编制《地</w:t>
      </w:r>
    </w:p>
    <w:p>
      <w:pPr>
        <w:pStyle w:val="BodyText"/>
        <w:spacing w:line="222" w:lineRule="auto"/>
        <w:jc w:val="right"/>
      </w:pPr>
      <w:r>
        <w:rPr>
          <w:spacing w:val="-14"/>
        </w:rPr>
        <w:t>下水型集中式饮用水水源地下水环境监测现状调查技术规范》（草稿）。</w:t>
      </w:r>
    </w:p>
    <w:p>
      <w:pPr>
        <w:spacing w:before="207" w:line="222" w:lineRule="auto"/>
        <w:ind w:left="24"/>
        <w:outlineLvl w:val="2"/>
        <w:rPr>
          <w:rFonts w:ascii="SimHei" w:eastAsia="SimHei" w:hAnsi="SimHei" w:cs="SimHei"/>
          <w:sz w:val="28"/>
          <w:szCs w:val="28"/>
        </w:rPr>
      </w:pPr>
      <w:r>
        <w:rPr>
          <w:rFonts w:ascii="SimHei" w:eastAsia="SimHei" w:hAnsi="SimHei" w:cs="SimHei"/>
          <w:spacing w:val="-1"/>
          <w:sz w:val="28"/>
          <w:szCs w:val="28"/>
          <w14:textOutline w14:w="5103" w14:cap="sq">
            <w14:solidFill>
              <w14:srgbClr w14:val="000000"/>
            </w14:solidFill>
            <w14:prstDash w14:val="solid"/>
            <w14:bevel/>
          </w14:textOutline>
        </w:rPr>
        <w:t>1.2.5.</w:t>
      </w:r>
      <w:r>
        <w:rPr>
          <w:rFonts w:ascii="SimHei" w:eastAsia="SimHei" w:hAnsi="SimHei" w:cs="SimHei"/>
          <w:spacing w:val="-1"/>
          <w:sz w:val="28"/>
          <w:szCs w:val="28"/>
        </w:rPr>
        <w:t xml:space="preserve">   </w:t>
      </w:r>
      <w:r>
        <w:rPr>
          <w:rFonts w:ascii="SimHei" w:eastAsia="SimHei" w:hAnsi="SimHei" w:cs="SimHei"/>
          <w:spacing w:val="-1"/>
          <w:sz w:val="28"/>
          <w:szCs w:val="28"/>
          <w14:textOutline w14:w="5103" w14:cap="sq">
            <w14:solidFill>
              <w14:srgbClr w14:val="000000"/>
            </w14:solidFill>
            <w14:prstDash w14:val="solid"/>
            <w14:bevel/>
          </w14:textOutline>
        </w:rPr>
        <w:t>编写标准征求意见稿和编制说明</w:t>
      </w:r>
    </w:p>
    <w:p>
      <w:pPr>
        <w:pStyle w:val="BodyText"/>
        <w:spacing w:before="301" w:line="359" w:lineRule="auto"/>
        <w:ind w:left="73" w:right="142" w:firstLine="529"/>
        <w:jc w:val="both"/>
      </w:pPr>
      <w:r>
        <w:rPr>
          <w:spacing w:val="-9"/>
        </w:rPr>
        <w:t>2023年12月，经过内部审核和修改完善，编制完</w:t>
      </w:r>
      <w:r>
        <w:rPr>
          <w:spacing w:val="-10"/>
        </w:rPr>
        <w:t>成了《地下水型集</w:t>
      </w:r>
      <w:r>
        <w:t xml:space="preserve"> </w:t>
      </w:r>
      <w:r>
        <w:rPr>
          <w:spacing w:val="-11"/>
        </w:rPr>
        <w:t>中式饮用水水源地下水环境监测现状调查技术规范》（征求意见稿）及</w:t>
      </w:r>
    </w:p>
    <w:p>
      <w:pPr>
        <w:pStyle w:val="BodyText"/>
        <w:spacing w:before="1" w:line="220" w:lineRule="auto"/>
        <w:ind w:left="39"/>
      </w:pPr>
      <w:r>
        <w:rPr>
          <w:spacing w:val="-12"/>
        </w:rPr>
        <w:t>编制说明，并对文本和编制说明进行修改。</w:t>
      </w:r>
    </w:p>
    <w:p>
      <w:pPr>
        <w:spacing w:line="452" w:lineRule="auto"/>
        <w:rPr>
          <w:rFonts w:ascii="Arial"/>
          <w:sz w:val="21"/>
        </w:rPr>
      </w:pPr>
    </w:p>
    <w:p>
      <w:pPr>
        <w:spacing w:before="101" w:line="228" w:lineRule="auto"/>
        <w:ind w:left="9"/>
        <w:outlineLvl w:val="0"/>
        <w:rPr>
          <w:rFonts w:ascii="SimHei" w:eastAsia="SimHei" w:hAnsi="SimHei" w:cs="SimHei"/>
          <w:sz w:val="31"/>
          <w:szCs w:val="31"/>
        </w:rPr>
      </w:pPr>
      <w:r>
        <w:rPr>
          <w:rFonts w:ascii="SimHei" w:eastAsia="SimHei" w:hAnsi="SimHei" w:cs="SimHei"/>
          <w:spacing w:val="8"/>
          <w:sz w:val="31"/>
          <w:szCs w:val="31"/>
          <w14:textOutline w14:w="5793" w14:cap="sq">
            <w14:solidFill>
              <w14:srgbClr w14:val="000000"/>
            </w14:solidFill>
            <w14:prstDash w14:val="solid"/>
            <w14:bevel/>
          </w14:textOutline>
        </w:rPr>
        <w:t>2.</w:t>
      </w:r>
      <w:r>
        <w:rPr>
          <w:rFonts w:ascii="SimHei" w:eastAsia="SimHei" w:hAnsi="SimHei" w:cs="SimHei"/>
          <w:spacing w:val="-49"/>
          <w:sz w:val="31"/>
          <w:szCs w:val="31"/>
        </w:rPr>
        <w:t xml:space="preserve"> </w:t>
      </w:r>
      <w:r>
        <w:rPr>
          <w:rFonts w:ascii="SimHei" w:eastAsia="SimHei" w:hAnsi="SimHei" w:cs="SimHei"/>
          <w:spacing w:val="8"/>
          <w:sz w:val="31"/>
          <w:szCs w:val="31"/>
          <w14:textOutline w14:w="5793" w14:cap="sq">
            <w14:solidFill>
              <w14:srgbClr w14:val="000000"/>
            </w14:solidFill>
            <w14:prstDash w14:val="solid"/>
            <w14:bevel/>
          </w14:textOutline>
        </w:rPr>
        <w:t>标准制订的必要性</w:t>
      </w:r>
    </w:p>
    <w:p>
      <w:pPr>
        <w:spacing w:line="469" w:lineRule="auto"/>
        <w:rPr>
          <w:rFonts w:ascii="Arial"/>
          <w:sz w:val="21"/>
        </w:rPr>
      </w:pPr>
    </w:p>
    <w:p>
      <w:pPr>
        <w:pStyle w:val="BodyText"/>
        <w:spacing w:before="92" w:line="359" w:lineRule="auto"/>
        <w:ind w:left="36" w:right="142" w:firstLine="573"/>
        <w:jc w:val="both"/>
      </w:pPr>
      <w:r>
        <w:rPr>
          <w:spacing w:val="-5"/>
        </w:rPr>
        <w:t>根据《生态环境监测规划纲要（2020-2035年）》和《地下水污染</w:t>
      </w:r>
      <w:r>
        <w:t xml:space="preserve"> </w:t>
      </w:r>
      <w:r>
        <w:rPr>
          <w:spacing w:val="-10"/>
        </w:rPr>
        <w:t>防治实施方案》、《广西地下水污染防治“十四五”规划》要求，为深</w:t>
      </w:r>
      <w:r>
        <w:rPr>
          <w:spacing w:val="18"/>
        </w:rPr>
        <w:t xml:space="preserve"> </w:t>
      </w:r>
      <w:r>
        <w:rPr>
          <w:spacing w:val="-9"/>
        </w:rPr>
        <w:t>化地下水生态环境保护工作，全面掌握地下水</w:t>
      </w:r>
      <w:r>
        <w:rPr>
          <w:spacing w:val="-10"/>
        </w:rPr>
        <w:t>型集中式饮用水水源地下</w:t>
      </w:r>
      <w:r>
        <w:t xml:space="preserve"> </w:t>
      </w:r>
      <w:r>
        <w:rPr>
          <w:spacing w:val="-9"/>
        </w:rPr>
        <w:t>水环境监测现状，需建立一个广西的地下水型</w:t>
      </w:r>
      <w:r>
        <w:rPr>
          <w:spacing w:val="-10"/>
        </w:rPr>
        <w:t>集中式饮用水水源地下水</w:t>
      </w:r>
      <w:r>
        <w:t xml:space="preserve"> </w:t>
      </w:r>
      <w:r>
        <w:rPr>
          <w:spacing w:val="-9"/>
        </w:rPr>
        <w:t>环境监测现状调查技术规范，建立完善的信息</w:t>
      </w:r>
      <w:r>
        <w:rPr>
          <w:spacing w:val="-10"/>
        </w:rPr>
        <w:t>清单，推进广西地下水环</w:t>
      </w:r>
    </w:p>
    <w:p>
      <w:pPr>
        <w:pStyle w:val="BodyText"/>
        <w:spacing w:before="1" w:line="220" w:lineRule="auto"/>
        <w:ind w:left="40"/>
      </w:pPr>
      <w:r>
        <w:rPr>
          <w:spacing w:val="-12"/>
        </w:rPr>
        <w:t>境监测网络建设工作。</w:t>
      </w:r>
    </w:p>
    <w:p>
      <w:pPr>
        <w:pStyle w:val="BodyText"/>
        <w:spacing w:before="303" w:line="359" w:lineRule="auto"/>
        <w:ind w:left="36" w:right="142" w:firstLine="573"/>
        <w:jc w:val="both"/>
        <w:sectPr>
          <w:footerReference w:type="default" r:id="rId6"/>
          <w:pgSz w:w="11906" w:h="16840"/>
          <w:pgMar w:top="1415" w:right="1549" w:bottom="1316" w:left="1785" w:header="0" w:footer="1147" w:gutter="0"/>
          <w:pgNumType w:start="3"/>
          <w:cols w:space="708"/>
        </w:sectPr>
      </w:pPr>
      <w:r>
        <w:rPr>
          <w:spacing w:val="-11"/>
        </w:rPr>
        <w:t>根据《中华人民共和国环境保护法》、《中华人民共和国水污染防</w:t>
      </w:r>
      <w:r>
        <w:rPr>
          <w:spacing w:val="16"/>
        </w:rPr>
        <w:t xml:space="preserve"> </w:t>
      </w:r>
      <w:r>
        <w:rPr>
          <w:spacing w:val="-6"/>
        </w:rPr>
        <w:t>治法》及相关法律法规和标准，结合广西壮族自治区2022年污染企业(</w:t>
      </w:r>
      <w:r>
        <w:rPr>
          <w:spacing w:val="8"/>
        </w:rPr>
        <w:t xml:space="preserve"> </w:t>
      </w:r>
      <w:r>
        <w:rPr>
          <w:spacing w:val="-9"/>
        </w:rPr>
        <w:t>区域）地下水水质试点监测项目相关成果，编</w:t>
      </w:r>
      <w:r>
        <w:rPr>
          <w:spacing w:val="-10"/>
        </w:rPr>
        <w:t>制本次《地下水型集中式</w:t>
      </w:r>
      <w:r>
        <w:t xml:space="preserve"> </w:t>
      </w:r>
    </w:p>
    <w:p>
      <w:pPr>
        <w:pStyle w:val="BodyText"/>
        <w:spacing w:before="303" w:line="359" w:lineRule="auto"/>
        <w:ind w:left="36" w:right="142" w:firstLine="573"/>
        <w:jc w:val="both"/>
      </w:pPr>
      <w:r>
        <w:rPr>
          <w:spacing w:val="-9"/>
        </w:rPr>
        <w:t>饮用水水源地下水环境监测现状调查技术规范</w:t>
      </w:r>
      <w:r>
        <w:rPr>
          <w:spacing w:val="-10"/>
        </w:rPr>
        <w:t>》。规范对饮用水源地的</w:t>
      </w:r>
      <w:r>
        <w:t xml:space="preserve"> </w:t>
      </w:r>
      <w:r>
        <w:rPr>
          <w:spacing w:val="-9"/>
        </w:rPr>
        <w:t>环境保护类详细信息、水文地质类详细信息等</w:t>
      </w:r>
      <w:r>
        <w:rPr>
          <w:spacing w:val="-10"/>
        </w:rPr>
        <w:t>进行核实确认，结合地下</w:t>
      </w:r>
    </w:p>
    <w:p>
      <w:pPr>
        <w:pStyle w:val="BodyText"/>
        <w:spacing w:before="1" w:line="222" w:lineRule="auto"/>
        <w:ind w:left="36"/>
      </w:pPr>
      <w:r>
        <w:rPr>
          <w:spacing w:val="-9"/>
        </w:rPr>
        <w:t>水型饮用水源补给区水文地质条件，建立地下水型集中式饮用水水</w:t>
      </w:r>
      <w:r>
        <w:rPr>
          <w:spacing w:val="-10"/>
        </w:rPr>
        <w:t>源地</w:t>
      </w:r>
    </w:p>
    <w:p>
      <w:pPr>
        <w:spacing w:line="222" w:lineRule="auto"/>
        <w:sectPr>
          <w:footerReference w:type="default" r:id="rId7"/>
          <w:type w:val="nextPage"/>
          <w:pgSz w:w="11906" w:h="16840"/>
          <w:pgMar w:top="1415" w:right="1549" w:bottom="1316" w:left="1785" w:header="0" w:footer="1147" w:gutter="0"/>
          <w:pgNumType w:start="4"/>
          <w:cols w:space="708"/>
          <w:titlePg w:val="0"/>
        </w:sectPr>
      </w:pPr>
    </w:p>
    <w:p>
      <w:pPr>
        <w:pStyle w:val="BodyText"/>
        <w:spacing w:before="57" w:line="542" w:lineRule="exact"/>
        <w:ind w:left="43"/>
      </w:pPr>
      <w:r>
        <w:rPr>
          <w:spacing w:val="-9"/>
          <w:position w:val="19"/>
        </w:rPr>
        <w:t>下水监测现状信息清单及档案，以进一步保护地下水</w:t>
      </w:r>
      <w:r>
        <w:rPr>
          <w:spacing w:val="-10"/>
          <w:position w:val="19"/>
        </w:rPr>
        <w:t>型集中式饮用水水</w:t>
      </w:r>
    </w:p>
    <w:p>
      <w:pPr>
        <w:pStyle w:val="BodyText"/>
        <w:spacing w:line="227" w:lineRule="auto"/>
        <w:ind w:left="43"/>
      </w:pPr>
      <w:r>
        <w:rPr>
          <w:spacing w:val="-12"/>
        </w:rPr>
        <w:t>源地。</w:t>
      </w:r>
    </w:p>
    <w:p>
      <w:pPr>
        <w:spacing w:line="445" w:lineRule="auto"/>
        <w:rPr>
          <w:rFonts w:ascii="Arial"/>
          <w:sz w:val="21"/>
        </w:rPr>
      </w:pPr>
    </w:p>
    <w:p>
      <w:pPr>
        <w:spacing w:before="101" w:line="227" w:lineRule="auto"/>
        <w:ind w:left="12"/>
        <w:outlineLvl w:val="0"/>
        <w:rPr>
          <w:rFonts w:ascii="SimHei" w:eastAsia="SimHei" w:hAnsi="SimHei" w:cs="SimHei"/>
          <w:sz w:val="31"/>
          <w:szCs w:val="31"/>
        </w:rPr>
      </w:pPr>
      <w:r>
        <w:rPr>
          <w:rFonts w:ascii="SimHei" w:eastAsia="SimHei" w:hAnsi="SimHei" w:cs="SimHei"/>
          <w:spacing w:val="4"/>
          <w:sz w:val="31"/>
          <w:szCs w:val="31"/>
          <w14:textOutline w14:w="5793" w14:cap="sq">
            <w14:solidFill>
              <w14:srgbClr w14:val="000000"/>
            </w14:solidFill>
            <w14:prstDash w14:val="solid"/>
            <w14:bevel/>
          </w14:textOutline>
        </w:rPr>
        <w:t>3.</w:t>
      </w:r>
      <w:r>
        <w:rPr>
          <w:rFonts w:ascii="SimHei" w:eastAsia="SimHei" w:hAnsi="SimHei" w:cs="SimHei"/>
          <w:spacing w:val="-19"/>
          <w:sz w:val="31"/>
          <w:szCs w:val="31"/>
        </w:rPr>
        <w:t xml:space="preserve"> </w:t>
      </w:r>
      <w:r>
        <w:rPr>
          <w:rFonts w:ascii="SimHei" w:eastAsia="SimHei" w:hAnsi="SimHei" w:cs="SimHei"/>
          <w:spacing w:val="4"/>
          <w:sz w:val="31"/>
          <w:szCs w:val="31"/>
          <w14:textOutline w14:w="5793" w14:cap="sq">
            <w14:solidFill>
              <w14:srgbClr w14:val="000000"/>
            </w14:solidFill>
            <w14:prstDash w14:val="solid"/>
            <w14:bevel/>
          </w14:textOutline>
        </w:rPr>
        <w:t>国内外研究现状</w:t>
      </w:r>
    </w:p>
    <w:p>
      <w:pPr>
        <w:spacing w:line="472" w:lineRule="auto"/>
        <w:rPr>
          <w:rFonts w:ascii="Arial"/>
          <w:sz w:val="21"/>
        </w:rPr>
      </w:pPr>
    </w:p>
    <w:p>
      <w:pPr>
        <w:pStyle w:val="BodyText"/>
        <w:spacing w:before="91" w:line="359" w:lineRule="auto"/>
        <w:ind w:left="34" w:firstLine="576"/>
        <w:jc w:val="both"/>
      </w:pPr>
      <w:r>
        <w:rPr>
          <w:spacing w:val="-11"/>
        </w:rPr>
        <w:t>在国内，饮用水水源地下水环境监测的研究逐渐得到重视。随着人</w:t>
      </w:r>
      <w:r>
        <w:rPr>
          <w:spacing w:val="15"/>
        </w:rPr>
        <w:t xml:space="preserve"> </w:t>
      </w:r>
      <w:r>
        <w:rPr>
          <w:spacing w:val="-9"/>
        </w:rPr>
        <w:t>口增长和经济发展，地下水水源地面临着水质污染、</w:t>
      </w:r>
      <w:r>
        <w:rPr>
          <w:spacing w:val="-10"/>
        </w:rPr>
        <w:t>水位下降、土地利</w:t>
      </w:r>
      <w:r>
        <w:t xml:space="preserve"> </w:t>
      </w:r>
      <w:r>
        <w:rPr>
          <w:spacing w:val="-9"/>
        </w:rPr>
        <w:t>用变化等问题，对地下水环境进行监测和保护显得尤</w:t>
      </w:r>
      <w:r>
        <w:rPr>
          <w:spacing w:val="-10"/>
        </w:rPr>
        <w:t>为重要。中国环境</w:t>
      </w:r>
      <w:r>
        <w:t xml:space="preserve"> </w:t>
      </w:r>
      <w:r>
        <w:rPr>
          <w:spacing w:val="-6"/>
        </w:rPr>
        <w:t>监测总站于2020年印发《地下水型饮用水源地下水环境监测技术规范(</w:t>
      </w:r>
      <w:r>
        <w:rPr>
          <w:spacing w:val="7"/>
        </w:rPr>
        <w:t xml:space="preserve"> </w:t>
      </w:r>
      <w:r>
        <w:rPr>
          <w:spacing w:val="-9"/>
        </w:rPr>
        <w:t>试行）》。该技术规范提供了针对地下水型集中式饮</w:t>
      </w:r>
      <w:r>
        <w:rPr>
          <w:spacing w:val="-10"/>
        </w:rPr>
        <w:t>用水水源地下水环</w:t>
      </w:r>
      <w:r>
        <w:t xml:space="preserve"> </w:t>
      </w:r>
      <w:r>
        <w:rPr>
          <w:spacing w:val="-9"/>
        </w:rPr>
        <w:t>境监测的详细指导，包括监测点选址、监测项目和方</w:t>
      </w:r>
      <w:r>
        <w:rPr>
          <w:spacing w:val="-10"/>
        </w:rPr>
        <w:t>法、数据管理与分</w:t>
      </w:r>
      <w:r>
        <w:t xml:space="preserve"> </w:t>
      </w:r>
      <w:r>
        <w:rPr>
          <w:spacing w:val="-9"/>
        </w:rPr>
        <w:t>析等方面。这将有助于加强地下水环境监测工作的质</w:t>
      </w:r>
      <w:r>
        <w:rPr>
          <w:spacing w:val="-10"/>
        </w:rPr>
        <w:t>量，保障饮用水的</w:t>
      </w:r>
      <w:r>
        <w:t xml:space="preserve"> </w:t>
      </w:r>
      <w:r>
        <w:rPr>
          <w:spacing w:val="-9"/>
        </w:rPr>
        <w:t>安全性。此外，为规范饮用水水源地下水环境</w:t>
      </w:r>
      <w:r>
        <w:rPr>
          <w:spacing w:val="-10"/>
        </w:rPr>
        <w:t>监测工作，国内制定了一</w:t>
      </w:r>
      <w:r>
        <w:t xml:space="preserve"> </w:t>
      </w:r>
      <w:r>
        <w:rPr>
          <w:spacing w:val="-10"/>
        </w:rPr>
        <w:t>系列相关的规范和标准，例如《地下水质量标准》（GB/T</w:t>
      </w:r>
      <w:r>
        <w:rPr>
          <w:spacing w:val="-10"/>
        </w:rPr>
        <w:t xml:space="preserve"> </w:t>
      </w:r>
      <w:r>
        <w:rPr>
          <w:spacing w:val="-11"/>
        </w:rPr>
        <w:t>14848-2017）</w:t>
      </w:r>
    </w:p>
    <w:p>
      <w:pPr>
        <w:pStyle w:val="BodyText"/>
        <w:spacing w:before="1" w:line="222" w:lineRule="auto"/>
        <w:jc w:val="right"/>
      </w:pPr>
      <w:r>
        <w:rPr>
          <w:spacing w:val="-11"/>
        </w:rPr>
        <w:t>、《饮用水水源地地下水环境监测技术规范》（GB/</w:t>
      </w:r>
      <w:r>
        <w:rPr>
          <w:spacing w:val="-12"/>
        </w:rPr>
        <w:t>T</w:t>
      </w:r>
      <w:r>
        <w:rPr>
          <w:spacing w:val="-12"/>
        </w:rPr>
        <w:t xml:space="preserve"> </w:t>
      </w:r>
      <w:r>
        <w:rPr>
          <w:spacing w:val="-12"/>
        </w:rPr>
        <w:t>18920-2012）等。</w:t>
      </w:r>
    </w:p>
    <w:p>
      <w:pPr>
        <w:pStyle w:val="BodyText"/>
        <w:spacing w:before="298" w:line="359" w:lineRule="auto"/>
        <w:ind w:left="29" w:right="26" w:firstLine="581"/>
        <w:jc w:val="both"/>
      </w:pPr>
      <w:r>
        <w:rPr>
          <w:spacing w:val="-11"/>
        </w:rPr>
        <w:t>在国外，饮用水水源地下水环境监测方面的研究也较为活跃。发达</w:t>
      </w:r>
      <w:r>
        <w:rPr>
          <w:spacing w:val="15"/>
        </w:rPr>
        <w:t xml:space="preserve"> </w:t>
      </w:r>
      <w:r>
        <w:rPr>
          <w:spacing w:val="-9"/>
        </w:rPr>
        <w:t>国家如美国、加拿大、澳大利亚等十分重视地下水质量，并建</w:t>
      </w:r>
      <w:r>
        <w:rPr>
          <w:spacing w:val="-10"/>
        </w:rPr>
        <w:t>立了较为</w:t>
      </w:r>
      <w:r>
        <w:t xml:space="preserve"> </w:t>
      </w:r>
      <w:r>
        <w:rPr>
          <w:spacing w:val="-9"/>
        </w:rPr>
        <w:t>完善的地下水监测网络。这些国家的研究主要涉及地下水质量</w:t>
      </w:r>
      <w:r>
        <w:rPr>
          <w:spacing w:val="-10"/>
        </w:rPr>
        <w:t>监测、地</w:t>
      </w:r>
      <w:r>
        <w:t xml:space="preserve"> </w:t>
      </w:r>
      <w:r>
        <w:rPr>
          <w:spacing w:val="-9"/>
        </w:rPr>
        <w:t>下水动态监测、地下水补给量估算等方面。他们采用的监测技</w:t>
      </w:r>
      <w:r>
        <w:rPr>
          <w:spacing w:val="-10"/>
        </w:rPr>
        <w:t>术包括地</w:t>
      </w:r>
      <w:r>
        <w:t xml:space="preserve"> </w:t>
      </w:r>
      <w:r>
        <w:rPr>
          <w:spacing w:val="-9"/>
        </w:rPr>
        <w:t>下水取样分析、现场分析仪器、遥感技术等。相关的规范和规</w:t>
      </w:r>
      <w:r>
        <w:rPr>
          <w:spacing w:val="-10"/>
        </w:rPr>
        <w:t>范性文件</w:t>
      </w:r>
      <w:r>
        <w:t xml:space="preserve"> </w:t>
      </w:r>
      <w:r>
        <w:rPr>
          <w:spacing w:val="-9"/>
        </w:rPr>
        <w:t>也较为健全，例如美国环境保护局（EPA）颁布的《水质标准规范》（W</w:t>
      </w:r>
      <w:r>
        <w:rPr>
          <w:spacing w:val="6"/>
        </w:rPr>
        <w:t xml:space="preserve"> </w:t>
      </w:r>
      <w:r>
        <w:rPr>
          <w:spacing w:val="-3"/>
        </w:rPr>
        <w:t>ater</w:t>
      </w:r>
      <w:r>
        <w:rPr>
          <w:spacing w:val="-3"/>
        </w:rPr>
        <w:t xml:space="preserve"> </w:t>
      </w:r>
      <w:r>
        <w:rPr>
          <w:spacing w:val="-3"/>
        </w:rPr>
        <w:t>Quality</w:t>
      </w:r>
      <w:r>
        <w:rPr>
          <w:spacing w:val="-3"/>
        </w:rPr>
        <w:t xml:space="preserve"> </w:t>
      </w:r>
      <w:r>
        <w:rPr>
          <w:spacing w:val="-3"/>
        </w:rPr>
        <w:t>Standards</w:t>
      </w:r>
      <w:r>
        <w:rPr>
          <w:spacing w:val="-3"/>
        </w:rPr>
        <w:t xml:space="preserve"> </w:t>
      </w:r>
      <w:r>
        <w:rPr>
          <w:spacing w:val="-3"/>
        </w:rPr>
        <w:t>Regulations）和世界卫生组织（WHO）发布</w:t>
      </w:r>
    </w:p>
    <w:p>
      <w:pPr>
        <w:pStyle w:val="BodyText"/>
        <w:spacing w:before="1" w:line="215" w:lineRule="auto"/>
        <w:ind w:left="54"/>
      </w:pPr>
      <w:r>
        <w:rPr>
          <w:spacing w:val="-8"/>
        </w:rPr>
        <w:t>的《饮用水指南》（Guidelines</w:t>
      </w:r>
      <w:r>
        <w:rPr>
          <w:spacing w:val="-8"/>
        </w:rPr>
        <w:t xml:space="preserve"> </w:t>
      </w:r>
      <w:r>
        <w:rPr>
          <w:spacing w:val="-8"/>
        </w:rPr>
        <w:t>for</w:t>
      </w:r>
      <w:r>
        <w:rPr>
          <w:spacing w:val="-8"/>
        </w:rPr>
        <w:t xml:space="preserve"> </w:t>
      </w:r>
      <w:r>
        <w:rPr>
          <w:spacing w:val="-8"/>
        </w:rPr>
        <w:t>Drinking-water</w:t>
      </w:r>
      <w:r>
        <w:rPr>
          <w:spacing w:val="-8"/>
        </w:rPr>
        <w:t xml:space="preserve"> </w:t>
      </w:r>
      <w:r>
        <w:rPr>
          <w:spacing w:val="-8"/>
        </w:rPr>
        <w:t>Quality）等。</w:t>
      </w:r>
    </w:p>
    <w:p>
      <w:pPr>
        <w:pStyle w:val="BodyText"/>
        <w:spacing w:before="309" w:line="222" w:lineRule="auto"/>
        <w:ind w:left="640"/>
        <w:sectPr>
          <w:footerReference w:type="default" r:id="rId8"/>
          <w:pgSz w:w="11906" w:h="16840"/>
          <w:pgMar w:top="1415" w:right="1664" w:bottom="1316" w:left="1785" w:header="0" w:footer="1147" w:gutter="0"/>
          <w:pgNumType w:start="5"/>
          <w:cols w:space="708"/>
        </w:sectPr>
      </w:pPr>
      <w:r>
        <w:rPr>
          <w:spacing w:val="-13"/>
        </w:rPr>
        <w:t>国内外关于饮用水水源地下水环境监测的相关规范</w:t>
      </w:r>
      <w:r>
        <w:rPr>
          <w:spacing w:val="-14"/>
        </w:rPr>
        <w:t>如下：</w:t>
      </w:r>
    </w:p>
    <w:p>
      <w:pPr>
        <w:pStyle w:val="BodyText"/>
        <w:spacing w:before="299" w:line="545" w:lineRule="exact"/>
        <w:ind w:right="22"/>
        <w:jc w:val="right"/>
      </w:pPr>
      <w:r>
        <w:rPr>
          <w:spacing w:val="-5"/>
          <w:position w:val="19"/>
        </w:rPr>
        <w:t>1.《地下水质量标准》（GB/T</w:t>
      </w:r>
      <w:r>
        <w:rPr>
          <w:spacing w:val="-5"/>
          <w:position w:val="19"/>
        </w:rPr>
        <w:t xml:space="preserve"> </w:t>
      </w:r>
      <w:r>
        <w:rPr>
          <w:spacing w:val="-5"/>
          <w:position w:val="19"/>
        </w:rPr>
        <w:t>14848-2017</w:t>
      </w:r>
      <w:r>
        <w:rPr>
          <w:spacing w:val="4"/>
          <w:position w:val="19"/>
        </w:rPr>
        <w:t>）：</w:t>
      </w:r>
      <w:r>
        <w:rPr>
          <w:spacing w:val="-5"/>
          <w:position w:val="19"/>
        </w:rPr>
        <w:t>该标准根</w:t>
      </w:r>
      <w:r>
        <w:rPr>
          <w:spacing w:val="-6"/>
          <w:position w:val="19"/>
        </w:rPr>
        <w:t>据地下水</w:t>
      </w:r>
    </w:p>
    <w:p>
      <w:pPr>
        <w:pStyle w:val="BodyText"/>
        <w:spacing w:before="1" w:line="222" w:lineRule="auto"/>
        <w:ind w:left="54"/>
      </w:pPr>
      <w:r>
        <w:rPr>
          <w:spacing w:val="-13"/>
        </w:rPr>
        <w:t>的不同用途，规定了地下水质量的分类、质量指标和监测方法等内容。</w:t>
      </w:r>
    </w:p>
    <w:p>
      <w:pPr>
        <w:spacing w:line="222" w:lineRule="auto"/>
        <w:sectPr>
          <w:footerReference w:type="default" r:id="rId9"/>
          <w:type w:val="nextPage"/>
          <w:pgSz w:w="11906" w:h="16840"/>
          <w:pgMar w:top="1415" w:right="1664" w:bottom="1316" w:left="1785" w:header="0" w:footer="1147" w:gutter="0"/>
          <w:pgNumType w:start="6"/>
          <w:cols w:space="708"/>
          <w:titlePg w:val="0"/>
        </w:sectPr>
      </w:pPr>
    </w:p>
    <w:p>
      <w:pPr>
        <w:pStyle w:val="BodyText"/>
        <w:spacing w:before="58" w:line="358" w:lineRule="auto"/>
        <w:ind w:left="58" w:firstLine="544"/>
        <w:jc w:val="both"/>
      </w:pPr>
      <w:r>
        <w:rPr>
          <w:spacing w:val="-10"/>
        </w:rPr>
        <w:t>2.《饮用水水源地地下水环境监测技术规范》（GB/T</w:t>
      </w:r>
      <w:r>
        <w:rPr>
          <w:spacing w:val="-10"/>
        </w:rPr>
        <w:t xml:space="preserve"> </w:t>
      </w:r>
      <w:r>
        <w:rPr>
          <w:spacing w:val="-10"/>
        </w:rPr>
        <w:t>18920-2012）</w:t>
      </w:r>
      <w:r>
        <w:rPr>
          <w:spacing w:val="4"/>
        </w:rPr>
        <w:t xml:space="preserve"> </w:t>
      </w:r>
      <w:r>
        <w:rPr>
          <w:spacing w:val="-10"/>
        </w:rPr>
        <w:t>：该规范针对饮用水水源地地下水环境进行监测，包括监测项目、方法</w:t>
      </w:r>
    </w:p>
    <w:p>
      <w:pPr>
        <w:pStyle w:val="BodyText"/>
        <w:spacing w:line="220" w:lineRule="auto"/>
        <w:ind w:left="66"/>
      </w:pPr>
      <w:r>
        <w:rPr>
          <w:spacing w:val="-15"/>
        </w:rPr>
        <w:t>以及采样和分析要求等。</w:t>
      </w:r>
    </w:p>
    <w:p>
      <w:pPr>
        <w:pStyle w:val="BodyText"/>
        <w:spacing w:before="302" w:line="359" w:lineRule="auto"/>
        <w:ind w:left="39" w:right="41" w:firstLine="565"/>
        <w:jc w:val="both"/>
      </w:pPr>
      <w:r>
        <w:rPr>
          <w:spacing w:val="-6"/>
        </w:rPr>
        <w:t>3.《饮用水指南》（Guidelines</w:t>
      </w:r>
      <w:r>
        <w:rPr>
          <w:spacing w:val="-6"/>
        </w:rPr>
        <w:t xml:space="preserve"> </w:t>
      </w:r>
      <w:r>
        <w:rPr>
          <w:spacing w:val="-6"/>
        </w:rPr>
        <w:t>fo</w:t>
      </w:r>
      <w:r>
        <w:rPr>
          <w:spacing w:val="-7"/>
        </w:rPr>
        <w:t>r</w:t>
      </w:r>
      <w:r>
        <w:rPr>
          <w:spacing w:val="-7"/>
        </w:rPr>
        <w:t xml:space="preserve"> </w:t>
      </w:r>
      <w:r>
        <w:rPr>
          <w:spacing w:val="-7"/>
        </w:rPr>
        <w:t>Drinking-water</w:t>
      </w:r>
      <w:r>
        <w:rPr>
          <w:spacing w:val="-7"/>
        </w:rPr>
        <w:t xml:space="preserve"> </w:t>
      </w:r>
      <w:r>
        <w:rPr>
          <w:spacing w:val="-7"/>
        </w:rPr>
        <w:t>Quality</w:t>
      </w:r>
      <w:r>
        <w:rPr>
          <w:spacing w:val="-57"/>
        </w:rPr>
        <w:t>）：</w:t>
      </w:r>
      <w:r>
        <w:t xml:space="preserve"> </w:t>
      </w:r>
      <w:r>
        <w:rPr>
          <w:spacing w:val="-9"/>
        </w:rPr>
        <w:t>世界卫生组织发布的关于饮用水安全的指南，提供了饮用水</w:t>
      </w:r>
      <w:r>
        <w:rPr>
          <w:spacing w:val="-10"/>
        </w:rPr>
        <w:t>质量监测和</w:t>
      </w:r>
    </w:p>
    <w:p>
      <w:pPr>
        <w:pStyle w:val="BodyText"/>
        <w:spacing w:before="1" w:line="220" w:lineRule="auto"/>
        <w:ind w:left="38"/>
      </w:pPr>
      <w:r>
        <w:rPr>
          <w:spacing w:val="-12"/>
        </w:rPr>
        <w:t>评估的方法和要求。</w:t>
      </w:r>
    </w:p>
    <w:p>
      <w:pPr>
        <w:pStyle w:val="BodyText"/>
        <w:spacing w:before="301" w:line="359" w:lineRule="auto"/>
        <w:ind w:left="23" w:right="60" w:firstLine="575"/>
        <w:jc w:val="both"/>
      </w:pPr>
      <w:r>
        <w:rPr>
          <w:spacing w:val="-7"/>
        </w:rPr>
        <w:t>4.《</w:t>
      </w:r>
      <w:r>
        <w:rPr>
          <w:spacing w:val="-42"/>
        </w:rPr>
        <w:t xml:space="preserve"> </w:t>
      </w:r>
      <w:r>
        <w:rPr>
          <w:spacing w:val="-7"/>
        </w:rPr>
        <w:t>地</w:t>
      </w:r>
      <w:r>
        <w:rPr>
          <w:spacing w:val="-73"/>
        </w:rPr>
        <w:t xml:space="preserve"> </w:t>
      </w:r>
      <w:r>
        <w:rPr>
          <w:spacing w:val="-7"/>
        </w:rPr>
        <w:t>下</w:t>
      </w:r>
      <w:r>
        <w:rPr>
          <w:spacing w:val="-79"/>
        </w:rPr>
        <w:t xml:space="preserve"> </w:t>
      </w:r>
      <w:r>
        <w:rPr>
          <w:spacing w:val="-7"/>
        </w:rPr>
        <w:t>水</w:t>
      </w:r>
      <w:r>
        <w:rPr>
          <w:spacing w:val="-73"/>
        </w:rPr>
        <w:t xml:space="preserve"> </w:t>
      </w:r>
      <w:r>
        <w:rPr>
          <w:spacing w:val="-7"/>
        </w:rPr>
        <w:t>监</w:t>
      </w:r>
      <w:r>
        <w:rPr>
          <w:spacing w:val="-79"/>
        </w:rPr>
        <w:t xml:space="preserve"> </w:t>
      </w:r>
      <w:r>
        <w:rPr>
          <w:spacing w:val="-7"/>
        </w:rPr>
        <w:t>测</w:t>
      </w:r>
      <w:r>
        <w:rPr>
          <w:spacing w:val="-78"/>
        </w:rPr>
        <w:t xml:space="preserve"> </w:t>
      </w:r>
      <w:r>
        <w:rPr>
          <w:spacing w:val="-7"/>
        </w:rPr>
        <w:t>指</w:t>
      </w:r>
      <w:r>
        <w:rPr>
          <w:spacing w:val="-65"/>
        </w:rPr>
        <w:t xml:space="preserve"> </w:t>
      </w:r>
      <w:r>
        <w:rPr>
          <w:spacing w:val="-7"/>
        </w:rPr>
        <w:t>南</w:t>
      </w:r>
      <w:r>
        <w:rPr>
          <w:spacing w:val="-71"/>
        </w:rPr>
        <w:t xml:space="preserve"> </w:t>
      </w:r>
      <w:r>
        <w:rPr>
          <w:spacing w:val="-7"/>
        </w:rPr>
        <w:t>》</w:t>
      </w:r>
      <w:r>
        <w:rPr>
          <w:spacing w:val="-96"/>
        </w:rPr>
        <w:t xml:space="preserve"> </w:t>
      </w:r>
      <w:r>
        <w:rPr>
          <w:spacing w:val="-7"/>
        </w:rPr>
        <w:t>（Groundwater</w:t>
      </w:r>
      <w:r>
        <w:rPr>
          <w:spacing w:val="40"/>
        </w:rPr>
        <w:t xml:space="preserve"> </w:t>
      </w:r>
      <w:r>
        <w:rPr>
          <w:spacing w:val="-7"/>
        </w:rPr>
        <w:t>Monitoring</w:t>
      </w:r>
      <w:r>
        <w:rPr>
          <w:spacing w:val="48"/>
        </w:rPr>
        <w:t xml:space="preserve"> </w:t>
      </w:r>
      <w:r>
        <w:rPr>
          <w:spacing w:val="-7"/>
        </w:rPr>
        <w:t>Guidance</w:t>
      </w:r>
      <w:r>
        <w:t xml:space="preserve"> </w:t>
      </w:r>
      <w:r>
        <w:rPr>
          <w:spacing w:val="-5"/>
        </w:rPr>
        <w:t>Documents</w:t>
      </w:r>
      <w:r>
        <w:rPr>
          <w:spacing w:val="14"/>
        </w:rPr>
        <w:t>）：</w:t>
      </w:r>
      <w:r>
        <w:rPr>
          <w:spacing w:val="-5"/>
        </w:rPr>
        <w:t>包括美国环境保护局和欧洲联盟等发布的一系列关于地</w:t>
      </w:r>
    </w:p>
    <w:p>
      <w:pPr>
        <w:pStyle w:val="BodyText"/>
        <w:spacing w:before="1" w:line="220" w:lineRule="auto"/>
        <w:ind w:left="43"/>
      </w:pPr>
      <w:r>
        <w:rPr>
          <w:spacing w:val="-12"/>
        </w:rPr>
        <w:t>下水监测的指南，用于指导地下水监测工作。</w:t>
      </w:r>
    </w:p>
    <w:p>
      <w:pPr>
        <w:pStyle w:val="BodyText"/>
        <w:spacing w:before="302" w:line="359" w:lineRule="auto"/>
        <w:ind w:left="34" w:right="60" w:firstLine="606"/>
      </w:pPr>
      <w:r>
        <w:rPr>
          <w:spacing w:val="-12"/>
        </w:rPr>
        <w:t>国内外关于饮用水水源地下水环境监测的研究现状逐渐得到重视。</w:t>
      </w:r>
      <w:r>
        <w:rPr>
          <w:spacing w:val="14"/>
        </w:rPr>
        <w:t xml:space="preserve"> </w:t>
      </w:r>
      <w:r>
        <w:rPr>
          <w:spacing w:val="-9"/>
        </w:rPr>
        <w:t>有关方面制定的规范和规范性文件对于指导监测工作</w:t>
      </w:r>
      <w:r>
        <w:rPr>
          <w:spacing w:val="-10"/>
        </w:rPr>
        <w:t>和保护饮用水水源</w:t>
      </w:r>
    </w:p>
    <w:p>
      <w:pPr>
        <w:pStyle w:val="BodyText"/>
        <w:spacing w:before="2" w:line="222" w:lineRule="auto"/>
        <w:ind w:left="38"/>
      </w:pPr>
      <w:r>
        <w:rPr>
          <w:spacing w:val="-12"/>
        </w:rPr>
        <w:t>地的地下水环境具有重要的意义。</w:t>
      </w:r>
    </w:p>
    <w:p>
      <w:pPr>
        <w:spacing w:line="449" w:lineRule="auto"/>
        <w:rPr>
          <w:rFonts w:ascii="Arial"/>
          <w:sz w:val="21"/>
        </w:rPr>
      </w:pPr>
    </w:p>
    <w:p>
      <w:pPr>
        <w:spacing w:before="101" w:line="225" w:lineRule="auto"/>
        <w:ind w:left="3"/>
        <w:outlineLvl w:val="0"/>
        <w:rPr>
          <w:rFonts w:ascii="SimHei" w:eastAsia="SimHei" w:hAnsi="SimHei" w:cs="SimHei"/>
          <w:sz w:val="31"/>
          <w:szCs w:val="31"/>
        </w:rPr>
      </w:pPr>
      <w:r>
        <w:rPr>
          <w:rFonts w:ascii="SimHei" w:eastAsia="SimHei" w:hAnsi="SimHei" w:cs="SimHei"/>
          <w:spacing w:val="9"/>
          <w:sz w:val="31"/>
          <w:szCs w:val="31"/>
          <w14:textOutline w14:w="5793" w14:cap="sq">
            <w14:solidFill>
              <w14:srgbClr w14:val="000000"/>
            </w14:solidFill>
            <w14:prstDash w14:val="solid"/>
            <w14:bevel/>
          </w14:textOutline>
        </w:rPr>
        <w:t>4.</w:t>
      </w:r>
      <w:r>
        <w:rPr>
          <w:rFonts w:ascii="SimHei" w:eastAsia="SimHei" w:hAnsi="SimHei" w:cs="SimHei"/>
          <w:spacing w:val="-37"/>
          <w:sz w:val="31"/>
          <w:szCs w:val="31"/>
        </w:rPr>
        <w:t xml:space="preserve"> </w:t>
      </w:r>
      <w:r>
        <w:rPr>
          <w:rFonts w:ascii="SimHei" w:eastAsia="SimHei" w:hAnsi="SimHei" w:cs="SimHei"/>
          <w:spacing w:val="9"/>
          <w:sz w:val="31"/>
          <w:szCs w:val="31"/>
          <w14:textOutline w14:w="5793" w14:cap="sq">
            <w14:solidFill>
              <w14:srgbClr w14:val="000000"/>
            </w14:solidFill>
            <w14:prstDash w14:val="solid"/>
            <w14:bevel/>
          </w14:textOutline>
        </w:rPr>
        <w:t>标准制修订的基本原则和技术路线</w:t>
      </w:r>
    </w:p>
    <w:p>
      <w:pPr>
        <w:spacing w:line="468" w:lineRule="auto"/>
        <w:rPr>
          <w:rFonts w:ascii="Arial"/>
          <w:sz w:val="21"/>
        </w:rPr>
      </w:pPr>
    </w:p>
    <w:p>
      <w:pPr>
        <w:spacing w:before="98" w:line="222" w:lineRule="auto"/>
        <w:ind w:left="3"/>
        <w:outlineLvl w:val="1"/>
        <w:rPr>
          <w:rFonts w:ascii="SimHei" w:eastAsia="SimHei" w:hAnsi="SimHei" w:cs="SimHei"/>
          <w:sz w:val="30"/>
          <w:szCs w:val="30"/>
        </w:rPr>
      </w:pPr>
      <w:r>
        <w:rPr>
          <w:rFonts w:ascii="SimHei" w:eastAsia="SimHei" w:hAnsi="SimHei" w:cs="SimHei"/>
          <w:sz w:val="30"/>
          <w:szCs w:val="30"/>
          <w14:textOutline w14:w="5448" w14:cap="sq">
            <w14:solidFill>
              <w14:srgbClr w14:val="000000"/>
            </w14:solidFill>
            <w14:prstDash w14:val="solid"/>
            <w14:bevel/>
          </w14:textOutline>
        </w:rPr>
        <w:t>4.1.</w:t>
      </w:r>
      <w:r>
        <w:rPr>
          <w:rFonts w:ascii="SimHei" w:eastAsia="SimHei" w:hAnsi="SimHei" w:cs="SimHei"/>
          <w:spacing w:val="94"/>
          <w:sz w:val="30"/>
          <w:szCs w:val="30"/>
        </w:rPr>
        <w:t xml:space="preserve"> </w:t>
      </w:r>
      <w:r>
        <w:rPr>
          <w:rFonts w:ascii="SimHei" w:eastAsia="SimHei" w:hAnsi="SimHei" w:cs="SimHei"/>
          <w:sz w:val="30"/>
          <w:szCs w:val="30"/>
          <w14:textOutline w14:w="5448" w14:cap="sq">
            <w14:solidFill>
              <w14:srgbClr w14:val="000000"/>
            </w14:solidFill>
            <w14:prstDash w14:val="solid"/>
            <w14:bevel/>
          </w14:textOutline>
        </w:rPr>
        <w:t>标准制修订的基本原则</w:t>
      </w:r>
    </w:p>
    <w:p>
      <w:pPr>
        <w:spacing w:line="388" w:lineRule="auto"/>
        <w:rPr>
          <w:rFonts w:ascii="Arial"/>
          <w:sz w:val="21"/>
        </w:rPr>
      </w:pPr>
    </w:p>
    <w:p>
      <w:pPr>
        <w:pStyle w:val="BodyText"/>
        <w:spacing w:before="92" w:line="636" w:lineRule="exact"/>
        <w:jc w:val="right"/>
      </w:pPr>
      <w:r>
        <w:rPr>
          <w:spacing w:val="-14"/>
          <w:position w:val="27"/>
        </w:rPr>
        <w:t>1）适应特定领域或行业的需求和特点，具有实际可行性和操作性。</w:t>
      </w:r>
    </w:p>
    <w:p>
      <w:pPr>
        <w:pStyle w:val="BodyText"/>
        <w:spacing w:line="221" w:lineRule="auto"/>
        <w:ind w:left="603"/>
      </w:pPr>
      <w:r>
        <w:rPr>
          <w:spacing w:val="-12"/>
        </w:rPr>
        <w:t>2）规范应该全面、系统地考虑相关因素，综合各种因素来制定。</w:t>
      </w:r>
    </w:p>
    <w:p>
      <w:pPr>
        <w:pStyle w:val="BodyText"/>
        <w:spacing w:before="298" w:line="221" w:lineRule="auto"/>
        <w:ind w:left="605"/>
      </w:pPr>
      <w:r>
        <w:rPr>
          <w:spacing w:val="-12"/>
        </w:rPr>
        <w:t>3）具有普遍适用性，易于推广使用。</w:t>
      </w:r>
    </w:p>
    <w:p>
      <w:pPr>
        <w:spacing w:line="374" w:lineRule="auto"/>
        <w:rPr>
          <w:rFonts w:ascii="Arial"/>
          <w:sz w:val="21"/>
        </w:rPr>
      </w:pPr>
    </w:p>
    <w:p>
      <w:pPr>
        <w:spacing w:before="98" w:line="223" w:lineRule="auto"/>
        <w:ind w:left="3"/>
        <w:outlineLvl w:val="1"/>
        <w:rPr>
          <w:rFonts w:ascii="SimHei" w:eastAsia="SimHei" w:hAnsi="SimHei" w:cs="SimHei"/>
          <w:sz w:val="30"/>
          <w:szCs w:val="30"/>
        </w:rPr>
      </w:pPr>
      <w:r>
        <w:rPr>
          <w:rFonts w:ascii="SimHei" w:eastAsia="SimHei" w:hAnsi="SimHei" w:cs="SimHei"/>
          <w:sz w:val="30"/>
          <w:szCs w:val="30"/>
          <w14:textOutline w14:w="5448" w14:cap="sq">
            <w14:solidFill>
              <w14:srgbClr w14:val="000000"/>
            </w14:solidFill>
            <w14:prstDash w14:val="solid"/>
            <w14:bevel/>
          </w14:textOutline>
        </w:rPr>
        <w:t>4.2.</w:t>
      </w:r>
      <w:r>
        <w:rPr>
          <w:rFonts w:ascii="SimHei" w:eastAsia="SimHei" w:hAnsi="SimHei" w:cs="SimHei"/>
          <w:spacing w:val="92"/>
          <w:sz w:val="30"/>
          <w:szCs w:val="30"/>
        </w:rPr>
        <w:t xml:space="preserve"> </w:t>
      </w:r>
      <w:r>
        <w:rPr>
          <w:rFonts w:ascii="SimHei" w:eastAsia="SimHei" w:hAnsi="SimHei" w:cs="SimHei"/>
          <w:sz w:val="30"/>
          <w:szCs w:val="30"/>
          <w14:textOutline w14:w="5448" w14:cap="sq">
            <w14:solidFill>
              <w14:srgbClr w14:val="000000"/>
            </w14:solidFill>
            <w14:prstDash w14:val="solid"/>
            <w14:bevel/>
          </w14:textOutline>
        </w:rPr>
        <w:t>标准的适用范围</w:t>
      </w:r>
    </w:p>
    <w:p>
      <w:pPr>
        <w:spacing w:line="384" w:lineRule="auto"/>
        <w:rPr>
          <w:rFonts w:ascii="Arial"/>
          <w:sz w:val="21"/>
        </w:rPr>
        <w:sectPr>
          <w:footerReference w:type="default" r:id="rId10"/>
          <w:pgSz w:w="11906" w:h="16840"/>
          <w:pgMar w:top="1415" w:right="1631" w:bottom="1316" w:left="1785" w:header="0" w:footer="1147" w:gutter="0"/>
          <w:pgNumType w:start="7"/>
          <w:cols w:space="708"/>
        </w:sectPr>
      </w:pPr>
    </w:p>
    <w:p>
      <w:pPr>
        <w:pStyle w:val="BodyText"/>
        <w:spacing w:before="92" w:line="359" w:lineRule="auto"/>
        <w:ind w:left="50" w:right="120" w:firstLine="559"/>
        <w:jc w:val="both"/>
      </w:pPr>
      <w:r>
        <w:rPr>
          <w:spacing w:val="-3"/>
        </w:rPr>
        <w:t>本规范适用于广西壮族自治区境内的地下水型集中式饮用水水源</w:t>
      </w:r>
      <w:r>
        <w:rPr>
          <w:spacing w:val="1"/>
        </w:rPr>
        <w:t xml:space="preserve"> </w:t>
      </w:r>
      <w:r>
        <w:rPr>
          <w:spacing w:val="-3"/>
        </w:rPr>
        <w:t>地下水环境监测现状调查工作，包括城镇水源和农村水源。规定了地</w:t>
      </w:r>
      <w:r>
        <w:rPr>
          <w:spacing w:val="6"/>
        </w:rPr>
        <w:t xml:space="preserve"> </w:t>
      </w:r>
      <w:r>
        <w:rPr>
          <w:spacing w:val="-3"/>
        </w:rPr>
        <w:t>下水型集中式饮用水水源保护区及补给径流区地下水环境监测现状调</w:t>
      </w:r>
    </w:p>
    <w:p>
      <w:pPr>
        <w:pStyle w:val="BodyText"/>
        <w:spacing w:before="1" w:line="220" w:lineRule="auto"/>
        <w:ind w:left="51"/>
      </w:pPr>
      <w:r>
        <w:rPr>
          <w:spacing w:val="-9"/>
        </w:rPr>
        <w:t>查的范围、原则、工作内容、工作流程和技术要求。</w:t>
      </w:r>
    </w:p>
    <w:p>
      <w:pPr>
        <w:spacing w:line="220" w:lineRule="auto"/>
        <w:sectPr>
          <w:footerReference w:type="default" r:id="rId11"/>
          <w:type w:val="nextPage"/>
          <w:pgSz w:w="11906" w:h="16840"/>
          <w:pgMar w:top="1415" w:right="1631" w:bottom="1316" w:left="1785" w:header="0" w:footer="1147" w:gutter="0"/>
          <w:pgNumType w:start="8"/>
          <w:cols w:space="708"/>
          <w:titlePg w:val="0"/>
        </w:sectPr>
      </w:pPr>
    </w:p>
    <w:p>
      <w:pPr>
        <w:spacing w:before="61" w:line="219" w:lineRule="auto"/>
        <w:ind w:left="3"/>
        <w:outlineLvl w:val="1"/>
        <w:rPr>
          <w:rFonts w:ascii="SimHei" w:eastAsia="SimHei" w:hAnsi="SimHei" w:cs="SimHei"/>
          <w:sz w:val="30"/>
          <w:szCs w:val="30"/>
        </w:rPr>
      </w:pPr>
      <w:r>
        <w:pict>
          <v:shapetype id="_x0000_t202" coordsize="21600,21600" o:spt="202" path="m,l,21600r21600,l21600,xe">
            <v:stroke joinstyle="miter"/>
            <v:path gradientshapeok="t" o:connecttype="rect"/>
          </v:shapetype>
          <v:shape id="_x0000_s1025" type="#_x0000_t202" style="width:96.6pt;height:57.45pt;margin-top:404.19pt;margin-left:133.59pt;mso-position-horizontal-relative:page;mso-position-vertical-relative:page;position:absolute;z-index:251658240" o:allowincell="f" filled="f" stroked="f">
            <o:lock v:ext="edit" aspectratio="f"/>
            <v:textbox inset="0,0,0,0">
              <w:txbxContent>
                <w:p>
                  <w:pPr>
                    <w:spacing w:line="20" w:lineRule="exact"/>
                  </w:pPr>
                </w:p>
                <w:tbl>
                  <w:tblPr>
                    <w:tblStyle w:val="TableNormal0"/>
                    <w:tblW w:w="1881" w:type="dxa"/>
                    <w:tblInd w:w="25" w:type="dxa"/>
                    <w:tblBorders>
                      <w:top w:val="single" w:sz="4" w:space="0" w:color="000000"/>
                      <w:left w:val="single" w:sz="4" w:space="0" w:color="000000"/>
                      <w:bottom w:val="single" w:sz="4" w:space="0" w:color="000000"/>
                      <w:right w:val="single" w:sz="4" w:space="0" w:color="000000"/>
                    </w:tblBorders>
                    <w:tblLayout w:type="fixed"/>
                  </w:tblPr>
                  <w:tblGrid>
                    <w:gridCol w:w="1881"/>
                  </w:tblGrid>
                  <w:tr>
                    <w:tblPrEx>
                      <w:tblW w:w="1881" w:type="dxa"/>
                      <w:tblInd w:w="25" w:type="dxa"/>
                      <w:tblBorders>
                        <w:top w:val="single" w:sz="4" w:space="0" w:color="000000"/>
                        <w:left w:val="single" w:sz="4" w:space="0" w:color="000000"/>
                        <w:bottom w:val="single" w:sz="4" w:space="0" w:color="000000"/>
                        <w:right w:val="single" w:sz="4" w:space="0" w:color="000000"/>
                      </w:tblBorders>
                      <w:tblLayout w:type="fixed"/>
                    </w:tblPrEx>
                    <w:trPr>
                      <w:trHeight w:val="1088"/>
                    </w:trPr>
                    <w:tc>
                      <w:tcPr>
                        <w:tcW w:w="1881" w:type="dxa"/>
                        <w:vAlign w:val="top"/>
                      </w:tcPr>
                      <w:p>
                        <w:pPr>
                          <w:pStyle w:val="TableText"/>
                          <w:spacing w:before="109" w:line="235" w:lineRule="auto"/>
                          <w:ind w:left="713" w:right="257" w:hanging="479"/>
                        </w:pPr>
                        <w:r>
                          <w:rPr>
                            <w:spacing w:val="-11"/>
                          </w:rPr>
                          <w:t>行业、高校、</w:t>
                        </w:r>
                        <w:r>
                          <w:rPr>
                            <w:spacing w:val="3"/>
                          </w:rPr>
                          <w:t xml:space="preserve"> </w:t>
                        </w:r>
                        <w:r>
                          <w:rPr>
                            <w:spacing w:val="-9"/>
                          </w:rPr>
                          <w:t>企业</w:t>
                        </w:r>
                      </w:p>
                    </w:tc>
                  </w:tr>
                </w:tbl>
                <w:p>
                  <w:pPr>
                    <w:rPr>
                      <w:rFonts w:ascii="Arial"/>
                      <w:sz w:val="21"/>
                    </w:rPr>
                  </w:pPr>
                </w:p>
              </w:txbxContent>
            </v:textbox>
          </v:shape>
        </w:pict>
      </w:r>
      <w:r>
        <w:drawing>
          <wp:anchor distT="0" distB="0" distL="0" distR="0" simplePos="0" relativeHeight="251660288" behindDoc="0" locked="0" layoutInCell="0" allowOverlap="1">
            <wp:simplePos x="0" y="0"/>
            <wp:positionH relativeFrom="page">
              <wp:posOffset>2925965</wp:posOffset>
            </wp:positionH>
            <wp:positionV relativeFrom="page">
              <wp:posOffset>5458548</wp:posOffset>
            </wp:positionV>
            <wp:extent cx="587590" cy="76187"/>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2"/>
                    <a:stretch>
                      <a:fillRect/>
                    </a:stretch>
                  </pic:blipFill>
                  <pic:spPr>
                    <a:xfrm>
                      <a:off x="0" y="0"/>
                      <a:ext cx="587590" cy="76187"/>
                    </a:xfrm>
                    <a:prstGeom prst="rect">
                      <a:avLst/>
                    </a:prstGeom>
                  </pic:spPr>
                </pic:pic>
              </a:graphicData>
            </a:graphic>
          </wp:anchor>
        </w:drawing>
      </w:r>
      <w:r>
        <w:pict>
          <v:shape id="_x0000_s1026" type="#_x0000_t202" style="width:118.25pt;height:44.55pt;margin-top:553.4pt;margin-left:111.95pt;mso-position-horizontal-relative:page;mso-position-vertical-relative:page;position:absolute;z-index:251659264" o:allowincell="f" filled="f" stroked="f">
            <o:lock v:ext="edit" aspectratio="f"/>
            <v:textbox inset="0,0,0,0">
              <w:txbxContent>
                <w:p>
                  <w:pPr>
                    <w:spacing w:line="20" w:lineRule="exact"/>
                  </w:pPr>
                </w:p>
                <w:tbl>
                  <w:tblPr>
                    <w:tblStyle w:val="TableNormal0"/>
                    <w:tblW w:w="2304" w:type="dxa"/>
                    <w:tblInd w:w="30" w:type="dxa"/>
                    <w:tblBorders>
                      <w:top w:val="single" w:sz="8" w:space="0" w:color="000000"/>
                      <w:left w:val="single" w:sz="8" w:space="0" w:color="000000"/>
                      <w:bottom w:val="single" w:sz="8" w:space="0" w:color="000000"/>
                      <w:right w:val="single" w:sz="8" w:space="0" w:color="000000"/>
                    </w:tblBorders>
                    <w:tblLayout w:type="fixed"/>
                  </w:tblPr>
                  <w:tblGrid>
                    <w:gridCol w:w="2304"/>
                  </w:tblGrid>
                  <w:tr>
                    <w:tblPrEx>
                      <w:tblW w:w="2304" w:type="dxa"/>
                      <w:tblInd w:w="30" w:type="dxa"/>
                      <w:tblBorders>
                        <w:top w:val="single" w:sz="8" w:space="0" w:color="000000"/>
                        <w:left w:val="single" w:sz="8" w:space="0" w:color="000000"/>
                        <w:bottom w:val="single" w:sz="8" w:space="0" w:color="000000"/>
                        <w:right w:val="single" w:sz="8" w:space="0" w:color="000000"/>
                      </w:tblBorders>
                      <w:tblLayout w:type="fixed"/>
                    </w:tblPrEx>
                    <w:trPr>
                      <w:trHeight w:val="810"/>
                    </w:trPr>
                    <w:tc>
                      <w:tcPr>
                        <w:tcW w:w="2304" w:type="dxa"/>
                        <w:vAlign w:val="top"/>
                      </w:tcPr>
                      <w:p>
                        <w:pPr>
                          <w:pStyle w:val="TableText"/>
                          <w:spacing w:before="99" w:line="222" w:lineRule="auto"/>
                          <w:ind w:left="196"/>
                        </w:pPr>
                        <w:r>
                          <w:rPr>
                            <w:color w:val="FF0000"/>
                            <w:spacing w:val="-2"/>
                          </w:rPr>
                          <w:t>广西环境科学学会</w:t>
                        </w:r>
                      </w:p>
                      <w:p>
                        <w:pPr>
                          <w:pStyle w:val="TableText"/>
                          <w:spacing w:before="23" w:line="222" w:lineRule="auto"/>
                          <w:ind w:left="317"/>
                        </w:pPr>
                        <w:r>
                          <w:rPr>
                            <w:spacing w:val="-3"/>
                          </w:rPr>
                          <w:t>组织标准审定会</w:t>
                        </w:r>
                      </w:p>
                    </w:tc>
                  </w:tr>
                </w:tbl>
                <w:p>
                  <w:pPr>
                    <w:rPr>
                      <w:rFonts w:ascii="Arial"/>
                      <w:sz w:val="21"/>
                    </w:rPr>
                  </w:pPr>
                </w:p>
              </w:txbxContent>
            </v:textbox>
          </v:shape>
        </w:pict>
      </w:r>
      <w:r>
        <w:rPr>
          <w:rFonts w:ascii="SimHei" w:eastAsia="SimHei" w:hAnsi="SimHei" w:cs="SimHei"/>
          <w:sz w:val="30"/>
          <w:szCs w:val="30"/>
          <w14:textOutline w14:w="5448" w14:cap="sq">
            <w14:solidFill>
              <w14:srgbClr w14:val="000000"/>
            </w14:solidFill>
            <w14:prstDash w14:val="solid"/>
            <w14:bevel/>
          </w14:textOutline>
        </w:rPr>
        <w:t>4.3.</w:t>
      </w:r>
      <w:r>
        <w:rPr>
          <w:rFonts w:ascii="SimHei" w:eastAsia="SimHei" w:hAnsi="SimHei" w:cs="SimHei"/>
          <w:spacing w:val="94"/>
          <w:sz w:val="30"/>
          <w:szCs w:val="30"/>
        </w:rPr>
        <w:t xml:space="preserve"> </w:t>
      </w:r>
      <w:r>
        <w:rPr>
          <w:rFonts w:ascii="SimHei" w:eastAsia="SimHei" w:hAnsi="SimHei" w:cs="SimHei"/>
          <w:sz w:val="30"/>
          <w:szCs w:val="30"/>
          <w14:textOutline w14:w="5448" w14:cap="sq">
            <w14:solidFill>
              <w14:srgbClr w14:val="000000"/>
            </w14:solidFill>
            <w14:prstDash w14:val="solid"/>
            <w14:bevel/>
          </w14:textOutline>
        </w:rPr>
        <w:t>标准制修订的技术路线</w:t>
      </w:r>
    </w:p>
    <w:p>
      <w:pPr>
        <w:spacing w:line="388" w:lineRule="auto"/>
        <w:rPr>
          <w:rFonts w:ascii="Arial"/>
          <w:sz w:val="21"/>
        </w:rPr>
      </w:pPr>
    </w:p>
    <w:p>
      <w:pPr>
        <w:pStyle w:val="BodyText"/>
        <w:spacing w:before="91" w:line="222" w:lineRule="auto"/>
        <w:ind w:left="578"/>
      </w:pPr>
      <w:r>
        <w:rPr>
          <w:spacing w:val="-2"/>
        </w:rPr>
        <w:t>本标准技术路线详见图1。</w:t>
      </w:r>
    </w:p>
    <w:p>
      <w:pPr>
        <w:spacing w:line="161" w:lineRule="exact"/>
      </w:pPr>
    </w:p>
    <w:tbl>
      <w:tblPr>
        <w:tblStyle w:val="TableNormal0"/>
        <w:tblW w:w="3392" w:type="dxa"/>
        <w:tblInd w:w="3243" w:type="dxa"/>
        <w:tblBorders>
          <w:top w:val="single" w:sz="8" w:space="0" w:color="000000"/>
          <w:left w:val="single" w:sz="8" w:space="0" w:color="000000"/>
          <w:bottom w:val="single" w:sz="8" w:space="0" w:color="000000"/>
          <w:right w:val="single" w:sz="8" w:space="0" w:color="000000"/>
        </w:tblBorders>
        <w:tblLayout w:type="fixed"/>
      </w:tblPr>
      <w:tblGrid>
        <w:gridCol w:w="3392"/>
      </w:tblGrid>
      <w:tr>
        <w:tblPrEx>
          <w:tblW w:w="3392" w:type="dxa"/>
          <w:tblInd w:w="3243" w:type="dxa"/>
          <w:tblBorders>
            <w:top w:val="single" w:sz="8" w:space="0" w:color="000000"/>
            <w:left w:val="single" w:sz="8" w:space="0" w:color="000000"/>
            <w:bottom w:val="single" w:sz="8" w:space="0" w:color="000000"/>
            <w:right w:val="single" w:sz="8" w:space="0" w:color="000000"/>
          </w:tblBorders>
          <w:tblLayout w:type="fixed"/>
        </w:tblPrEx>
        <w:trPr>
          <w:trHeight w:val="455"/>
        </w:trPr>
        <w:tc>
          <w:tcPr>
            <w:tcW w:w="3392" w:type="dxa"/>
            <w:vAlign w:val="top"/>
          </w:tcPr>
          <w:p>
            <w:pPr>
              <w:pStyle w:val="TableText"/>
              <w:spacing w:before="98" w:line="222" w:lineRule="auto"/>
              <w:ind w:left="984"/>
            </w:pPr>
            <w:r>
              <w:rPr>
                <w:spacing w:val="-4"/>
              </w:rPr>
              <w:t>成立编制小组</w:t>
            </w:r>
          </w:p>
        </w:tc>
      </w:tr>
    </w:tbl>
    <w:p>
      <w:pPr>
        <w:spacing w:before="10" w:line="408" w:lineRule="exact"/>
        <w:ind w:firstLine="5000"/>
      </w:pPr>
      <w:r>
        <w:rPr>
          <w:position w:val="-8"/>
        </w:rPr>
        <w:drawing>
          <wp:inline distT="0" distB="0" distL="0" distR="0">
            <wp:extent cx="76200" cy="259289"/>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3"/>
                    <a:stretch>
                      <a:fillRect/>
                    </a:stretch>
                  </pic:blipFill>
                  <pic:spPr>
                    <a:xfrm>
                      <a:off x="0" y="0"/>
                      <a:ext cx="76200" cy="259289"/>
                    </a:xfrm>
                    <a:prstGeom prst="rect">
                      <a:avLst/>
                    </a:prstGeom>
                  </pic:spPr>
                </pic:pic>
              </a:graphicData>
            </a:graphic>
          </wp:inline>
        </w:drawing>
      </w:r>
    </w:p>
    <w:tbl>
      <w:tblPr>
        <w:tblStyle w:val="TableNormal0"/>
        <w:tblW w:w="2857" w:type="dxa"/>
        <w:tblInd w:w="3527" w:type="dxa"/>
        <w:tblBorders>
          <w:top w:val="single" w:sz="8" w:space="0" w:color="000000"/>
          <w:left w:val="single" w:sz="8" w:space="0" w:color="000000"/>
          <w:bottom w:val="single" w:sz="8" w:space="0" w:color="000000"/>
          <w:right w:val="single" w:sz="8" w:space="0" w:color="000000"/>
        </w:tblBorders>
        <w:tblLayout w:type="fixed"/>
      </w:tblPr>
      <w:tblGrid>
        <w:gridCol w:w="2857"/>
      </w:tblGrid>
      <w:tr>
        <w:tblPrEx>
          <w:tblW w:w="2857" w:type="dxa"/>
          <w:tblInd w:w="3527" w:type="dxa"/>
          <w:tblBorders>
            <w:top w:val="single" w:sz="8" w:space="0" w:color="000000"/>
            <w:left w:val="single" w:sz="8" w:space="0" w:color="000000"/>
            <w:bottom w:val="single" w:sz="8" w:space="0" w:color="000000"/>
            <w:right w:val="single" w:sz="8" w:space="0" w:color="000000"/>
          </w:tblBorders>
          <w:tblLayout w:type="fixed"/>
        </w:tblPrEx>
        <w:trPr>
          <w:trHeight w:val="444"/>
        </w:trPr>
        <w:tc>
          <w:tcPr>
            <w:tcW w:w="2857" w:type="dxa"/>
            <w:vAlign w:val="top"/>
          </w:tcPr>
          <w:p>
            <w:pPr>
              <w:pStyle w:val="TableText"/>
              <w:spacing w:before="87" w:line="222" w:lineRule="auto"/>
              <w:ind w:left="235"/>
            </w:pPr>
            <w:r>
              <w:rPr>
                <w:spacing w:val="-2"/>
              </w:rPr>
              <w:t>组内启动会，分工安排</w:t>
            </w:r>
          </w:p>
        </w:tc>
      </w:tr>
    </w:tbl>
    <w:p>
      <w:pPr>
        <w:spacing w:before="26" w:line="408" w:lineRule="exact"/>
        <w:ind w:firstLine="5000"/>
      </w:pPr>
      <w:r>
        <w:rPr>
          <w:position w:val="-8"/>
        </w:rPr>
        <w:drawing>
          <wp:inline distT="0" distB="0" distL="0" distR="0">
            <wp:extent cx="76200" cy="259283"/>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4"/>
                    <a:stretch>
                      <a:fillRect/>
                    </a:stretch>
                  </pic:blipFill>
                  <pic:spPr>
                    <a:xfrm>
                      <a:off x="0" y="0"/>
                      <a:ext cx="76200" cy="259283"/>
                    </a:xfrm>
                    <a:prstGeom prst="rect">
                      <a:avLst/>
                    </a:prstGeom>
                  </pic:spPr>
                </pic:pic>
              </a:graphicData>
            </a:graphic>
          </wp:inline>
        </w:drawing>
      </w:r>
    </w:p>
    <w:tbl>
      <w:tblPr>
        <w:tblStyle w:val="TableNormal0"/>
        <w:tblW w:w="3871" w:type="dxa"/>
        <w:tblInd w:w="3005" w:type="dxa"/>
        <w:tblBorders>
          <w:top w:val="single" w:sz="8" w:space="0" w:color="000000"/>
          <w:left w:val="single" w:sz="8" w:space="0" w:color="000000"/>
          <w:bottom w:val="single" w:sz="8" w:space="0" w:color="000000"/>
          <w:right w:val="single" w:sz="8" w:space="0" w:color="000000"/>
        </w:tblBorders>
        <w:tblLayout w:type="fixed"/>
      </w:tblPr>
      <w:tblGrid>
        <w:gridCol w:w="3871"/>
      </w:tblGrid>
      <w:tr>
        <w:tblPrEx>
          <w:tblW w:w="3871" w:type="dxa"/>
          <w:tblInd w:w="3005" w:type="dxa"/>
          <w:tblBorders>
            <w:top w:val="single" w:sz="8" w:space="0" w:color="000000"/>
            <w:left w:val="single" w:sz="8" w:space="0" w:color="000000"/>
            <w:bottom w:val="single" w:sz="8" w:space="0" w:color="000000"/>
            <w:right w:val="single" w:sz="8" w:space="0" w:color="000000"/>
          </w:tblBorders>
          <w:tblLayout w:type="fixed"/>
        </w:tblPrEx>
        <w:trPr>
          <w:trHeight w:val="444"/>
        </w:trPr>
        <w:tc>
          <w:tcPr>
            <w:tcW w:w="3871" w:type="dxa"/>
            <w:vAlign w:val="top"/>
          </w:tcPr>
          <w:p>
            <w:pPr>
              <w:pStyle w:val="TableText"/>
              <w:spacing w:before="89" w:line="220" w:lineRule="auto"/>
              <w:ind w:left="632"/>
            </w:pPr>
            <w:r>
              <w:rPr>
                <w:spacing w:val="-3"/>
              </w:rPr>
              <w:t>收集相关资料，查阅文献</w:t>
            </w:r>
          </w:p>
        </w:tc>
      </w:tr>
    </w:tbl>
    <w:p>
      <w:pPr>
        <w:spacing w:before="27" w:line="408" w:lineRule="exact"/>
        <w:ind w:firstLine="5015"/>
      </w:pPr>
      <w:r>
        <w:rPr>
          <w:position w:val="-8"/>
        </w:rPr>
        <w:drawing>
          <wp:inline distT="0" distB="0" distL="0" distR="0">
            <wp:extent cx="76200" cy="259282"/>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5"/>
                    <a:stretch>
                      <a:fillRect/>
                    </a:stretch>
                  </pic:blipFill>
                  <pic:spPr>
                    <a:xfrm>
                      <a:off x="0" y="0"/>
                      <a:ext cx="76200" cy="259282"/>
                    </a:xfrm>
                    <a:prstGeom prst="rect">
                      <a:avLst/>
                    </a:prstGeom>
                  </pic:spPr>
                </pic:pic>
              </a:graphicData>
            </a:graphic>
          </wp:inline>
        </w:drawing>
      </w:r>
    </w:p>
    <w:tbl>
      <w:tblPr>
        <w:tblStyle w:val="TableNormal0"/>
        <w:tblW w:w="3902" w:type="dxa"/>
        <w:tblInd w:w="2978" w:type="dxa"/>
        <w:tblBorders>
          <w:top w:val="single" w:sz="4" w:space="0" w:color="000000"/>
          <w:left w:val="single" w:sz="4" w:space="0" w:color="000000"/>
          <w:bottom w:val="single" w:sz="4" w:space="0" w:color="000000"/>
          <w:right w:val="single" w:sz="4" w:space="0" w:color="000000"/>
        </w:tblBorders>
        <w:tblLayout w:type="fixed"/>
      </w:tblPr>
      <w:tblGrid>
        <w:gridCol w:w="3902"/>
      </w:tblGrid>
      <w:tr>
        <w:tblPrEx>
          <w:tblW w:w="3902" w:type="dxa"/>
          <w:tblInd w:w="2978" w:type="dxa"/>
          <w:tblBorders>
            <w:top w:val="single" w:sz="4" w:space="0" w:color="000000"/>
            <w:left w:val="single" w:sz="4" w:space="0" w:color="000000"/>
            <w:bottom w:val="single" w:sz="4" w:space="0" w:color="000000"/>
            <w:right w:val="single" w:sz="4" w:space="0" w:color="000000"/>
          </w:tblBorders>
          <w:tblLayout w:type="fixed"/>
        </w:tblPrEx>
        <w:trPr>
          <w:trHeight w:val="464"/>
        </w:trPr>
        <w:tc>
          <w:tcPr>
            <w:tcW w:w="3902" w:type="dxa"/>
            <w:vAlign w:val="top"/>
          </w:tcPr>
          <w:p>
            <w:pPr>
              <w:pStyle w:val="TableText"/>
              <w:spacing w:before="98" w:line="220" w:lineRule="auto"/>
              <w:ind w:left="164"/>
            </w:pPr>
            <w:r>
              <w:rPr>
                <w:spacing w:val="-2"/>
              </w:rPr>
              <w:t>筛选、整理、汇总相关资料和文献</w:t>
            </w:r>
          </w:p>
        </w:tc>
      </w:tr>
    </w:tbl>
    <w:p>
      <w:pPr>
        <w:spacing w:before="10" w:line="419" w:lineRule="exact"/>
        <w:ind w:firstLine="5015"/>
      </w:pPr>
      <w:r>
        <w:rPr>
          <w:position w:val="-8"/>
        </w:rPr>
        <w:drawing>
          <wp:inline distT="0" distB="0" distL="0" distR="0">
            <wp:extent cx="76200" cy="266306"/>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6"/>
                    <a:stretch>
                      <a:fillRect/>
                    </a:stretch>
                  </pic:blipFill>
                  <pic:spPr>
                    <a:xfrm>
                      <a:off x="0" y="0"/>
                      <a:ext cx="76200" cy="266306"/>
                    </a:xfrm>
                    <a:prstGeom prst="rect">
                      <a:avLst/>
                    </a:prstGeom>
                  </pic:spPr>
                </pic:pic>
              </a:graphicData>
            </a:graphic>
          </wp:inline>
        </w:drawing>
      </w:r>
    </w:p>
    <w:p>
      <w:pPr>
        <w:spacing w:line="115" w:lineRule="auto"/>
        <w:rPr>
          <w:rFonts w:ascii="Arial"/>
          <w:sz w:val="2"/>
        </w:rPr>
      </w:pPr>
    </w:p>
    <w:tbl>
      <w:tblPr>
        <w:tblStyle w:val="TableNormal0"/>
        <w:tblW w:w="2543" w:type="dxa"/>
        <w:tblInd w:w="3810" w:type="dxa"/>
        <w:tblBorders>
          <w:top w:val="single" w:sz="8" w:space="0" w:color="000000"/>
          <w:left w:val="single" w:sz="8" w:space="0" w:color="000000"/>
          <w:bottom w:val="single" w:sz="8" w:space="0" w:color="000000"/>
          <w:right w:val="single" w:sz="8" w:space="0" w:color="000000"/>
        </w:tblBorders>
        <w:tblLayout w:type="fixed"/>
      </w:tblPr>
      <w:tblGrid>
        <w:gridCol w:w="2543"/>
      </w:tblGrid>
      <w:tr>
        <w:tblPrEx>
          <w:tblW w:w="2543" w:type="dxa"/>
          <w:tblInd w:w="3810" w:type="dxa"/>
          <w:tblBorders>
            <w:top w:val="single" w:sz="8" w:space="0" w:color="000000"/>
            <w:left w:val="single" w:sz="8" w:space="0" w:color="000000"/>
            <w:bottom w:val="single" w:sz="8" w:space="0" w:color="000000"/>
            <w:right w:val="single" w:sz="8" w:space="0" w:color="000000"/>
          </w:tblBorders>
          <w:tblLayout w:type="fixed"/>
        </w:tblPrEx>
        <w:trPr>
          <w:trHeight w:val="472"/>
        </w:trPr>
        <w:tc>
          <w:tcPr>
            <w:tcW w:w="2543" w:type="dxa"/>
            <w:vAlign w:val="top"/>
          </w:tcPr>
          <w:p>
            <w:pPr>
              <w:pStyle w:val="TableText"/>
              <w:spacing w:before="97" w:line="222" w:lineRule="auto"/>
              <w:ind w:left="559"/>
            </w:pPr>
            <w:r>
              <w:rPr>
                <w:spacing w:val="-3"/>
              </w:rPr>
              <w:t>编制标准初稿</w:t>
            </w:r>
          </w:p>
        </w:tc>
      </w:tr>
    </w:tbl>
    <w:p>
      <w:pPr>
        <w:spacing w:before="10" w:line="419" w:lineRule="exact"/>
        <w:ind w:firstLine="5000"/>
      </w:pPr>
      <w:r>
        <w:rPr>
          <w:position w:val="-8"/>
        </w:rPr>
        <w:drawing>
          <wp:inline distT="0" distB="0" distL="0" distR="0">
            <wp:extent cx="76200" cy="266306"/>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7"/>
                    <a:stretch>
                      <a:fillRect/>
                    </a:stretch>
                  </pic:blipFill>
                  <pic:spPr>
                    <a:xfrm>
                      <a:off x="0" y="0"/>
                      <a:ext cx="76200" cy="266306"/>
                    </a:xfrm>
                    <a:prstGeom prst="rect">
                      <a:avLst/>
                    </a:prstGeom>
                  </pic:spPr>
                </pic:pic>
              </a:graphicData>
            </a:graphic>
          </wp:inline>
        </w:drawing>
      </w:r>
    </w:p>
    <w:p>
      <w:pPr>
        <w:spacing w:line="26" w:lineRule="exact"/>
      </w:pPr>
    </w:p>
    <w:tbl>
      <w:tblPr>
        <w:tblStyle w:val="TableNormal0"/>
        <w:tblW w:w="3153" w:type="dxa"/>
        <w:tblInd w:w="3482" w:type="dxa"/>
        <w:tblBorders>
          <w:top w:val="single" w:sz="8" w:space="0" w:color="000000"/>
          <w:left w:val="single" w:sz="8" w:space="0" w:color="000000"/>
          <w:bottom w:val="single" w:sz="8" w:space="0" w:color="000000"/>
          <w:right w:val="single" w:sz="8" w:space="0" w:color="000000"/>
        </w:tblBorders>
        <w:tblLayout w:type="fixed"/>
      </w:tblPr>
      <w:tblGrid>
        <w:gridCol w:w="3153"/>
      </w:tblGrid>
      <w:tr>
        <w:tblPrEx>
          <w:tblW w:w="3153" w:type="dxa"/>
          <w:tblInd w:w="3482" w:type="dxa"/>
          <w:tblBorders>
            <w:top w:val="single" w:sz="8" w:space="0" w:color="000000"/>
            <w:left w:val="single" w:sz="8" w:space="0" w:color="000000"/>
            <w:bottom w:val="single" w:sz="8" w:space="0" w:color="000000"/>
            <w:right w:val="single" w:sz="8" w:space="0" w:color="000000"/>
          </w:tblBorders>
          <w:tblLayout w:type="fixed"/>
        </w:tblPrEx>
        <w:trPr>
          <w:trHeight w:val="439"/>
        </w:trPr>
        <w:tc>
          <w:tcPr>
            <w:tcW w:w="3153" w:type="dxa"/>
            <w:vAlign w:val="top"/>
          </w:tcPr>
          <w:p>
            <w:pPr>
              <w:pStyle w:val="TableText"/>
              <w:spacing w:before="98" w:line="222" w:lineRule="auto"/>
              <w:ind w:left="504"/>
            </w:pPr>
            <w:r>
              <w:rPr>
                <w:spacing w:val="-2"/>
              </w:rPr>
              <w:t>编制标准征求意见稿</w:t>
            </w:r>
          </w:p>
        </w:tc>
      </w:tr>
    </w:tbl>
    <w:p>
      <w:pPr>
        <w:spacing w:before="27" w:line="408" w:lineRule="exact"/>
        <w:ind w:firstLine="5000"/>
      </w:pPr>
      <w:r>
        <w:rPr>
          <w:position w:val="-8"/>
        </w:rPr>
        <w:drawing>
          <wp:inline distT="0" distB="0" distL="0" distR="0">
            <wp:extent cx="76200" cy="259289"/>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8"/>
                    <a:stretch>
                      <a:fillRect/>
                    </a:stretch>
                  </pic:blipFill>
                  <pic:spPr>
                    <a:xfrm>
                      <a:off x="0" y="0"/>
                      <a:ext cx="76200" cy="259289"/>
                    </a:xfrm>
                    <a:prstGeom prst="rect">
                      <a:avLst/>
                    </a:prstGeom>
                  </pic:spPr>
                </pic:pic>
              </a:graphicData>
            </a:graphic>
          </wp:inline>
        </w:drawing>
      </w:r>
    </w:p>
    <w:tbl>
      <w:tblPr>
        <w:tblStyle w:val="TableNormal0"/>
        <w:tblW w:w="2573" w:type="dxa"/>
        <w:tblInd w:w="3751" w:type="dxa"/>
        <w:tblBorders>
          <w:top w:val="single" w:sz="8" w:space="0" w:color="000000"/>
          <w:left w:val="single" w:sz="8" w:space="0" w:color="000000"/>
          <w:bottom w:val="single" w:sz="8" w:space="0" w:color="000000"/>
          <w:right w:val="single" w:sz="8" w:space="0" w:color="000000"/>
        </w:tblBorders>
        <w:tblLayout w:type="fixed"/>
      </w:tblPr>
      <w:tblGrid>
        <w:gridCol w:w="2573"/>
      </w:tblGrid>
      <w:tr>
        <w:tblPrEx>
          <w:tblW w:w="2573" w:type="dxa"/>
          <w:tblInd w:w="3751" w:type="dxa"/>
          <w:tblBorders>
            <w:top w:val="single" w:sz="8" w:space="0" w:color="000000"/>
            <w:left w:val="single" w:sz="8" w:space="0" w:color="000000"/>
            <w:bottom w:val="single" w:sz="8" w:space="0" w:color="000000"/>
            <w:right w:val="single" w:sz="8" w:space="0" w:color="000000"/>
          </w:tblBorders>
          <w:tblLayout w:type="fixed"/>
        </w:tblPrEx>
        <w:trPr>
          <w:trHeight w:val="477"/>
        </w:trPr>
        <w:tc>
          <w:tcPr>
            <w:tcW w:w="2573" w:type="dxa"/>
            <w:vAlign w:val="top"/>
          </w:tcPr>
          <w:p>
            <w:pPr>
              <w:pStyle w:val="TableText"/>
              <w:spacing w:before="87" w:line="222" w:lineRule="auto"/>
              <w:ind w:left="214"/>
            </w:pPr>
            <w:r>
              <w:rPr>
                <w:spacing w:val="-3"/>
              </w:rPr>
              <w:t>专家咨询及征求意见</w:t>
            </w:r>
          </w:p>
        </w:tc>
      </w:tr>
    </w:tbl>
    <w:p>
      <w:pPr>
        <w:spacing w:before="58" w:line="420" w:lineRule="exact"/>
        <w:ind w:firstLine="5000"/>
      </w:pPr>
      <w:r>
        <w:rPr>
          <w:position w:val="-8"/>
        </w:rPr>
        <w:drawing>
          <wp:inline distT="0" distB="0" distL="0" distR="0">
            <wp:extent cx="76200" cy="266103"/>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9"/>
                    <a:stretch>
                      <a:fillRect/>
                    </a:stretch>
                  </pic:blipFill>
                  <pic:spPr>
                    <a:xfrm>
                      <a:off x="0" y="0"/>
                      <a:ext cx="76200" cy="266103"/>
                    </a:xfrm>
                    <a:prstGeom prst="rect">
                      <a:avLst/>
                    </a:prstGeom>
                  </pic:spPr>
                </pic:pic>
              </a:graphicData>
            </a:graphic>
          </wp:inline>
        </w:drawing>
      </w:r>
    </w:p>
    <w:p>
      <w:pPr>
        <w:spacing w:line="109" w:lineRule="auto"/>
        <w:rPr>
          <w:rFonts w:ascii="Arial"/>
          <w:sz w:val="2"/>
        </w:rPr>
      </w:pPr>
    </w:p>
    <w:tbl>
      <w:tblPr>
        <w:tblStyle w:val="TableNormal0"/>
        <w:tblW w:w="2573" w:type="dxa"/>
        <w:tblInd w:w="3751" w:type="dxa"/>
        <w:tblBorders>
          <w:top w:val="single" w:sz="8" w:space="0" w:color="000000"/>
          <w:left w:val="single" w:sz="8" w:space="0" w:color="000000"/>
          <w:bottom w:val="single" w:sz="8" w:space="0" w:color="000000"/>
          <w:right w:val="single" w:sz="8" w:space="0" w:color="000000"/>
        </w:tblBorders>
        <w:tblLayout w:type="fixed"/>
      </w:tblPr>
      <w:tblGrid>
        <w:gridCol w:w="2573"/>
      </w:tblGrid>
      <w:tr>
        <w:tblPrEx>
          <w:tblW w:w="2573" w:type="dxa"/>
          <w:tblInd w:w="3751" w:type="dxa"/>
          <w:tblBorders>
            <w:top w:val="single" w:sz="8" w:space="0" w:color="000000"/>
            <w:left w:val="single" w:sz="8" w:space="0" w:color="000000"/>
            <w:bottom w:val="single" w:sz="8" w:space="0" w:color="000000"/>
            <w:right w:val="single" w:sz="8" w:space="0" w:color="000000"/>
          </w:tblBorders>
          <w:tblLayout w:type="fixed"/>
        </w:tblPrEx>
        <w:trPr>
          <w:trHeight w:val="455"/>
        </w:trPr>
        <w:tc>
          <w:tcPr>
            <w:tcW w:w="2573" w:type="dxa"/>
            <w:vAlign w:val="top"/>
          </w:tcPr>
          <w:p>
            <w:pPr>
              <w:pStyle w:val="TableText"/>
              <w:spacing w:before="100" w:line="224" w:lineRule="auto"/>
              <w:ind w:left="460"/>
            </w:pPr>
            <w:r>
              <w:rPr>
                <w:spacing w:val="-4"/>
              </w:rPr>
              <w:t>汇总意见、处理</w:t>
            </w:r>
          </w:p>
        </w:tc>
      </w:tr>
    </w:tbl>
    <w:p>
      <w:pPr>
        <w:spacing w:before="26" w:line="400" w:lineRule="exact"/>
        <w:ind w:firstLine="4985"/>
      </w:pPr>
      <w:r>
        <w:rPr>
          <w:position w:val="-8"/>
        </w:rPr>
        <w:drawing>
          <wp:inline distT="0" distB="0" distL="0" distR="0">
            <wp:extent cx="76200" cy="254063"/>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0"/>
                    <a:stretch>
                      <a:fillRect/>
                    </a:stretch>
                  </pic:blipFill>
                  <pic:spPr>
                    <a:xfrm>
                      <a:off x="0" y="0"/>
                      <a:ext cx="76200" cy="254063"/>
                    </a:xfrm>
                    <a:prstGeom prst="rect">
                      <a:avLst/>
                    </a:prstGeom>
                  </pic:spPr>
                </pic:pic>
              </a:graphicData>
            </a:graphic>
          </wp:inline>
        </w:drawing>
      </w:r>
    </w:p>
    <w:tbl>
      <w:tblPr>
        <w:tblStyle w:val="TableNormal0"/>
        <w:tblW w:w="3319" w:type="dxa"/>
        <w:tblInd w:w="3408" w:type="dxa"/>
        <w:tblBorders>
          <w:top w:val="single" w:sz="8" w:space="0" w:color="000000"/>
          <w:left w:val="single" w:sz="8" w:space="0" w:color="000000"/>
          <w:bottom w:val="single" w:sz="8" w:space="0" w:color="000000"/>
          <w:right w:val="single" w:sz="8" w:space="0" w:color="000000"/>
        </w:tblBorders>
        <w:tblLayout w:type="fixed"/>
      </w:tblPr>
      <w:tblGrid>
        <w:gridCol w:w="3319"/>
      </w:tblGrid>
      <w:tr>
        <w:tblPrEx>
          <w:tblW w:w="3319" w:type="dxa"/>
          <w:tblInd w:w="3408" w:type="dxa"/>
          <w:tblBorders>
            <w:top w:val="single" w:sz="8" w:space="0" w:color="000000"/>
            <w:left w:val="single" w:sz="8" w:space="0" w:color="000000"/>
            <w:bottom w:val="single" w:sz="8" w:space="0" w:color="000000"/>
            <w:right w:val="single" w:sz="8" w:space="0" w:color="000000"/>
          </w:tblBorders>
          <w:tblLayout w:type="fixed"/>
        </w:tblPrEx>
        <w:trPr>
          <w:trHeight w:val="403"/>
        </w:trPr>
        <w:tc>
          <w:tcPr>
            <w:tcW w:w="3319" w:type="dxa"/>
            <w:vAlign w:val="top"/>
          </w:tcPr>
          <w:p>
            <w:pPr>
              <w:pStyle w:val="TableText"/>
              <w:spacing w:before="80" w:line="222" w:lineRule="auto"/>
              <w:ind w:left="223"/>
            </w:pPr>
            <w:r>
              <w:rPr>
                <w:spacing w:val="-2"/>
              </w:rPr>
              <w:t>修改完善后，形成标准的送</w:t>
            </w:r>
          </w:p>
        </w:tc>
      </w:tr>
    </w:tbl>
    <w:p>
      <w:pPr>
        <w:spacing w:before="43" w:line="419" w:lineRule="exact"/>
        <w:ind w:firstLine="4970"/>
      </w:pPr>
      <w:r>
        <w:rPr>
          <w:position w:val="-8"/>
        </w:rPr>
        <w:drawing>
          <wp:inline distT="0" distB="0" distL="0" distR="0">
            <wp:extent cx="76200" cy="26609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1"/>
                    <a:stretch>
                      <a:fillRect/>
                    </a:stretch>
                  </pic:blipFill>
                  <pic:spPr>
                    <a:xfrm>
                      <a:off x="0" y="0"/>
                      <a:ext cx="76200" cy="266090"/>
                    </a:xfrm>
                    <a:prstGeom prst="rect">
                      <a:avLst/>
                    </a:prstGeom>
                  </pic:spPr>
                </pic:pic>
              </a:graphicData>
            </a:graphic>
          </wp:inline>
        </w:drawing>
      </w:r>
    </w:p>
    <w:tbl>
      <w:tblPr>
        <w:tblStyle w:val="TableNormal0"/>
        <w:tblW w:w="1289" w:type="dxa"/>
        <w:tblInd w:w="4318" w:type="dxa"/>
        <w:tblBorders>
          <w:top w:val="single" w:sz="8" w:space="0" w:color="000000"/>
          <w:left w:val="single" w:sz="8" w:space="0" w:color="000000"/>
          <w:bottom w:val="single" w:sz="8" w:space="0" w:color="000000"/>
          <w:right w:val="single" w:sz="8" w:space="0" w:color="000000"/>
        </w:tblBorders>
        <w:tblLayout w:type="fixed"/>
      </w:tblPr>
      <w:tblGrid>
        <w:gridCol w:w="1289"/>
      </w:tblGrid>
      <w:tr>
        <w:tblPrEx>
          <w:tblW w:w="1289" w:type="dxa"/>
          <w:tblInd w:w="4318" w:type="dxa"/>
          <w:tblBorders>
            <w:top w:val="single" w:sz="8" w:space="0" w:color="000000"/>
            <w:left w:val="single" w:sz="8" w:space="0" w:color="000000"/>
            <w:bottom w:val="single" w:sz="8" w:space="0" w:color="000000"/>
            <w:right w:val="single" w:sz="8" w:space="0" w:color="000000"/>
          </w:tblBorders>
          <w:tblLayout w:type="fixed"/>
        </w:tblPrEx>
        <w:trPr>
          <w:trHeight w:val="455"/>
        </w:trPr>
        <w:tc>
          <w:tcPr>
            <w:tcW w:w="1289" w:type="dxa"/>
            <w:vAlign w:val="top"/>
          </w:tcPr>
          <w:p>
            <w:pPr>
              <w:pStyle w:val="TableText"/>
              <w:spacing w:before="98" w:line="222" w:lineRule="auto"/>
              <w:ind w:left="411"/>
            </w:pPr>
            <w:r>
              <w:rPr>
                <w:spacing w:val="-9"/>
              </w:rPr>
              <w:t>评审</w:t>
            </w:r>
          </w:p>
        </w:tc>
      </w:tr>
    </w:tbl>
    <w:p>
      <w:pPr>
        <w:sectPr>
          <w:footerReference w:type="default" r:id="rId22"/>
          <w:pgSz w:w="11906" w:h="16840"/>
          <w:pgMar w:top="1415" w:right="1785" w:bottom="1314" w:left="1785" w:header="0" w:footer="1147" w:gutter="0"/>
          <w:pgNumType w:start="9"/>
          <w:cols w:space="708"/>
        </w:sectPr>
      </w:pPr>
    </w:p>
    <w:p>
      <w:pPr>
        <w:spacing w:before="10" w:line="416" w:lineRule="exact"/>
        <w:ind w:firstLine="4955"/>
      </w:pPr>
      <w:r>
        <w:rPr>
          <w:position w:val="-8"/>
        </w:rPr>
        <w:drawing>
          <wp:inline distT="0" distB="0" distL="0" distR="0">
            <wp:extent cx="76200" cy="26430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23"/>
                    <a:stretch>
                      <a:fillRect/>
                    </a:stretch>
                  </pic:blipFill>
                  <pic:spPr>
                    <a:xfrm>
                      <a:off x="0" y="0"/>
                      <a:ext cx="76200" cy="264305"/>
                    </a:xfrm>
                    <a:prstGeom prst="rect">
                      <a:avLst/>
                    </a:prstGeom>
                  </pic:spPr>
                </pic:pic>
              </a:graphicData>
            </a:graphic>
          </wp:inline>
        </w:drawing>
      </w:r>
    </w:p>
    <w:tbl>
      <w:tblPr>
        <w:tblStyle w:val="TableNormal1"/>
        <w:tblW w:w="2065" w:type="dxa"/>
        <w:tblInd w:w="3945" w:type="dxa"/>
        <w:tblBorders>
          <w:top w:val="single" w:sz="8" w:space="0" w:color="000000"/>
          <w:left w:val="single" w:sz="8" w:space="0" w:color="000000"/>
          <w:bottom w:val="single" w:sz="8" w:space="0" w:color="000000"/>
          <w:right w:val="single" w:sz="8" w:space="0" w:color="000000"/>
        </w:tblBorders>
        <w:tblLayout w:type="fixed"/>
      </w:tblPr>
      <w:tblGrid>
        <w:gridCol w:w="2065"/>
      </w:tblGrid>
      <w:tr>
        <w:tblPrEx>
          <w:tblW w:w="2065" w:type="dxa"/>
          <w:tblInd w:w="3945" w:type="dxa"/>
          <w:tblBorders>
            <w:top w:val="single" w:sz="8" w:space="0" w:color="000000"/>
            <w:left w:val="single" w:sz="8" w:space="0" w:color="000000"/>
            <w:bottom w:val="single" w:sz="8" w:space="0" w:color="000000"/>
            <w:right w:val="single" w:sz="8" w:space="0" w:color="000000"/>
          </w:tblBorders>
          <w:tblLayout w:type="fixed"/>
        </w:tblPrEx>
        <w:trPr>
          <w:trHeight w:val="453"/>
        </w:trPr>
        <w:tc>
          <w:tcPr>
            <w:tcW w:w="2065" w:type="dxa"/>
            <w:vAlign w:val="top"/>
          </w:tcPr>
          <w:p>
            <w:pPr>
              <w:pStyle w:val="TableText"/>
              <w:spacing w:before="97" w:line="223" w:lineRule="auto"/>
              <w:ind w:left="318"/>
            </w:pPr>
            <w:r>
              <w:rPr>
                <w:spacing w:val="-3"/>
              </w:rPr>
              <w:t>反馈处理意见</w:t>
            </w:r>
          </w:p>
        </w:tc>
      </w:tr>
    </w:tbl>
    <w:p>
      <w:pPr>
        <w:spacing w:before="10" w:line="419" w:lineRule="exact"/>
        <w:ind w:firstLine="4940"/>
      </w:pPr>
      <w:r>
        <w:rPr>
          <w:position w:val="-8"/>
        </w:rPr>
        <w:drawing>
          <wp:inline distT="0" distB="0" distL="0" distR="0">
            <wp:extent cx="76200" cy="266102"/>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24"/>
                    <a:stretch>
                      <a:fillRect/>
                    </a:stretch>
                  </pic:blipFill>
                  <pic:spPr>
                    <a:xfrm>
                      <a:off x="0" y="0"/>
                      <a:ext cx="76200" cy="266102"/>
                    </a:xfrm>
                    <a:prstGeom prst="rect">
                      <a:avLst/>
                    </a:prstGeom>
                  </pic:spPr>
                </pic:pic>
              </a:graphicData>
            </a:graphic>
          </wp:inline>
        </w:drawing>
      </w:r>
    </w:p>
    <w:p>
      <w:pPr>
        <w:spacing w:line="117" w:lineRule="auto"/>
        <w:rPr>
          <w:rFonts w:ascii="Arial"/>
          <w:sz w:val="2"/>
        </w:rPr>
      </w:pPr>
    </w:p>
    <w:tbl>
      <w:tblPr>
        <w:tblStyle w:val="TableNormal1"/>
        <w:tblW w:w="3005" w:type="dxa"/>
        <w:tblInd w:w="3482" w:type="dxa"/>
        <w:tblBorders>
          <w:top w:val="single" w:sz="8" w:space="0" w:color="000000"/>
          <w:left w:val="single" w:sz="8" w:space="0" w:color="000000"/>
          <w:bottom w:val="single" w:sz="8" w:space="0" w:color="000000"/>
          <w:right w:val="single" w:sz="8" w:space="0" w:color="000000"/>
        </w:tblBorders>
        <w:tblLayout w:type="fixed"/>
      </w:tblPr>
      <w:tblGrid>
        <w:gridCol w:w="3005"/>
      </w:tblGrid>
      <w:tr>
        <w:tblPrEx>
          <w:tblW w:w="3005" w:type="dxa"/>
          <w:tblInd w:w="3482" w:type="dxa"/>
          <w:tblBorders>
            <w:top w:val="single" w:sz="8" w:space="0" w:color="000000"/>
            <w:left w:val="single" w:sz="8" w:space="0" w:color="000000"/>
            <w:bottom w:val="single" w:sz="8" w:space="0" w:color="000000"/>
            <w:right w:val="single" w:sz="8" w:space="0" w:color="000000"/>
          </w:tblBorders>
          <w:tblLayout w:type="fixed"/>
        </w:tblPrEx>
        <w:trPr>
          <w:trHeight w:val="455"/>
        </w:trPr>
        <w:tc>
          <w:tcPr>
            <w:tcW w:w="3005" w:type="dxa"/>
            <w:vAlign w:val="top"/>
          </w:tcPr>
          <w:p>
            <w:pPr>
              <w:pStyle w:val="TableText"/>
              <w:spacing w:before="98" w:line="220" w:lineRule="auto"/>
              <w:ind w:left="669"/>
            </w:pPr>
            <w:r>
              <w:rPr>
                <w:spacing w:val="-3"/>
              </w:rPr>
              <w:t>上报标准发布稿</w:t>
            </w:r>
          </w:p>
        </w:tc>
      </w:tr>
    </w:tbl>
    <w:p>
      <w:pPr>
        <w:spacing w:before="207" w:line="219" w:lineRule="auto"/>
        <w:ind w:left="2842"/>
        <w:rPr>
          <w:rFonts w:ascii="SimSun" w:eastAsia="SimSun" w:hAnsi="SimSun" w:cs="SimSun"/>
          <w:sz w:val="24"/>
          <w:szCs w:val="24"/>
        </w:rPr>
      </w:pPr>
      <w:r>
        <w:rPr>
          <w:rFonts w:ascii="SimSun" w:eastAsia="SimSun" w:hAnsi="SimSun" w:cs="SimSun"/>
          <w:spacing w:val="-9"/>
          <w:sz w:val="24"/>
          <w:szCs w:val="24"/>
          <w14:textOutline w14:w="4358" w14:cap="sq">
            <w14:solidFill>
              <w14:srgbClr w14:val="000000"/>
            </w14:solidFill>
            <w14:prstDash w14:val="solid"/>
            <w14:bevel/>
          </w14:textOutline>
        </w:rPr>
        <w:t>图1</w:t>
      </w:r>
      <w:r>
        <w:rPr>
          <w:rFonts w:ascii="SimSun" w:eastAsia="SimSun" w:hAnsi="SimSun" w:cs="SimSun"/>
          <w:spacing w:val="-9"/>
          <w:sz w:val="24"/>
          <w:szCs w:val="24"/>
        </w:rPr>
        <w:t xml:space="preserve"> </w:t>
      </w:r>
      <w:r>
        <w:rPr>
          <w:rFonts w:ascii="SimSun" w:eastAsia="SimSun" w:hAnsi="SimSun" w:cs="SimSun"/>
          <w:spacing w:val="-9"/>
          <w:sz w:val="24"/>
          <w:szCs w:val="24"/>
          <w14:textOutline w14:w="4358" w14:cap="sq">
            <w14:solidFill>
              <w14:srgbClr w14:val="000000"/>
            </w14:solidFill>
            <w14:prstDash w14:val="solid"/>
            <w14:bevel/>
          </w14:textOutline>
        </w:rPr>
        <w:t>本标准制订的技术路线</w:t>
      </w:r>
    </w:p>
    <w:p>
      <w:pPr>
        <w:spacing w:line="219" w:lineRule="auto"/>
        <w:rPr>
          <w:rFonts w:ascii="SimSun" w:eastAsia="SimSun" w:hAnsi="SimSun" w:cs="SimSun"/>
          <w:sz w:val="24"/>
          <w:szCs w:val="24"/>
        </w:rPr>
        <w:sectPr>
          <w:footerReference w:type="default" r:id="rId25"/>
          <w:type w:val="nextPage"/>
          <w:pgSz w:w="11906" w:h="16840"/>
          <w:pgMar w:top="1415" w:right="1785" w:bottom="1314" w:left="1785" w:header="0" w:footer="1147" w:gutter="0"/>
          <w:pgNumType w:start="10"/>
          <w:cols w:space="708"/>
          <w:titlePg w:val="0"/>
        </w:sectPr>
      </w:pPr>
    </w:p>
    <w:p>
      <w:pPr>
        <w:spacing w:before="64" w:line="228" w:lineRule="auto"/>
        <w:ind w:left="4"/>
        <w:outlineLvl w:val="0"/>
        <w:rPr>
          <w:rFonts w:ascii="SimHei" w:eastAsia="SimHei" w:hAnsi="SimHei" w:cs="SimHei"/>
          <w:sz w:val="31"/>
          <w:szCs w:val="31"/>
        </w:rPr>
      </w:pPr>
      <w:r>
        <w:rPr>
          <w:rFonts w:ascii="SimHei" w:eastAsia="SimHei" w:hAnsi="SimHei" w:cs="SimHei"/>
          <w:spacing w:val="6"/>
          <w:sz w:val="31"/>
          <w:szCs w:val="31"/>
          <w14:textOutline w14:w="5793" w14:cap="sq">
            <w14:solidFill>
              <w14:srgbClr w14:val="000000"/>
            </w14:solidFill>
            <w14:prstDash w14:val="solid"/>
            <w14:bevel/>
          </w14:textOutline>
        </w:rPr>
        <w:t>5.</w:t>
      </w:r>
      <w:r>
        <w:rPr>
          <w:rFonts w:ascii="SimHei" w:eastAsia="SimHei" w:hAnsi="SimHei" w:cs="SimHei"/>
          <w:spacing w:val="-35"/>
          <w:sz w:val="31"/>
          <w:szCs w:val="31"/>
        </w:rPr>
        <w:t xml:space="preserve"> </w:t>
      </w:r>
      <w:r>
        <w:rPr>
          <w:rFonts w:ascii="SimHei" w:eastAsia="SimHei" w:hAnsi="SimHei" w:cs="SimHei"/>
          <w:spacing w:val="6"/>
          <w:sz w:val="31"/>
          <w:szCs w:val="31"/>
          <w14:textOutline w14:w="5793" w14:cap="sq">
            <w14:solidFill>
              <w14:srgbClr w14:val="000000"/>
            </w14:solidFill>
            <w14:prstDash w14:val="solid"/>
            <w14:bevel/>
          </w14:textOutline>
        </w:rPr>
        <w:t>主要技术内容</w:t>
      </w:r>
    </w:p>
    <w:p>
      <w:pPr>
        <w:spacing w:line="467" w:lineRule="auto"/>
        <w:rPr>
          <w:rFonts w:ascii="Arial"/>
          <w:sz w:val="21"/>
        </w:rPr>
      </w:pPr>
    </w:p>
    <w:p>
      <w:pPr>
        <w:spacing w:before="98" w:line="222" w:lineRule="auto"/>
        <w:ind w:left="4"/>
        <w:outlineLvl w:val="1"/>
        <w:rPr>
          <w:rFonts w:ascii="SimHei" w:eastAsia="SimHei" w:hAnsi="SimHei" w:cs="SimHei"/>
          <w:sz w:val="30"/>
          <w:szCs w:val="30"/>
        </w:rPr>
      </w:pPr>
      <w:r>
        <w:rPr>
          <w:rFonts w:ascii="SimHei" w:eastAsia="SimHei" w:hAnsi="SimHei" w:cs="SimHei"/>
          <w:spacing w:val="-1"/>
          <w:sz w:val="30"/>
          <w:szCs w:val="30"/>
          <w14:textOutline w14:w="5448" w14:cap="sq">
            <w14:solidFill>
              <w14:srgbClr w14:val="000000"/>
            </w14:solidFill>
            <w14:prstDash w14:val="solid"/>
            <w14:bevel/>
          </w14:textOutline>
        </w:rPr>
        <w:t>5.1.</w:t>
      </w:r>
      <w:r>
        <w:rPr>
          <w:rFonts w:ascii="SimHei" w:eastAsia="SimHei" w:hAnsi="SimHei" w:cs="SimHei"/>
          <w:spacing w:val="97"/>
          <w:sz w:val="30"/>
          <w:szCs w:val="30"/>
        </w:rPr>
        <w:t xml:space="preserve"> </w:t>
      </w:r>
      <w:r>
        <w:rPr>
          <w:rFonts w:ascii="SimHei" w:eastAsia="SimHei" w:hAnsi="SimHei" w:cs="SimHei"/>
          <w:spacing w:val="-1"/>
          <w:sz w:val="30"/>
          <w:szCs w:val="30"/>
          <w14:textOutline w14:w="5448" w14:cap="sq">
            <w14:solidFill>
              <w14:srgbClr w14:val="000000"/>
            </w14:solidFill>
            <w14:prstDash w14:val="solid"/>
            <w14:bevel/>
          </w14:textOutline>
        </w:rPr>
        <w:t>术语和定义</w:t>
      </w:r>
    </w:p>
    <w:p>
      <w:pPr>
        <w:spacing w:line="384" w:lineRule="auto"/>
        <w:rPr>
          <w:rFonts w:ascii="Arial"/>
          <w:sz w:val="21"/>
        </w:rPr>
      </w:pPr>
    </w:p>
    <w:p>
      <w:pPr>
        <w:pStyle w:val="BodyText"/>
        <w:spacing w:before="91" w:line="223" w:lineRule="auto"/>
        <w:ind w:left="614"/>
      </w:pPr>
      <w:r>
        <w:rPr>
          <w:spacing w:val="-9"/>
        </w:rPr>
        <w:t>下列术语和定义适用于本文件。</w:t>
      </w:r>
    </w:p>
    <w:p>
      <w:pPr>
        <w:spacing w:before="205" w:line="222" w:lineRule="auto"/>
        <w:ind w:left="4"/>
        <w:outlineLvl w:val="2"/>
        <w:rPr>
          <w:rFonts w:ascii="SimHei" w:eastAsia="SimHei" w:hAnsi="SimHei" w:cs="SimHei"/>
          <w:sz w:val="28"/>
          <w:szCs w:val="28"/>
        </w:rPr>
      </w:pPr>
      <w:r>
        <w:rPr>
          <w:rFonts w:ascii="SimHei" w:eastAsia="SimHei" w:hAnsi="SimHei" w:cs="SimHei"/>
          <w:spacing w:val="-1"/>
          <w:sz w:val="28"/>
          <w:szCs w:val="28"/>
          <w14:textOutline w14:w="5103" w14:cap="sq">
            <w14:solidFill>
              <w14:srgbClr w14:val="000000"/>
            </w14:solidFill>
            <w14:prstDash w14:val="solid"/>
            <w14:bevel/>
          </w14:textOutline>
        </w:rPr>
        <w:t>5.1.1.</w:t>
      </w:r>
      <w:r>
        <w:rPr>
          <w:rFonts w:ascii="SimHei" w:eastAsia="SimHei" w:hAnsi="SimHei" w:cs="SimHei"/>
          <w:spacing w:val="-1"/>
          <w:sz w:val="28"/>
          <w:szCs w:val="28"/>
        </w:rPr>
        <w:t xml:space="preserve">   </w:t>
      </w:r>
      <w:r>
        <w:rPr>
          <w:rFonts w:ascii="SimHei" w:eastAsia="SimHei" w:hAnsi="SimHei" w:cs="SimHei"/>
          <w:spacing w:val="-1"/>
          <w:sz w:val="28"/>
          <w:szCs w:val="28"/>
          <w14:textOutline w14:w="5103" w14:cap="sq">
            <w14:solidFill>
              <w14:srgbClr w14:val="000000"/>
            </w14:solidFill>
            <w14:prstDash w14:val="solid"/>
            <w14:bevel/>
          </w14:textOutline>
        </w:rPr>
        <w:t>含水层</w:t>
      </w:r>
    </w:p>
    <w:p>
      <w:pPr>
        <w:pStyle w:val="BodyText"/>
        <w:spacing w:before="300" w:line="545" w:lineRule="exact"/>
        <w:ind w:left="609"/>
      </w:pPr>
      <w:r>
        <w:rPr>
          <w:spacing w:val="-10"/>
          <w:position w:val="19"/>
        </w:rPr>
        <w:t>根据《地下水型集中式饮用水水源地下水环境监测现状调</w:t>
      </w:r>
      <w:r>
        <w:rPr>
          <w:spacing w:val="-11"/>
          <w:position w:val="19"/>
        </w:rPr>
        <w:t>查技术指</w:t>
      </w:r>
    </w:p>
    <w:p>
      <w:pPr>
        <w:pStyle w:val="BodyText"/>
        <w:spacing w:before="1" w:line="220" w:lineRule="auto"/>
        <w:jc w:val="right"/>
      </w:pPr>
      <w:r>
        <w:rPr>
          <w:spacing w:val="-7"/>
        </w:rPr>
        <w:t>南（试行）》中1.4术语和定义：指能够透过并给出相当数量水的岩层。</w:t>
      </w:r>
    </w:p>
    <w:p>
      <w:pPr>
        <w:spacing w:before="208" w:line="222" w:lineRule="auto"/>
        <w:ind w:left="4"/>
        <w:outlineLvl w:val="2"/>
        <w:rPr>
          <w:rFonts w:ascii="SimHei" w:eastAsia="SimHei" w:hAnsi="SimHei" w:cs="SimHei"/>
          <w:sz w:val="28"/>
          <w:szCs w:val="28"/>
        </w:rPr>
      </w:pPr>
      <w:r>
        <w:rPr>
          <w:rFonts w:ascii="SimHei" w:eastAsia="SimHei" w:hAnsi="SimHei" w:cs="SimHei"/>
          <w:sz w:val="28"/>
          <w:szCs w:val="28"/>
          <w14:textOutline w14:w="5103" w14:cap="sq">
            <w14:solidFill>
              <w14:srgbClr w14:val="000000"/>
            </w14:solidFill>
            <w14:prstDash w14:val="solid"/>
            <w14:bevel/>
          </w14:textOutline>
        </w:rPr>
        <w:t>5.1.2.</w:t>
      </w:r>
      <w:r>
        <w:rPr>
          <w:rFonts w:ascii="SimHei" w:eastAsia="SimHei" w:hAnsi="SimHei" w:cs="SimHei"/>
          <w:sz w:val="28"/>
          <w:szCs w:val="28"/>
        </w:rPr>
        <w:t xml:space="preserve">   </w:t>
      </w:r>
      <w:r>
        <w:rPr>
          <w:rFonts w:ascii="SimHei" w:eastAsia="SimHei" w:hAnsi="SimHei" w:cs="SimHei"/>
          <w:sz w:val="28"/>
          <w:szCs w:val="28"/>
          <w14:textOutline w14:w="5103" w14:cap="sq">
            <w14:solidFill>
              <w14:srgbClr w14:val="000000"/>
            </w14:solidFill>
            <w14:prstDash w14:val="solid"/>
            <w14:bevel/>
          </w14:textOutline>
        </w:rPr>
        <w:t>水文地质条件</w:t>
      </w:r>
    </w:p>
    <w:p>
      <w:pPr>
        <w:pStyle w:val="BodyText"/>
        <w:spacing w:before="299" w:line="359" w:lineRule="auto"/>
        <w:ind w:left="50" w:right="228" w:firstLine="559"/>
        <w:jc w:val="both"/>
      </w:pPr>
      <w:r>
        <w:rPr>
          <w:spacing w:val="-11"/>
        </w:rPr>
        <w:t>根据《地下水型集中式饮用水水源地下水环境监测现状调查技术指</w:t>
      </w:r>
      <w:r>
        <w:rPr>
          <w:spacing w:val="16"/>
        </w:rPr>
        <w:t xml:space="preserve"> </w:t>
      </w:r>
      <w:r>
        <w:rPr>
          <w:spacing w:val="-5"/>
        </w:rPr>
        <w:t>南（试行）》中1.4术语和定义：地下水埋藏和分布、含水介质</w:t>
      </w:r>
      <w:r>
        <w:rPr>
          <w:spacing w:val="-6"/>
        </w:rPr>
        <w:t>和含水</w:t>
      </w:r>
    </w:p>
    <w:p>
      <w:pPr>
        <w:pStyle w:val="BodyText"/>
        <w:spacing w:before="1" w:line="221" w:lineRule="auto"/>
        <w:ind w:left="36"/>
      </w:pPr>
      <w:r>
        <w:rPr>
          <w:spacing w:val="-12"/>
        </w:rPr>
        <w:t>构造等条件的总称。</w:t>
      </w:r>
    </w:p>
    <w:p>
      <w:pPr>
        <w:spacing w:before="209" w:line="222" w:lineRule="auto"/>
        <w:ind w:left="4"/>
        <w:outlineLvl w:val="2"/>
        <w:rPr>
          <w:rFonts w:ascii="SimHei" w:eastAsia="SimHei" w:hAnsi="SimHei" w:cs="SimHei"/>
          <w:sz w:val="28"/>
          <w:szCs w:val="28"/>
        </w:rPr>
      </w:pPr>
      <w:r>
        <w:rPr>
          <w:rFonts w:ascii="SimHei" w:eastAsia="SimHei" w:hAnsi="SimHei" w:cs="SimHei"/>
          <w:sz w:val="28"/>
          <w:szCs w:val="28"/>
          <w14:textOutline w14:w="5103" w14:cap="sq">
            <w14:solidFill>
              <w14:srgbClr w14:val="000000"/>
            </w14:solidFill>
            <w14:prstDash w14:val="solid"/>
            <w14:bevel/>
          </w14:textOutline>
        </w:rPr>
        <w:t>5.1.3.</w:t>
      </w:r>
      <w:r>
        <w:rPr>
          <w:rFonts w:ascii="SimHei" w:eastAsia="SimHei" w:hAnsi="SimHei" w:cs="SimHei"/>
          <w:sz w:val="28"/>
          <w:szCs w:val="28"/>
        </w:rPr>
        <w:t xml:space="preserve">   </w:t>
      </w:r>
      <w:r>
        <w:rPr>
          <w:rFonts w:ascii="SimHei" w:eastAsia="SimHei" w:hAnsi="SimHei" w:cs="SimHei"/>
          <w:sz w:val="28"/>
          <w:szCs w:val="28"/>
          <w14:textOutline w14:w="5103" w14:cap="sq">
            <w14:solidFill>
              <w14:srgbClr w14:val="000000"/>
            </w14:solidFill>
            <w14:prstDash w14:val="solid"/>
            <w14:bevel/>
          </w14:textOutline>
        </w:rPr>
        <w:t>水文地质单元</w:t>
      </w:r>
    </w:p>
    <w:p>
      <w:pPr>
        <w:pStyle w:val="BodyText"/>
        <w:spacing w:before="300" w:line="359" w:lineRule="auto"/>
        <w:ind w:left="50" w:right="228" w:firstLine="559"/>
      </w:pPr>
      <w:r>
        <w:rPr>
          <w:spacing w:val="-11"/>
        </w:rPr>
        <w:t>根据《地下水型集中式饮用水水源地下水环境监测现状调查技术指</w:t>
      </w:r>
      <w:r>
        <w:rPr>
          <w:spacing w:val="16"/>
        </w:rPr>
        <w:t xml:space="preserve"> </w:t>
      </w:r>
      <w:r>
        <w:rPr>
          <w:spacing w:val="-7"/>
        </w:rPr>
        <w:t>南（试行）》中1.4术语和定义：根据水文地质条件的差异性划分的，</w:t>
      </w:r>
    </w:p>
    <w:p>
      <w:pPr>
        <w:pStyle w:val="BodyText"/>
        <w:spacing w:line="222" w:lineRule="auto"/>
        <w:ind w:left="40"/>
      </w:pPr>
      <w:r>
        <w:rPr>
          <w:spacing w:val="-12"/>
        </w:rPr>
        <w:t>具有一定边界和统一的补给、径流、排泄条件的地下水系统。</w:t>
      </w:r>
    </w:p>
    <w:p>
      <w:pPr>
        <w:spacing w:before="207" w:line="222" w:lineRule="auto"/>
        <w:ind w:left="4"/>
        <w:outlineLvl w:val="2"/>
        <w:rPr>
          <w:rFonts w:ascii="SimHei" w:eastAsia="SimHei" w:hAnsi="SimHei" w:cs="SimHei"/>
          <w:sz w:val="28"/>
          <w:szCs w:val="28"/>
        </w:rPr>
      </w:pPr>
      <w:r>
        <w:rPr>
          <w:rFonts w:ascii="SimHei" w:eastAsia="SimHei" w:hAnsi="SimHei" w:cs="SimHei"/>
          <w:sz w:val="28"/>
          <w:szCs w:val="28"/>
          <w14:textOutline w14:w="5103" w14:cap="sq">
            <w14:solidFill>
              <w14:srgbClr w14:val="000000"/>
            </w14:solidFill>
            <w14:prstDash w14:val="solid"/>
            <w14:bevel/>
          </w14:textOutline>
        </w:rPr>
        <w:t>5.1.4.</w:t>
      </w:r>
      <w:r>
        <w:rPr>
          <w:rFonts w:ascii="SimHei" w:eastAsia="SimHei" w:hAnsi="SimHei" w:cs="SimHei"/>
          <w:sz w:val="28"/>
          <w:szCs w:val="28"/>
        </w:rPr>
        <w:t xml:space="preserve">   </w:t>
      </w:r>
      <w:r>
        <w:rPr>
          <w:rFonts w:ascii="SimHei" w:eastAsia="SimHei" w:hAnsi="SimHei" w:cs="SimHei"/>
          <w:sz w:val="28"/>
          <w:szCs w:val="28"/>
          <w14:textOutline w14:w="5103" w14:cap="sq">
            <w14:solidFill>
              <w14:srgbClr w14:val="000000"/>
            </w14:solidFill>
            <w14:prstDash w14:val="solid"/>
            <w14:bevel/>
          </w14:textOutline>
        </w:rPr>
        <w:t>地下水型集中式饮用水水源</w:t>
      </w:r>
    </w:p>
    <w:p>
      <w:pPr>
        <w:pStyle w:val="BodyText"/>
        <w:spacing w:before="301" w:line="359" w:lineRule="auto"/>
        <w:ind w:left="50" w:right="228" w:firstLine="559"/>
      </w:pPr>
      <w:r>
        <w:rPr>
          <w:spacing w:val="-11"/>
        </w:rPr>
        <w:t>根据《地下水型集中式饮用水水源地下水环境监测现状调查技术指</w:t>
      </w:r>
      <w:r>
        <w:rPr>
          <w:spacing w:val="16"/>
        </w:rPr>
        <w:t xml:space="preserve"> </w:t>
      </w:r>
      <w:r>
        <w:rPr>
          <w:spacing w:val="-6"/>
        </w:rPr>
        <w:t>南（试行）》中1.4术语和定义：具有一定取水规模（“千吨万人”）</w:t>
      </w:r>
    </w:p>
    <w:p>
      <w:pPr>
        <w:pStyle w:val="BodyText"/>
        <w:spacing w:line="220" w:lineRule="auto"/>
        <w:ind w:left="40"/>
      </w:pPr>
      <w:r>
        <w:rPr>
          <w:spacing w:val="-12"/>
        </w:rPr>
        <w:t>及以上，在用、备用、停用和规划的地下水型集中式饮用水水源。</w:t>
      </w:r>
    </w:p>
    <w:p>
      <w:pPr>
        <w:spacing w:before="210" w:line="222" w:lineRule="auto"/>
        <w:ind w:left="4"/>
        <w:outlineLvl w:val="2"/>
        <w:rPr>
          <w:rFonts w:ascii="SimHei" w:eastAsia="SimHei" w:hAnsi="SimHei" w:cs="SimHei"/>
          <w:sz w:val="28"/>
          <w:szCs w:val="28"/>
        </w:rPr>
      </w:pPr>
      <w:r>
        <w:rPr>
          <w:rFonts w:ascii="SimHei" w:eastAsia="SimHei" w:hAnsi="SimHei" w:cs="SimHei"/>
          <w:sz w:val="28"/>
          <w:szCs w:val="28"/>
          <w14:textOutline w14:w="5103" w14:cap="sq">
            <w14:solidFill>
              <w14:srgbClr w14:val="000000"/>
            </w14:solidFill>
            <w14:prstDash w14:val="solid"/>
            <w14:bevel/>
          </w14:textOutline>
        </w:rPr>
        <w:t>5.1.5.</w:t>
      </w:r>
      <w:r>
        <w:rPr>
          <w:rFonts w:ascii="SimHei" w:eastAsia="SimHei" w:hAnsi="SimHei" w:cs="SimHei"/>
          <w:spacing w:val="71"/>
          <w:sz w:val="28"/>
          <w:szCs w:val="28"/>
        </w:rPr>
        <w:t xml:space="preserve">  </w:t>
      </w:r>
      <w:r>
        <w:rPr>
          <w:rFonts w:ascii="SimHei" w:eastAsia="SimHei" w:hAnsi="SimHei" w:cs="SimHei"/>
          <w:sz w:val="28"/>
          <w:szCs w:val="28"/>
          <w14:textOutline w14:w="5103" w14:cap="sq">
            <w14:solidFill>
              <w14:srgbClr w14:val="000000"/>
            </w14:solidFill>
            <w14:prstDash w14:val="solid"/>
            <w14:bevel/>
          </w14:textOutline>
        </w:rPr>
        <w:t>饮用水水源保护区</w:t>
      </w:r>
    </w:p>
    <w:p>
      <w:pPr>
        <w:pStyle w:val="BodyText"/>
        <w:spacing w:before="301" w:line="359" w:lineRule="auto"/>
        <w:ind w:left="50" w:right="228" w:firstLine="559"/>
        <w:jc w:val="both"/>
        <w:sectPr>
          <w:footerReference w:type="default" r:id="rId26"/>
          <w:pgSz w:w="11906" w:h="16840"/>
          <w:pgMar w:top="1414" w:right="1462" w:bottom="1316" w:left="1785" w:header="0" w:footer="1147" w:gutter="0"/>
          <w:pgNumType w:start="11"/>
          <w:cols w:space="708"/>
        </w:sectPr>
      </w:pPr>
      <w:r>
        <w:rPr>
          <w:spacing w:val="-11"/>
        </w:rPr>
        <w:t>根据《地下水型集中式饮用水水源地下水环境监测现状调查技术指</w:t>
      </w:r>
      <w:r>
        <w:rPr>
          <w:spacing w:val="16"/>
        </w:rPr>
        <w:t xml:space="preserve"> </w:t>
      </w:r>
      <w:r>
        <w:rPr>
          <w:spacing w:val="-5"/>
        </w:rPr>
        <w:t>南（试行）》中1.4术语和定义：按照《饮用水水源保护区划分</w:t>
      </w:r>
      <w:r>
        <w:rPr>
          <w:spacing w:val="-6"/>
        </w:rPr>
        <w:t>技术规</w:t>
      </w:r>
    </w:p>
    <w:p>
      <w:pPr>
        <w:pStyle w:val="BodyText"/>
        <w:spacing w:before="1" w:line="221" w:lineRule="auto"/>
        <w:ind w:left="52"/>
      </w:pPr>
      <w:r>
        <w:rPr>
          <w:spacing w:val="-13"/>
        </w:rPr>
        <w:t>范》划定的一级、二级和准保护区。</w:t>
      </w:r>
    </w:p>
    <w:p>
      <w:pPr>
        <w:spacing w:line="221" w:lineRule="auto"/>
        <w:sectPr>
          <w:footerReference w:type="default" r:id="rId27"/>
          <w:type w:val="nextPage"/>
          <w:pgSz w:w="11906" w:h="16840"/>
          <w:pgMar w:top="1414" w:right="1462" w:bottom="1316" w:left="1785" w:header="0" w:footer="1147" w:gutter="0"/>
          <w:pgNumType w:start="12"/>
          <w:cols w:space="708"/>
          <w:titlePg w:val="0"/>
        </w:sectPr>
      </w:pPr>
    </w:p>
    <w:p>
      <w:pPr>
        <w:spacing w:before="56" w:line="222" w:lineRule="auto"/>
        <w:ind w:left="4"/>
        <w:outlineLvl w:val="2"/>
        <w:rPr>
          <w:rFonts w:ascii="SimHei" w:eastAsia="SimHei" w:hAnsi="SimHei" w:cs="SimHei"/>
          <w:sz w:val="28"/>
          <w:szCs w:val="28"/>
        </w:rPr>
      </w:pPr>
      <w:r>
        <w:rPr>
          <w:rFonts w:ascii="SimHei" w:eastAsia="SimHei" w:hAnsi="SimHei" w:cs="SimHei"/>
          <w:sz w:val="28"/>
          <w:szCs w:val="28"/>
          <w14:textOutline w14:w="5103" w14:cap="sq">
            <w14:solidFill>
              <w14:srgbClr w14:val="000000"/>
            </w14:solidFill>
            <w14:prstDash w14:val="solid"/>
            <w14:bevel/>
          </w14:textOutline>
        </w:rPr>
        <w:t>5.1.6.</w:t>
      </w:r>
      <w:r>
        <w:rPr>
          <w:rFonts w:ascii="SimHei" w:eastAsia="SimHei" w:hAnsi="SimHei" w:cs="SimHei"/>
          <w:spacing w:val="71"/>
          <w:sz w:val="28"/>
          <w:szCs w:val="28"/>
        </w:rPr>
        <w:t xml:space="preserve">  </w:t>
      </w:r>
      <w:r>
        <w:rPr>
          <w:rFonts w:ascii="SimHei" w:eastAsia="SimHei" w:hAnsi="SimHei" w:cs="SimHei"/>
          <w:sz w:val="28"/>
          <w:szCs w:val="28"/>
          <w14:textOutline w14:w="5103" w14:cap="sq">
            <w14:solidFill>
              <w14:srgbClr w14:val="000000"/>
            </w14:solidFill>
            <w14:prstDash w14:val="solid"/>
            <w14:bevel/>
          </w14:textOutline>
        </w:rPr>
        <w:t>饮用水水源补给区</w:t>
      </w:r>
    </w:p>
    <w:p>
      <w:pPr>
        <w:pStyle w:val="BodyText"/>
        <w:spacing w:before="298" w:line="359" w:lineRule="auto"/>
        <w:ind w:left="50" w:firstLine="559"/>
        <w:jc w:val="both"/>
      </w:pPr>
      <w:r>
        <w:rPr>
          <w:spacing w:val="-11"/>
        </w:rPr>
        <w:t>根据《地下水型集中式饮用水水源地下水环境监测现状调查技术指</w:t>
      </w:r>
      <w:r>
        <w:rPr>
          <w:spacing w:val="16"/>
        </w:rPr>
        <w:t xml:space="preserve"> </w:t>
      </w:r>
      <w:r>
        <w:rPr>
          <w:spacing w:val="-5"/>
        </w:rPr>
        <w:t>南（试行）》中1.4术语和定义：饮用水源含水层出露或接近地</w:t>
      </w:r>
      <w:r>
        <w:rPr>
          <w:spacing w:val="-6"/>
        </w:rPr>
        <w:t>表接受</w:t>
      </w:r>
    </w:p>
    <w:p>
      <w:pPr>
        <w:pStyle w:val="BodyText"/>
        <w:spacing w:line="222" w:lineRule="auto"/>
        <w:ind w:left="40"/>
      </w:pPr>
      <w:r>
        <w:rPr>
          <w:spacing w:val="-12"/>
        </w:rPr>
        <w:t>大气降水和地表水等入渗补给的地区。</w:t>
      </w:r>
    </w:p>
    <w:p>
      <w:pPr>
        <w:spacing w:before="206" w:line="222" w:lineRule="auto"/>
        <w:ind w:left="4"/>
        <w:outlineLvl w:val="2"/>
        <w:rPr>
          <w:rFonts w:ascii="SimHei" w:eastAsia="SimHei" w:hAnsi="SimHei" w:cs="SimHei"/>
          <w:sz w:val="28"/>
          <w:szCs w:val="28"/>
        </w:rPr>
      </w:pPr>
      <w:r>
        <w:rPr>
          <w:rFonts w:ascii="SimHei" w:eastAsia="SimHei" w:hAnsi="SimHei" w:cs="SimHei"/>
          <w:sz w:val="28"/>
          <w:szCs w:val="28"/>
          <w14:textOutline w14:w="5103" w14:cap="sq">
            <w14:solidFill>
              <w14:srgbClr w14:val="000000"/>
            </w14:solidFill>
            <w14:prstDash w14:val="solid"/>
            <w14:bevel/>
          </w14:textOutline>
        </w:rPr>
        <w:t>5.1.7.</w:t>
      </w:r>
      <w:r>
        <w:rPr>
          <w:rFonts w:ascii="SimHei" w:eastAsia="SimHei" w:hAnsi="SimHei" w:cs="SimHei"/>
          <w:spacing w:val="71"/>
          <w:sz w:val="28"/>
          <w:szCs w:val="28"/>
        </w:rPr>
        <w:t xml:space="preserve">  </w:t>
      </w:r>
      <w:r>
        <w:rPr>
          <w:rFonts w:ascii="SimHei" w:eastAsia="SimHei" w:hAnsi="SimHei" w:cs="SimHei"/>
          <w:sz w:val="28"/>
          <w:szCs w:val="28"/>
          <w14:textOutline w14:w="5103" w14:cap="sq">
            <w14:solidFill>
              <w14:srgbClr w14:val="000000"/>
            </w14:solidFill>
            <w14:prstDash w14:val="solid"/>
            <w14:bevel/>
          </w14:textOutline>
        </w:rPr>
        <w:t>饮用水水源径流区</w:t>
      </w:r>
    </w:p>
    <w:p>
      <w:pPr>
        <w:pStyle w:val="BodyText"/>
        <w:spacing w:before="300" w:line="359" w:lineRule="auto"/>
        <w:ind w:left="50" w:firstLine="559"/>
        <w:jc w:val="both"/>
      </w:pPr>
      <w:r>
        <w:rPr>
          <w:spacing w:val="-11"/>
        </w:rPr>
        <w:t>根据《地下水型集中式饮用水水源地下水环境监测现状调查技术指</w:t>
      </w:r>
      <w:r>
        <w:rPr>
          <w:spacing w:val="16"/>
        </w:rPr>
        <w:t xml:space="preserve"> </w:t>
      </w:r>
      <w:r>
        <w:rPr>
          <w:spacing w:val="-5"/>
        </w:rPr>
        <w:t>南（试行）》中1.4术语和定义：饮用水源含水层的地下水从补</w:t>
      </w:r>
      <w:r>
        <w:rPr>
          <w:spacing w:val="-6"/>
        </w:rPr>
        <w:t>给区至</w:t>
      </w:r>
    </w:p>
    <w:p>
      <w:pPr>
        <w:pStyle w:val="BodyText"/>
        <w:spacing w:before="2" w:line="222" w:lineRule="auto"/>
        <w:ind w:left="34"/>
      </w:pPr>
      <w:r>
        <w:rPr>
          <w:spacing w:val="-11"/>
        </w:rPr>
        <w:t>排泄区的流径范围。</w:t>
      </w:r>
    </w:p>
    <w:p>
      <w:pPr>
        <w:spacing w:before="207" w:line="222" w:lineRule="auto"/>
        <w:ind w:left="4"/>
        <w:outlineLvl w:val="2"/>
        <w:rPr>
          <w:rFonts w:ascii="SimHei" w:eastAsia="SimHei" w:hAnsi="SimHei" w:cs="SimHei"/>
          <w:sz w:val="28"/>
          <w:szCs w:val="28"/>
        </w:rPr>
      </w:pPr>
      <w:r>
        <w:rPr>
          <w:rFonts w:ascii="SimHei" w:eastAsia="SimHei" w:hAnsi="SimHei" w:cs="SimHei"/>
          <w:sz w:val="28"/>
          <w:szCs w:val="28"/>
          <w14:textOutline w14:w="5103" w14:cap="sq">
            <w14:solidFill>
              <w14:srgbClr w14:val="000000"/>
            </w14:solidFill>
            <w14:prstDash w14:val="solid"/>
            <w14:bevel/>
          </w14:textOutline>
        </w:rPr>
        <w:t>5.1.8.</w:t>
      </w:r>
      <w:r>
        <w:rPr>
          <w:rFonts w:ascii="SimHei" w:eastAsia="SimHei" w:hAnsi="SimHei" w:cs="SimHei"/>
          <w:sz w:val="28"/>
          <w:szCs w:val="28"/>
        </w:rPr>
        <w:t xml:space="preserve">   </w:t>
      </w:r>
      <w:r>
        <w:rPr>
          <w:rFonts w:ascii="SimHei" w:eastAsia="SimHei" w:hAnsi="SimHei" w:cs="SimHei"/>
          <w:sz w:val="28"/>
          <w:szCs w:val="28"/>
          <w14:textOutline w14:w="5103" w14:cap="sq">
            <w14:solidFill>
              <w14:srgbClr w14:val="000000"/>
            </w14:solidFill>
            <w14:prstDash w14:val="solid"/>
            <w14:bevel/>
          </w14:textOutline>
        </w:rPr>
        <w:t>地下水环境监测井</w:t>
      </w:r>
    </w:p>
    <w:p>
      <w:pPr>
        <w:pStyle w:val="BodyText"/>
        <w:spacing w:before="299" w:line="359" w:lineRule="auto"/>
        <w:ind w:left="43" w:firstLine="566"/>
        <w:jc w:val="both"/>
      </w:pPr>
      <w:r>
        <w:rPr>
          <w:spacing w:val="-11"/>
        </w:rPr>
        <w:t>根据《地下水型集中式饮用水水源地下水环境监测现状调查技术指</w:t>
      </w:r>
      <w:r>
        <w:rPr>
          <w:spacing w:val="16"/>
        </w:rPr>
        <w:t xml:space="preserve"> </w:t>
      </w:r>
      <w:r>
        <w:rPr>
          <w:spacing w:val="-5"/>
        </w:rPr>
        <w:t>南（试行）》中1.4术语和定义：为准确把握地下水环境质量状况和地</w:t>
      </w:r>
      <w:r>
        <w:rPr>
          <w:spacing w:val="4"/>
        </w:rPr>
        <w:t xml:space="preserve"> </w:t>
      </w:r>
      <w:r>
        <w:rPr>
          <w:spacing w:val="-10"/>
        </w:rPr>
        <w:t>下水体中污染物的动态分布变化情况而设立的水质监测井，含可用于水</w:t>
      </w:r>
    </w:p>
    <w:p>
      <w:pPr>
        <w:pStyle w:val="BodyText"/>
        <w:spacing w:before="2" w:line="222" w:lineRule="auto"/>
        <w:ind w:left="44"/>
      </w:pPr>
      <w:r>
        <w:rPr>
          <w:spacing w:val="-12"/>
        </w:rPr>
        <w:t>质监测的取水井等。</w:t>
      </w:r>
    </w:p>
    <w:p>
      <w:pPr>
        <w:spacing w:line="368" w:lineRule="auto"/>
        <w:rPr>
          <w:rFonts w:ascii="Arial"/>
          <w:sz w:val="21"/>
        </w:rPr>
      </w:pPr>
    </w:p>
    <w:p>
      <w:pPr>
        <w:spacing w:before="98" w:line="222" w:lineRule="auto"/>
        <w:ind w:left="4"/>
        <w:outlineLvl w:val="1"/>
        <w:rPr>
          <w:rFonts w:ascii="SimHei" w:eastAsia="SimHei" w:hAnsi="SimHei" w:cs="SimHei"/>
          <w:sz w:val="30"/>
          <w:szCs w:val="30"/>
        </w:rPr>
      </w:pPr>
      <w:r>
        <w:rPr>
          <w:rFonts w:ascii="SimHei" w:eastAsia="SimHei" w:hAnsi="SimHei" w:cs="SimHei"/>
          <w:spacing w:val="-1"/>
          <w:sz w:val="30"/>
          <w:szCs w:val="30"/>
          <w14:textOutline w14:w="5448" w14:cap="sq">
            <w14:solidFill>
              <w14:srgbClr w14:val="000000"/>
            </w14:solidFill>
            <w14:prstDash w14:val="solid"/>
            <w14:bevel/>
          </w14:textOutline>
        </w:rPr>
        <w:t>5.2.</w:t>
      </w:r>
      <w:r>
        <w:rPr>
          <w:rFonts w:ascii="SimHei" w:eastAsia="SimHei" w:hAnsi="SimHei" w:cs="SimHei"/>
          <w:spacing w:val="111"/>
          <w:sz w:val="30"/>
          <w:szCs w:val="30"/>
        </w:rPr>
        <w:t xml:space="preserve"> </w:t>
      </w:r>
      <w:r>
        <w:rPr>
          <w:rFonts w:ascii="SimHei" w:eastAsia="SimHei" w:hAnsi="SimHei" w:cs="SimHei"/>
          <w:spacing w:val="-1"/>
          <w:sz w:val="30"/>
          <w:szCs w:val="30"/>
          <w14:textOutline w14:w="5448" w14:cap="sq">
            <w14:solidFill>
              <w14:srgbClr w14:val="000000"/>
            </w14:solidFill>
            <w14:prstDash w14:val="solid"/>
            <w14:bevel/>
          </w14:textOutline>
        </w:rPr>
        <w:t>地下水环境监测现状调查</w:t>
      </w:r>
    </w:p>
    <w:p>
      <w:pPr>
        <w:spacing w:line="385" w:lineRule="auto"/>
        <w:rPr>
          <w:rFonts w:ascii="Arial"/>
          <w:sz w:val="21"/>
        </w:rPr>
      </w:pPr>
    </w:p>
    <w:p>
      <w:pPr>
        <w:spacing w:before="98" w:line="219" w:lineRule="auto"/>
        <w:ind w:left="4"/>
        <w:outlineLvl w:val="2"/>
        <w:rPr>
          <w:rFonts w:ascii="SimSun" w:eastAsia="SimSun" w:hAnsi="SimSun" w:cs="SimSun"/>
          <w:sz w:val="30"/>
          <w:szCs w:val="30"/>
        </w:rPr>
      </w:pPr>
      <w:r>
        <w:rPr>
          <w:rFonts w:ascii="SimHei" w:eastAsia="SimHei" w:hAnsi="SimHei" w:cs="SimHei"/>
          <w:spacing w:val="-1"/>
          <w:sz w:val="30"/>
          <w:szCs w:val="30"/>
          <w14:textOutline w14:w="5448" w14:cap="sq">
            <w14:solidFill>
              <w14:srgbClr w14:val="000000"/>
            </w14:solidFill>
            <w14:prstDash w14:val="solid"/>
            <w14:bevel/>
          </w14:textOutline>
        </w:rPr>
        <w:t>5.2.1.</w:t>
      </w:r>
      <w:r>
        <w:rPr>
          <w:rFonts w:ascii="SimHei" w:eastAsia="SimHei" w:hAnsi="SimHei" w:cs="SimHei"/>
          <w:spacing w:val="41"/>
          <w:sz w:val="30"/>
          <w:szCs w:val="30"/>
        </w:rPr>
        <w:t xml:space="preserve">  </w:t>
      </w:r>
      <w:r>
        <w:rPr>
          <w:rFonts w:ascii="SimSun" w:eastAsia="SimSun" w:hAnsi="SimSun" w:cs="SimSun"/>
          <w:spacing w:val="-1"/>
          <w:sz w:val="30"/>
          <w:szCs w:val="30"/>
          <w14:textOutline w14:w="5448" w14:cap="sq">
            <w14:solidFill>
              <w14:srgbClr w14:val="000000"/>
            </w14:solidFill>
            <w14:prstDash w14:val="solid"/>
            <w14:bevel/>
          </w14:textOutline>
        </w:rPr>
        <w:t>主要工作内容及工作流程</w:t>
      </w:r>
    </w:p>
    <w:p>
      <w:pPr>
        <w:pStyle w:val="BodyText"/>
        <w:spacing w:before="316" w:line="358" w:lineRule="auto"/>
        <w:ind w:left="53" w:right="213" w:firstLine="555"/>
        <w:jc w:val="both"/>
      </w:pPr>
      <w:r>
        <w:rPr>
          <w:spacing w:val="-9"/>
        </w:rPr>
        <w:t>本次地下水型集中式饮用水水源地下水环境监测现状调查主要工</w:t>
      </w:r>
      <w:r>
        <w:rPr>
          <w:spacing w:val="16"/>
        </w:rPr>
        <w:t xml:space="preserve"> </w:t>
      </w:r>
      <w:r>
        <w:rPr>
          <w:spacing w:val="-9"/>
        </w:rPr>
        <w:t>作流程包括基础资料收集、初步清单建立、地下水监测现状调查、信</w:t>
      </w:r>
    </w:p>
    <w:p>
      <w:pPr>
        <w:pStyle w:val="BodyText"/>
        <w:spacing w:before="1" w:line="220" w:lineRule="auto"/>
        <w:ind w:left="63"/>
      </w:pPr>
      <w:r>
        <w:rPr>
          <w:spacing w:val="-9"/>
        </w:rPr>
        <w:t>息清单建立及建立调查档案等内容，各阶段流程具体工作内容如下：</w:t>
      </w:r>
    </w:p>
    <w:p>
      <w:pPr>
        <w:pStyle w:val="BodyText"/>
        <w:spacing w:before="332" w:line="221" w:lineRule="auto"/>
        <w:ind w:left="609"/>
      </w:pPr>
      <w:r>
        <w:rPr>
          <w:spacing w:val="-8"/>
        </w:rPr>
        <w:t>（1）基础资料收集</w:t>
      </w:r>
    </w:p>
    <w:p>
      <w:pPr>
        <w:pStyle w:val="BodyText"/>
        <w:spacing w:before="328" w:line="359" w:lineRule="auto"/>
        <w:ind w:left="73" w:right="60" w:firstLine="563"/>
        <w:jc w:val="both"/>
      </w:pPr>
      <w:r>
        <w:rPr>
          <w:spacing w:val="-4"/>
        </w:rPr>
        <w:t>以全区集中式饮用水水源地环境保护专项行动、饮用水水源保护</w:t>
      </w:r>
      <w:r>
        <w:rPr>
          <w:spacing w:val="2"/>
        </w:rPr>
        <w:t xml:space="preserve"> </w:t>
      </w:r>
      <w:r>
        <w:rPr>
          <w:spacing w:val="-4"/>
        </w:rPr>
        <w:t>区划分和地下水基础状况调查评估项目为主，收集包括但不限于各级</w:t>
      </w: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8" w:history="1">
        <w:r>
          <w:rPr>
            <w:rFonts w:ascii="SimSun" w:eastAsia="SimSun" w:hAnsi="SimSun" w:cs="SimSun"/>
            <w:b/>
            <w:bCs/>
            <w:noProof w:val="0"/>
            <w:snapToGrid/>
            <w:color w:val="0000EE"/>
            <w:kern w:val="0"/>
            <w:sz w:val="30"/>
            <w:szCs w:val="30"/>
            <w:u w:val="single" w:color="0000EE"/>
          </w:rPr>
          <w:t>https://d.book118.com/628126067132006025</w:t>
        </w:r>
      </w:hyperlink>
    </w:p>
    <w:p>
      <w:pPr>
        <w:pStyle w:val="BodyText"/>
        <w:spacing w:before="328" w:line="359" w:lineRule="auto"/>
        <w:ind w:left="73" w:right="60" w:firstLine="563"/>
        <w:jc w:val="both"/>
      </w:pPr>
    </w:p>
    <w:sectPr>
      <w:footerReference w:type="default" r:id="rId29"/>
      <w:pgSz w:w="11906" w:h="16840"/>
      <w:pgMar w:top="1416" w:right="1691" w:bottom="1314" w:left="1785" w:header="0" w:footer="1147" w:gutter="0"/>
      <w:pgNumType w:start="13"/>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76"/>
      <w:rPr>
        <w:rFonts w:ascii="Arial" w:eastAsia="Arial" w:hAnsi="Arial" w:cs="Arial"/>
        <w:sz w:val="18"/>
        <w:szCs w:val="18"/>
      </w:rPr>
    </w:pPr>
    <w:r>
      <w:rPr>
        <w:rFonts w:ascii="Arial" w:eastAsia="Arial" w:hAnsi="Arial" w:cs="Arial"/>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ind w:left="4164"/>
      <w:rPr>
        <w:rFonts w:ascii="Arial" w:eastAsia="Arial" w:hAnsi="Arial" w:cs="Arial"/>
        <w:sz w:val="18"/>
        <w:szCs w:val="18"/>
      </w:rPr>
    </w:pPr>
    <w:r>
      <w:rPr>
        <w:rFonts w:ascii="Arial" w:eastAsia="Arial" w:hAnsi="Arial" w:cs="Arial"/>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63"/>
      <w:rPr>
        <w:rFonts w:ascii="Arial" w:eastAsia="Arial" w:hAnsi="Arial" w:cs="Arial"/>
        <w:sz w:val="18"/>
        <w:szCs w:val="18"/>
      </w:rPr>
    </w:pPr>
    <w:r>
      <w:rPr>
        <w:rFonts w:ascii="Arial" w:eastAsia="Arial" w:hAnsi="Arial" w:cs="Arial"/>
        <w:sz w:val="18"/>
        <w:szCs w:val="18"/>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63"/>
      <w:rPr>
        <w:rFonts w:ascii="Arial" w:eastAsia="Arial" w:hAnsi="Arial" w:cs="Arial"/>
        <w:sz w:val="18"/>
        <w:szCs w:val="18"/>
      </w:rPr>
    </w:pPr>
    <w:r>
      <w:rPr>
        <w:rFonts w:ascii="Arial" w:eastAsia="Arial" w:hAnsi="Arial" w:cs="Arial"/>
        <w:sz w:val="18"/>
        <w:szCs w:val="18"/>
      </w:rPr>
      <w:t>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ind w:left="4164"/>
      <w:rPr>
        <w:rFonts w:ascii="Arial" w:eastAsia="Arial" w:hAnsi="Arial" w:cs="Arial"/>
        <w:sz w:val="18"/>
        <w:szCs w:val="18"/>
      </w:rPr>
    </w:pPr>
    <w:r>
      <w:rPr>
        <w:rFonts w:ascii="Arial" w:eastAsia="Arial" w:hAnsi="Arial" w:cs="Arial"/>
        <w:sz w:val="18"/>
        <w:szCs w:val="18"/>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76"/>
      <w:rPr>
        <w:rFonts w:ascii="Arial" w:eastAsia="Arial" w:hAnsi="Arial" w:cs="Arial"/>
        <w:sz w:val="18"/>
        <w:szCs w:val="18"/>
      </w:rPr>
    </w:pPr>
    <w:r>
      <w:rPr>
        <w:rFonts w:ascii="Arial" w:eastAsia="Arial" w:hAnsi="Arial" w:cs="Arial"/>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61"/>
      <w:rPr>
        <w:rFonts w:ascii="Arial" w:eastAsia="Arial" w:hAnsi="Arial" w:cs="Arial"/>
        <w:sz w:val="18"/>
        <w:szCs w:val="18"/>
      </w:rPr>
    </w:pPr>
    <w:r>
      <w:rPr>
        <w:rFonts w:ascii="Arial" w:eastAsia="Arial" w:hAnsi="Arial" w:cs="Arial"/>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61"/>
      <w:rPr>
        <w:rFonts w:ascii="Arial" w:eastAsia="Arial" w:hAnsi="Arial" w:cs="Arial"/>
        <w:sz w:val="18"/>
        <w:szCs w:val="18"/>
      </w:rPr>
    </w:pPr>
    <w:r>
      <w:rPr>
        <w:rFonts w:ascii="Arial" w:eastAsia="Arial" w:hAnsi="Arial" w:cs="Arial"/>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64"/>
      <w:rPr>
        <w:rFonts w:ascii="Arial" w:eastAsia="Arial" w:hAnsi="Arial" w:cs="Arial"/>
        <w:sz w:val="18"/>
        <w:szCs w:val="18"/>
      </w:rPr>
    </w:pPr>
    <w:r>
      <w:rPr>
        <w:rFonts w:ascii="Arial" w:eastAsia="Arial" w:hAnsi="Arial" w:cs="Arial"/>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64"/>
      <w:rPr>
        <w:rFonts w:ascii="Arial" w:eastAsia="Arial" w:hAnsi="Arial" w:cs="Arial"/>
        <w:sz w:val="18"/>
        <w:szCs w:val="18"/>
      </w:rPr>
    </w:pPr>
    <w:r>
      <w:rPr>
        <w:rFonts w:ascii="Arial" w:eastAsia="Arial" w:hAnsi="Arial" w:cs="Arial"/>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58"/>
      <w:rPr>
        <w:rFonts w:ascii="Arial" w:eastAsia="Arial" w:hAnsi="Arial" w:cs="Arial"/>
        <w:sz w:val="18"/>
        <w:szCs w:val="18"/>
      </w:rPr>
    </w:pPr>
    <w:r>
      <w:rPr>
        <w:rFonts w:ascii="Arial" w:eastAsia="Arial" w:hAnsi="Arial" w:cs="Arial"/>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4" w:lineRule="auto"/>
      <w:ind w:left="4158"/>
      <w:rPr>
        <w:rFonts w:ascii="Arial" w:eastAsia="Arial" w:hAnsi="Arial" w:cs="Arial"/>
        <w:sz w:val="18"/>
        <w:szCs w:val="18"/>
      </w:rPr>
    </w:pPr>
    <w:r>
      <w:rPr>
        <w:rFonts w:ascii="Arial" w:eastAsia="Arial" w:hAnsi="Arial" w:cs="Arial"/>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ind w:left="4164"/>
      <w:rPr>
        <w:rFonts w:ascii="Arial" w:eastAsia="Arial" w:hAnsi="Arial" w:cs="Arial"/>
        <w:sz w:val="18"/>
        <w:szCs w:val="18"/>
      </w:rPr>
    </w:pPr>
    <w:r>
      <w:rPr>
        <w:rFonts w:ascii="Arial" w:eastAsia="Arial" w:hAnsi="Arial" w:cs="Arial"/>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FangSong" w:eastAsia="FangSong" w:hAnsi="FangSong" w:cs="FangSong"/>
      <w:sz w:val="28"/>
      <w:szCs w:val="28"/>
      <w:lang w:val="en-US" w:eastAsia="en-US" w:bidi="ar-SA"/>
    </w:rPr>
  </w:style>
  <w:style w:type="paragraph" w:customStyle="1" w:styleId="TableText">
    <w:name w:val="Table Text"/>
    <w:basedOn w:val="Normal"/>
    <w:semiHidden/>
    <w:qFormat/>
    <w:rPr>
      <w:rFonts w:ascii="FangSong" w:eastAsia="FangSong" w:hAnsi="FangSong" w:cs="FangSong"/>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footer" Target="footer9.xml" /><Relationship Id="rId23" Type="http://schemas.openxmlformats.org/officeDocument/2006/relationships/image" Target="media/image11.png" /><Relationship Id="rId24" Type="http://schemas.openxmlformats.org/officeDocument/2006/relationships/image" Target="media/image12.png" /><Relationship Id="rId25" Type="http://schemas.openxmlformats.org/officeDocument/2006/relationships/footer" Target="footer10.xml" /><Relationship Id="rId26" Type="http://schemas.openxmlformats.org/officeDocument/2006/relationships/footer" Target="footer11.xml" /><Relationship Id="rId27" Type="http://schemas.openxmlformats.org/officeDocument/2006/relationships/footer" Target="footer12.xml" /><Relationship Id="rId28" Type="http://schemas.openxmlformats.org/officeDocument/2006/relationships/hyperlink" Target="https://d.book118.com/628126067132006025" TargetMode="Externa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韦湫阳</dc:creator>
  <cp:revision>0</cp:revision>
  <dcterms:created xsi:type="dcterms:W3CDTF">2024-01-12T16:07:54Z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2024-01-13T20:59:42Z</vt:filetime>
  </property>
  <property fmtid="{D5CDD505-2E9C-101B-9397-08002B2CF9AE}" pid="3" name="CRO">
    <vt:lpwstr>wqlLaW5nc29mdCBQREYgdG8gV1BTIDkw</vt:lpwstr>
  </property>
</Properties>
</file>