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一级建造师-水利水电工程管理与实务-1F420000 水利水电工程项目施工管理一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一级建造师-水利水电工程管理与实务-1F420000 水利水电工程项目施工管理一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 指在一定施工组织条件下,完成单位合格产品所需人工、材料、机 械台时数量。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A．劳动定额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B．预算定额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C．综合定额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直接费定额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劳动定额是指具有某种专长和规定的技术水平的工人，在一</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定的施工组织条件下, 在单位时间内应当完成合格产品的数量或完成单位合格产品所需的劳动时间。 预算定额主要用于编制施工图预算时计算工程造价和计算工程中劳动力、材料、机 械台时需要的一种定额,也是招标阶段编制标底、报价的依据。 综合定额指在一定的施工组织条件下,完成单位合格产品所需人工、材料、机械台 时数量。 直接费定额指直接用于施工生产的人工、材料、成品、半成品、机械消耗的定额。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)可以实行设计进度质量保留金制度。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项目法人可以实行设计进度质量保留金制度。因勘测设计责任造成工程质量事故 的,项目法人有权扣除部分以至全部保留金。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《国务院办公厅关于加强基础设施工程质量管理的通知》(国办发[1999]16号) 要求，为了加强公益性建设项目的验收管理,必须执行(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A．项目经理责任制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B．安全生产责任制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C．单元工程质量评定标准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D．竣工验收制度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为了加强公益性建设项目的验收管理，《国务院办公厅关于 加强基础设施工程质量 管理的通知》中指出"必须实行竣工验收制度。项目建成后必须按国家有关规定进 行严格的竣工验收,由验收人员签字负责。项目竣工验收合格后,方可投入使用。 对未经验收或验收不合格就交付使用的,要追究项目法定代表人的责任,造成重大 损失的,要追究其法律责任。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《水利部生产安全事故应急预案(试行)》(水安监[2016] 443号)中应急管理工 作原则不包括(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A．综合管制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B．预防为主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C．以人为本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D．专业指导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应急管理工作原则: (1)以人为本，安全第一。 (2)属地为主,部门]协调。按照国家有关规定,生产安全事 故救援处置的领导和指 挥以地方人民政府为主,水利部发挥指导、协调、督促和配合作用。 (3)分工负责,协同应对。 (4)专业指导,技术支撑。 (5)预防为主,平战结合。建立健全安全风险分级管控和隐患排查治理双重预防性 工作机制,坚持事故预防和应急处置相结合,加强教育培训、预测预警、预案演练 和保障能力建设。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材料储存料公式为q=QdK/n, d代表(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A．年工作日天数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B．需要材料的存储天数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C．需要材料储存量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D．不均匀系数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27.5pt;height:165.75pt" coordsize="21600,21600" fill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发生(发现) ( ) , 事故单位要在48小时内向有关单位提出书面报告。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E．特大质量事故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发生(发现)较大质量事故、重大质量事故、特大质量事故,事故单位要在48小时内 向有关单位提出书面报告。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根据《水利工程合同监督检查办法(试行)》, 合同问题包括(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B．常规合同问题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C．较重合同问题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D．严重合同问题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E．特别严重合同问题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合同问题分为一般合同问题、较重合同问题、严重合同问题、特别严重合同问题。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根据用电负荷的重要性和停电造成的损失程度，钢筋加工厂的主要设备属 ( )负荷。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D．四类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style="width:429.75pt;height:116.25pt" coordsize="21600,21600" filled="f">
            <v:imagedata r:id="rId6" r:href="rId7" o:title="IMG_257"/>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某大体积混凝土工程,发生了施工质量事故,事故直接经济损失12万元，属于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8" type="#_x0000_t75" style="width:419.25pt;height:136.5pt" coordsize="21600,21600" filled="f">
            <v:imagedata r:id="rId8" r:href="rId9" o:title="IMG_258"/>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某水利建筑安装工程的建筑工程单价计算中，直接费为I ,基本直接费为II，已 知间接费的费率为η ,则间接费为(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A．I x 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B．II x 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C．(I+ II) x 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D．(1-II) x 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9" type="#_x0000_t75" style="width:412.5pt;height:220.5pt" coordsize="21600,21600" filled="f">
            <v:imagedata r:id="rId10" r:href="rId11" o:title="IMG_259"/>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某土石方工程,发生了施工质量事故,事故直接经济损失20万元，属于(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0" type="#_x0000_t75" style="width:384.75pt;height:109.5pt" coordsize="21600,21600" filled="f">
            <v:imagedata r:id="rId12" r:href="rId13" o:title="IMG_260"/>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下列不属于质量缺陷分类的是(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B．较重质量缺陷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C．较大质量缺陷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D．严重质量缺陷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质量缺陷分为一般质量缺陷、较重质量缺陷、严重质量缺陷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下列说法错误的是(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A．除合同另有约定外,现场工艺试验所需费用,包含在现场工艺试验项目总价中,由发包人按《工程量清单》相应项目的总价支付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B．承包人承担的超大、超重件的运输费用,由发包人按《工程量清单》相应项目的总价支付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C．除合同另有约定外,承包人根据合同要求完成施工用电设施的建设、移设和拆除工作所需的费用,由发包人按《工程量清单》相应项目的工程单价或总价支付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D．除合同另有约定外,承包人根据合同要求完成仓库或存料场的建设、维护管理和拆除工作所需的费用,由发包人按《工程量清单》相应项目的工程单价或总价支付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承包人承担的超大、超重件的运输费用,均由承包人自行负责,发包人不另行支 付。超大、超重件的尺寸或重量超出合同约定的限度时,增加的费用由发包人承 担。B选项错。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安全生产的重点是(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A．杜绝特别重大事故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B．防范重特大事故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C．减少较大事故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D．减少一般事故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E．根治重大事故隐患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 坚持安全发展、改革创新、依法监管、源头防范、系统治理的原则,严格落实"党 政同责、一岗双责、齐抓共管、失职追责"要求,以防范重特大事故、减少较大和 一般事故为重点， 切实增强水利安全生产防范治理能力。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安全生产管理三类人员安全生产考核实行分类考核，下列关于能力考核的内 容正确的是(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A．具有完全民事行为能力,身体健康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B．与申报企业有正式劳动关系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C．项目负责人,年龄不超过65周岁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D．专职安全生产管理人员,年龄不超过55周岁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E．项目负责人应具有大专及以上学历或中级及以上技术职称,且具有3年及以上的 水利水电工程建设经历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申请考核者,应满足以下条件: (1)具有完全民事行为能力,身体健康。 (2)与申报企业有正式劳动关系。 (3)项目负责人,年龄不超过65周岁;专职安全生产管理人员,年龄不超过60周岁。 (4)申请人的学历、职称和工作经历应分别满足以下要求: ①企业主要负责人:法定代表人应满足水利水电工程承包企业资质等级标准的要 求。除法定代表人之外的其他企业主要负责人,应具有大专及以上学历或中级及以 上技术职称，且具有3年及以上的水利水电工程建设经历。 ②项目负责人,应具有大专及以上学历或中级及以上技术职称,且具有3年及以上 的水利水电工程建设经历。 ③专职安全生产管理，人员,应具有中专或同等学历且具有3年及以上的水利水电工 程建设经历,或大专及以上学历且具有2年及以上的水利水电工程建设经历。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安全生产管理制度的基本内容包括(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A．工作内容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B．责任人(部门)的职责与权限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C．惩戒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D．奖励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E．基本工作程序及标准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项目法人应组织制订各种安全生产管理制度,安全生产管理制度基本内容包括以 下: (1)工作内容。(2)责任人(部门)的职责 与权限。(3)基本 工作程序及标准。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安全生产责任追究实行( )原则。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A．一调查,二追究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B．三不放过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C．四不放过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D．绝不放过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落实水利生产经营单位生产经营全过程安全生产责任追溯制度,按照 "四不放过"原则严格实施责任追究。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材料预算价格一般包括材料原价、 运杂费、运输保险费和( ) 四项。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A．采购费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B．包装费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C．保管费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D．采购及保管费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材相预算价格般包括材料原价运杂费、运输保险费采购及保管费四项,个别材料若规定另计包装费的另行计算。不有运前保险费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采用新结构、新材料、新工艺以及特殊结构的水利工程,应当在设计中提出 保障施工作业人员安全和预防生产安全事故的措施建议的单位是(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A．勘测单位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D．项目法人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采用新结构、新材料、新工艺以及特殊结构的水利工程,设计单位应当在设计中提 出保障施工作业人员安全和预防生产安全事故的措施建议。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常规鉴定是指( ) 利用快速检测手段进行检测,或委托有资质的检测单位对 质量缺陷进行检测,认定问题性质。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A．检测单位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D．项目主管部门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常规鉴定是指项目法人或现场监督检查组利用快速检测手段进行检测,或委托</w:t>
      </w:r>
      <w:r>
        <w:rPr>
          <w:rFonts w:ascii="宋体" w:eastAsia="宋体" w:hAnsi="宋体" w:cs="宋体" w:hint="eastAsia"/>
          <w:outline w:val="0"/>
          <w:shadow w:val="0"/>
          <w:emboss w:val="0"/>
          <w:imprint w:val="0"/>
          <w:vanish w:val="0"/>
          <w:w w:val="100"/>
          <w:sz w:val="28"/>
          <w:szCs w:val="28"/>
          <w:u w:val="none"/>
        </w:rPr>
        <w:t>有资</w:t>
      </w:r>
      <w:r>
        <w:rPr>
          <w:rFonts w:ascii="宋体" w:eastAsia="宋体" w:hAnsi="宋体" w:cs="宋体" w:hint="eastAsia"/>
          <w:outline w:val="0"/>
          <w:shadow w:val="0"/>
          <w:emboss w:val="0"/>
          <w:imprint w:val="0"/>
          <w:vanish w:val="0"/>
          <w:w w:val="100"/>
          <w:sz w:val="28"/>
          <w:szCs w:val="28"/>
          <w:u w:val="none"/>
        </w:rPr>
        <w:t xml:space="preserve"> 质的检测单位对质量缺陷进行检测,认定问题性质。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初步设计概算静态总投资超过可行性研究报告相应估算静态总投资在15%以下 时,应(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A．重新编制初步设计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B．重新编制可行性研究报告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C．对工程变化内容和增加投资提出专题分析报告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D．不作处理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由于工程项目基本条件发生变化,引起工程规模、工程标准、设计方案、工程量的 改变,其静态总投资超过可行性研究报告相应估算静态总投资在15%以吓时,要 对工程变化内容和增加投资提出专题分析报告。超过15%以上(含15%)时,必须重 新编制可行性研究报告并按原程序报批。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单位工程投入使用验收可由( )主持。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A．竣工验收主持单位或其委托单位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D．项目法人或监理单位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单位工程投入使用验收应由项目法人主持,根据工程具体情况，经竣工验收主持单 位同意,单位工程投入使用验收也可由竣工验收主持单位或其委托的单位主持。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单位工程验收的成果是(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A．单位工程验收鉴定书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B．单位工程验收签证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C．单位工程验收报告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D．单位工程验收证明书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单位工程验收的成果性文件是单位工程验收鉴定书。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单位工程质量优良时,外观质量得分率达到( ) 以上。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单位工程施工质量优良标准: (1)所含分部工程质量全部合格,其中70%以上达到优良等级,主要分部工程质量 全部优良,且施工中未发生过较大质量事故。 (2)质量事故已按要求进行处理。 (3)外观质量得分率达到85%以上。 (4)单位工程施工质量检验与评定资料齐全。 (5)工程施工期及试运行期,单位工程观测资料分析结果符合国家和行业技术标准 以及合同约定的标准要求。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单元工程的检查验收,在施工单位自检合格的基础上，由( ) 进行终检验收。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C．质量监督单位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单元工程的检查验收,施工单位应按"三级检查制度" (班组初检、作业队复检、项 目部终检)的原则进行自检,在自检合格的基础上,由监理单位进行终检验收。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单元工程质量达不到《水利水电基本建设工程单元工程质量等级评定标准》 时，必须及时处理。下列关于其质量等级确定的说法 ,正确的是(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A．全部返工重做的,质量也只能评定为合格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B．经加固补强并经鉴定能达到设计要求,其质量只能评为合格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C．经加固补强并经鉴定能达到设计要求,其质量可以评为优良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D．经鉴定达不到设计要求,但建设单位认为能基本满足安全和使用功能要求的， 可不加固补强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E．经加固补强后,造成永久性缺陷的,经建设单位认为基本满足设计要求,质 可按合格处理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 单元(工序)工程质达不到合格标准时,应及时处理。处理后的质等级按下列规 定重新确定: ①全部返工重做的,可重新评定质量等级。 ②经加固补强并经设计和监理单位鉴定能达到设计要求时,质量评为合格。 ③处理后的工程部分质量指标仍达不到设计要求时,经设计复核,项目法人及监理 单位确认能满足安全和使用功能要求的,可不再进行处理;或经加固补强后,改变 了外形尺寸或造成工程永久性缺陷的,经项目法人、监理及设计单位确认能基本满 足设计要求的,其质量可定为合格,但应按规定进行质量缺陷备案。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单元工程质量达不到合格规定,但经加固补强并经鉴定达到设计要求,其质量 可被评为(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t>A．不合格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C．优良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D．优秀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单元(工序)工程质达不到合格标准时,经加固补强并经设计和监理单位鉴定能达 到设计要求时,其质量评为合格。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堤防工程施工质量达不到设计要求,经加固补强后,造成外形尺寸改变或永久 性缺陷的,经项目法人认为基本满足设计要求,其质量(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A．按质量缺陷处理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B．可评定为合格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C．可评定为优良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D．重新进行评定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处理后的工程部分质量指标仍达不到设计要求时,经设计复核,项目法人及监理单 位确认能满足安全和使用功能要求的,可不再进行处理;或经加固补强后,改变了 外形尺寸或造成工程永久性缺陷的,经项目法人、监理及设计单位确认能基本满足 设计要求的，其质量可定为合格,但应按规定进行质量缺陷备案。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对被追究刑事责任的施工单位经营者依法实施(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A．执业禁入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B．行业禁入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C．专业禁入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D．职业禁入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对被追究刑事责任的生产经营者依法实施相应的职业禁入,对事故发生负有重大责 任的社会服务机构和人员依法严肃追究法律责任,依法实施相应的行业禁入。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对工程价款结算的审计,主要是检查( )是否符合规定。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A．依据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B．程序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C．手续</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D．准确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E．及时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工程价款结算的依据、程序、手续是否符合规定,造价审计结果是否作为确认基本</w:t>
      </w:r>
      <w:r>
        <w:rPr>
          <w:rFonts w:ascii="宋体" w:eastAsia="宋体" w:hAnsi="宋体" w:cs="宋体" w:hint="eastAsia"/>
          <w:outline w:val="0"/>
          <w:shadow w:val="0"/>
          <w:emboss w:val="0"/>
          <w:imprint w:val="0"/>
          <w:vanish w:val="0"/>
          <w:w w:val="100"/>
          <w:sz w:val="28"/>
          <w:szCs w:val="28"/>
          <w:u w:val="none"/>
        </w:rPr>
        <w:t xml:space="preserve"> 建设支出的依据。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对工程造成较长时间延误工期,经处理后不影响正常使用但对工程使用寿命有 较大影响的水利工程质量事故是(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D．一般事故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重大质量事故指对工程造成重大经济损失或较长时间延误工期,经处理后不影响正 常使用但对工程使用寿命有较大影响的事故。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对建设项目的稽察，主要包括(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A．项目前期与设计工作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B．项目建设管理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C．工程质量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D．资金使用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E．项目运行管理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(1)对前期工作与设计的稽察; (2)对计划下达与执行的稽察; (3)对建设管理的稽察; (4)对资金使用与管理的稽察; (5)对工程质量与安全的稽察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对可能影响施工报价的安全方面资料，项目法人应当在( )提供。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A．招标时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B．标前会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C．合同谈判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D．没有具体规定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对可能影响施工报价的资料,项目法人应当在招标时提供。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对于判定出的重大事故隐患，要做到( )落实。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C．五</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对于判定出的重大事故隐</w:t>
      </w:r>
      <w:r>
        <w:rPr>
          <w:rFonts w:ascii="宋体" w:eastAsia="宋体" w:hAnsi="宋体" w:cs="宋体" w:hint="eastAsia"/>
          <w:outline w:val="0"/>
          <w:shadow w:val="0"/>
          <w:emboss w:val="0"/>
          <w:imprint w:val="0"/>
          <w:vanish w:val="0"/>
          <w:w w:val="100"/>
          <w:sz w:val="28"/>
          <w:szCs w:val="28"/>
          <w:u w:val="none"/>
        </w:rPr>
        <w:t>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要做到整改责任、资金、措施、时限和应急预案"五</w:t>
      </w:r>
      <w:r>
        <w:rPr>
          <w:rFonts w:ascii="宋体" w:eastAsia="宋体" w:hAnsi="宋体" w:cs="宋体" w:hint="eastAsia"/>
          <w:outline w:val="0"/>
          <w:shadow w:val="0"/>
          <w:emboss w:val="0"/>
          <w:imprint w:val="0"/>
          <w:vanish w:val="0"/>
          <w:w w:val="100"/>
          <w:sz w:val="28"/>
          <w:szCs w:val="28"/>
          <w:u w:val="none"/>
        </w:rPr>
        <w:t xml:space="preserve"> 落实"。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对于设计单位不同意采纳的一般设计变更建议(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A．项目法人有权作出一般设计变更的决策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B．项目法人无权作出一般设计变更的决策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C．项目法人对作出设计变更决策方案的正确性负责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D．设计单位受项目法人委托进行变更设计时对自己所作的设计成果不负责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E．监理单位有权作出设计变更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对于设计单位不同意采纳的设计变更建议,项目法人有权作出一般设计变更的决 策，并对决策方案的正确性负责,设计单位受项目法人委托进行变更设计时对自己 所作的设计成果负责。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发生质量事故后,经处理影响使用寿命的是(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A．质量缺陷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D．重大质量事故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E．特大质量事故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工程质量事故按直接经济损失的大小,检查、处理事故对工期的影响时间长短和对 工程正常使用的影响，分类为一般质量事故、较大质量事故、重大质量事故、特大 质量事故。其中: (1)一般质量事故指对工程造成一定经济损失,经处理后不影响正常使用并不影响 使用寿命的事故。 (2)较大质量事故指对工程造成较大经济损失或延误较短工期,经处理后不影响正 常使用但对工程使用寿命有一定影响的事故。 (3)重大质量事故指对工程造成重大经济损失或较长时间延误工期,经处理后不影 响正常使用但对工程使用寿命有较大影响的事故。 (4)特大质事故指对工程造成特大经济损失或长时间延误工期,经处理仍对正常 使用和工程使用寿命有较大影响的事故。 (5)小于一般质 事故的质量问题称为质量缺陷。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分包单位必须对其分包工程的施工质量向( )负责。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A．质量监督机构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D．总包单位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工程的分包,分包单位必须具备相应资质等级,并对其分包工程的施工质量向</w:t>
      </w:r>
      <w:r>
        <w:rPr>
          <w:rFonts w:ascii="宋体" w:eastAsia="宋体" w:hAnsi="宋体" w:cs="宋体" w:hint="eastAsia"/>
          <w:outline w:val="0"/>
          <w:shadow w:val="0"/>
          <w:emboss w:val="0"/>
          <w:imprint w:val="0"/>
          <w:vanish w:val="0"/>
          <w:w w:val="100"/>
          <w:sz w:val="28"/>
          <w:szCs w:val="28"/>
          <w:u w:val="none"/>
        </w:rPr>
        <w:t>总包</w:t>
      </w:r>
      <w:r>
        <w:rPr>
          <w:rFonts w:ascii="宋体" w:eastAsia="宋体" w:hAnsi="宋体" w:cs="宋体" w:hint="eastAsia"/>
          <w:outline w:val="0"/>
          <w:shadow w:val="0"/>
          <w:emboss w:val="0"/>
          <w:imprint w:val="0"/>
          <w:vanish w:val="0"/>
          <w:w w:val="100"/>
          <w:sz w:val="28"/>
          <w:szCs w:val="28"/>
          <w:u w:val="none"/>
        </w:rPr>
        <w:t xml:space="preserve"> 单位负责,总包单位对全部工程质向项目法人(建设单位)负责。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分部工程验收的成果是(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A．分部工程验收鉴定书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B．分部工程验收签证书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C．分部工程验收报告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D．分部工程验收证明书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分部工程验收的成果性文件是分部工程验收鉴定书。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分部工程验收工作组由项目法人或监理主持,应由( ) 单位有关专业技 术人员参加。</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C．运行管理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E．质量检测部门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分部工程验收应由项目法人(或委托监理单位)主持。验收工作组应由项目法人、勘 测、设计、监理、施工、主要设备制造(供应)商等单位的代表组成。运行管理单位 可根据具体情况决定是否参加。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分部工程质量优良时，单元工程( ) 以上优良,重要隐蔽单元工程和关键 部位单元工程有( ) 以上达到优良。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A．50%.100%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 ,100%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C．70%,90%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D．80% , 100%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分部工程施工质量优良标准: (1)所含单元工程质量全部合格,其中70%以上达到优良等级,主要单元工程以及 重要隐蔽单元工程(关键部位单元工程)质量优良率达90%以上,且未发生过质量事 故。 (2)中间产品质量全部合格,混凝土(砂浆)试件质量达到优良等级(当试件组数小于 30时,试件质量合格)。原材料质量、金属结构及启闭机制造质量合格,机电产品 质量合格。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分类分项工程星清单项目编码中500101002001的第五、六位为( ) 顺序 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rPr>
        <w:t>A．水利工程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B．专业工程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C．分项工程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D．分类工程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分类分项工程量清单分为水利建筑工程工程量清单和水利安装工程工程量清单。分 类分项工程量清单项目编码采用+二位阿拉伯数字表示(由左至右计位)。一至九位 为统一编码,其中,一、二位为水利工程顺序码，三、四位为专业工程顺序码， 五、六位为分类工程顺序码,七、八、九位为分项工程顺序码,十至十二位为清单 项目名称顺序码。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各专项验收(包括枢纽工程、库区移民、环保、消防、劳动安全卫生、工程档 案、工程竣工决算)工作完成后，( ) 对验收工作进行总结,提出工程竣工验收总结报告。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枢纽工程、建设征地移民安置、环境保护、 水土保持、消防、劳动安全与工业卫 生、工程决算和工程档案专项验收完成后,项目法人应对验收工作进行总结,向验 收委员会提交工程竣工验收总结报告。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根据《大中型水电工程建设风险管理规范》(GB/T50297-2013) ,水利水电工 程建设风险类型包括(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A．质量事故风险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B．工期延误风险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C．人员伤亡风险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D．经济损失风险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E．社会影响风险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 水利水电工程建设风险分为以下五类: 1.人员伤亡风险。 2.经济损失风险。 3.工期延误风险。 4.环境影响风险。 5.社会影响风险。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根据《工程建设项目施工招标投标办法》( 第30号令) , 工程建设项目施工评 标委员会推荐的中标候选人应当限定在( )人。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招标人可授权评标委员会直接确定中标人,也可根据评标委员会提出的书面评标报 告和推荐的中标候选人顺序确定中标人。评标委员会推荐的中标候选人应当限定在 一至三人， 并标明排列顺序。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根据《关于清理规范工程建设领域保证金的通知》(国办发[2016]49号) ,建筑 业企业在工程建设中需缴纳的保证金有(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A．投标保证金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B．履约保证金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C．工程质量保证金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D．信用保证金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E．农民工工资保证金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根据《国务院办公厅关于清理规范工程建设领域保证金的通知》(国办发[2016]49 号) ,投标保证金、履约保证金、工程质量保证金、农民工工资保证金,推行银行 保函制度,建筑业企业可以银行保函方式缴纳。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根据《关于水利工程建设项目代建制管理的指导意见》(水建管[2015] ) ,水利 工程建设项目代建单位负责对水利工程建设项目( ) 的建设的管理。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A．施工准备至竣工验收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B．初步设计至竣工验收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C．可行性研究至竣工验收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D．可行性研究至后评价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本题考查的是代建制和PPP制。根据《关于水利工程建设项目代建制管理的指导意 见》( 水建管[2015] )，水利工程建设项目代建制为建设实施代建,代建单位对水 利工程建设项目施工准备至竣工验收的建设实施过程进行管理。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根据《关于水利工程建设项目代建制管理的指导意见》(水建管[2015]91号)， 拟实施代建制项目应在( ) 阶段前选定代建单位。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A．施工准备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B．开工建设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C．可行性研究报告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D．主体开工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拟实施代建制的项目应在可行性研究报告中提出实行代建制管理的方案,经批</w:t>
      </w:r>
      <w:r>
        <w:rPr>
          <w:rFonts w:ascii="宋体" w:eastAsia="宋体" w:hAnsi="宋体" w:cs="宋体" w:hint="eastAsia"/>
          <w:outline w:val="0"/>
          <w:shadow w:val="0"/>
          <w:emboss w:val="0"/>
          <w:imprint w:val="0"/>
          <w:vanish w:val="0"/>
          <w:w w:val="100"/>
          <w:sz w:val="28"/>
          <w:szCs w:val="28"/>
          <w:u w:val="none"/>
        </w:rPr>
        <w:t>复后</w:t>
      </w:r>
      <w:r>
        <w:rPr>
          <w:rFonts w:ascii="宋体" w:eastAsia="宋体" w:hAnsi="宋体" w:cs="宋体" w:hint="eastAsia"/>
          <w:outline w:val="0"/>
          <w:shadow w:val="0"/>
          <w:emboss w:val="0"/>
          <w:imprint w:val="0"/>
          <w:vanish w:val="0"/>
          <w:w w:val="100"/>
          <w:sz w:val="28"/>
          <w:szCs w:val="28"/>
          <w:u w:val="none"/>
        </w:rPr>
        <w:t xml:space="preserve"> 在施工准备前选定代建单位。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根据《国家能源局关于印发进一步加强电力建设 工程质量监督管理工作意见的 通知》(国能发安全[ 2018] 21号)，下列关于电力建设工程质量监督管理工作的说法中，错 误的是(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A．国家能源局依法依规对全国电力建设工程质实施统一监督管理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B．国家能源局电力安全监管司归口全国电力建设工程质量监督管理工作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C．对于小规模的项目,质量监督可以建设、监理、设计、施工等单位的质量管理工作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D．根据工作需要各监督站、中心站可设立项目站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质量监督不代替建设、监理、设计、施工等单位的质量管理工作。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根据《国务院关于在市场体系建设中监理公平竞争审查制度的意见》， 下列行 为属于排斥外地经营者参加本地投标活动的有(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A．限定个人只能购买本地企业的服务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B．在边界设置关卡,阻碍本地产品运出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C．不依法及时发布招标信息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D．直接拒绝外地经营者参加本地投标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E．限制外地经营者在本地设立分支机构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不得排斥或者限制外地经营者参加本地招标投标活动,包括但不限于: ①不依法及时有效地发布招标信息。 ②直接明确外地经营者不能参与本地特定的招标投标活动。 ③对外地经营者设定明显高于本地经营者的资质要求或者评审标准。 ④通过设定与招标项目的具体特点和实际需要不相适应或者与合同履行无关的资 格、技术和商务条件，变相限制外地经营者 参加本地招标投标活动。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根据《建筑业企业资质标准》(建市[2014]159号) ,水利水电工程施工专业承 包企业资质等级分为(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A．甲级、乙级、丙级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B．一级、二级、三级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C．特级、一级、二级、三级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D．特级、甲级、乙级、丙级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根据住房和城乡建设部《建筑业企业资质标准》(</w:t>
      </w:r>
      <w:r>
        <w:rPr>
          <w:rFonts w:ascii="宋体" w:eastAsia="宋体" w:hAnsi="宋体" w:cs="宋体" w:hint="eastAsia"/>
          <w:outline w:val="0"/>
          <w:shadow w:val="0"/>
          <w:emboss w:val="0"/>
          <w:imprint w:val="0"/>
          <w:vanish w:val="0"/>
          <w:w w:val="100"/>
          <w:sz w:val="28"/>
          <w:szCs w:val="28"/>
          <w:u w:val="none"/>
        </w:rPr>
        <w:t>建市</w:t>
      </w:r>
      <w:r>
        <w:rPr>
          <w:rFonts w:ascii="宋体" w:eastAsia="宋体" w:hAnsi="宋体" w:cs="宋体" w:hint="eastAsia"/>
          <w:outline w:val="0"/>
          <w:shadow w:val="0"/>
          <w:emboss w:val="0"/>
          <w:imprint w:val="0"/>
          <w:vanish w:val="0"/>
          <w:w w:val="100"/>
          <w:sz w:val="28"/>
          <w:szCs w:val="28"/>
          <w:u w:val="none"/>
        </w:rPr>
        <w:t xml:space="preserve"> [2014]</w:t>
      </w:r>
      <w:r>
        <w:rPr>
          <w:rFonts w:ascii="宋体" w:eastAsia="宋体" w:hAnsi="宋体" w:cs="宋体" w:hint="eastAsia"/>
          <w:outline w:val="0"/>
          <w:shadow w:val="0"/>
          <w:emboss w:val="0"/>
          <w:imprint w:val="0"/>
          <w:vanish w:val="0"/>
          <w:w w:val="100"/>
          <w:sz w:val="28"/>
          <w:szCs w:val="28"/>
          <w:u w:val="none"/>
        </w:rPr>
        <w:t xml:space="preserve"> 159号)</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rPr>
        <w:t xml:space="preserve"> 水利水电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工程施工专业承包企业资质划分为水工金属结构制作与安装工程、水利水电机电安</w:t>
      </w:r>
      <w:r>
        <w:rPr>
          <w:rFonts w:ascii="宋体" w:eastAsia="宋体" w:hAnsi="宋体" w:cs="宋体" w:hint="eastAsia"/>
          <w:outline w:val="0"/>
          <w:shadow w:val="0"/>
          <w:emboss w:val="0"/>
          <w:imprint w:val="0"/>
          <w:vanish w:val="0"/>
          <w:w w:val="100"/>
          <w:sz w:val="28"/>
          <w:szCs w:val="28"/>
          <w:u w:val="none"/>
        </w:rPr>
        <w:t xml:space="preserve"> 装工程、河湖整治工程3个专业,每个专业等级分为一级、二级、三级。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根据《建筑业企业资质标准》(建市[2014]159号) ,水利水电工程施工总承包企 业资质等级分为(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A．甲级、乙级、丙级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B．一级、二级、三级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C．特级、一级、二级、三级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D．特级、甲级、乙级、丙级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水利水电工程施工总承包企业资质等级分为特级、一级、二级、三级。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根据《水电工程设计概算编制规定》(2013年版) ,财务费用属于(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A．基本直接费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B．其他直接费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C．间接费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D．利润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间接费指建筑、安装工程施工过程中构成建筑产品成本,但又无法直接计量的消耗 在工程项目上的有关费用。由施工管理费、企业管理费、社会保障及企业计提费和 财务费用组成。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根据《水电工程设计概算编制规定》(2013年版) ,水电工程的独立费用包括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A．项目建设管理费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B．生产准备费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C．科研勘察设计费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D．临时工程费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E．其他税费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独立费用包括项目建设管理费、产准备费、科研勘察设计费、其他税费四项。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根据《水电工程设计概算费用标准》(2013年版) ,基本直接费包括(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A．人工费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B．材料费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C．施工机械使用费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D．其他基本直接费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E．税金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基本直接费包括人工费、材料费、施工机械使用费。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根据《水电工程验收管理办法》(2015年修订版) ,负责水电工程验收监督管理 工作的是(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A．水利部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B．电监会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C．国家能源局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D．电力企业建设联合会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国家能源主管部负责水电工程验收的监督管理工作。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根据《水电工程验收管理办法》(2015年修订版) ,截流验收前应进行( ) 专项验收。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A．环境保护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B．建设征地移民安置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C．水土保持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D．劳动安全与工业卫生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截流验收和蓄水验收前应进行建设征地移民安置专项验收。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根据《水电工程验收管理办法》(国能新能[2015]426号)，枢纽工程专项验收由 ( )负责。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A．项目法人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C．省级人民政府能源主管部门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D．国家能源局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枢纽工程专项验收由省级人民政府能源主管部门负责,并委托有业绩、能力单位作 为技术主持单位,组织验收委员会进行,并邀请相关部门、项目法人所属计划单 列企业集团(或中央管理企业)、有关单位和专家参加。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 电水农[1997]220号)，水电建设 工程质量事故分类中不包括( ) 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A．较大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B．重大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D．特别重大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本题考查的是水力发电工程质量事故分类及处理的要求。工程质量事故分类为:一 般质量事故;较大质量事故;重大质量事故;特大质量事故。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 ，下列检查中, 不属于“三级检查制度”规定检查内容的有(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A．班组初检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B．监理员抽检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C．作业队复检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D．监理单位终检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E．项目部终检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 单元工程的检查验收,施工单位应按“三级检查制度”班组初检、作业队复检、项 目部终检)的原则进行自检,在自检合格的基础上,由监理单位进行终检验收。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根据《水电建设工程质量管理暂行办法》(电水农[1997]220号)，事故调查权 限按以下原则确定(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A．一般事故由质监总站负责调查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B．一般事故由项目法人或监理单位负责调查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C．较大事故由项目法人负责组织专家组进行调查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D．重大事故由省级以上水行政主管部门负责组织专家组进行调查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E．特大质量事故由质监总站负责组织专家组进行调查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事故调查权限按以下原则确定: ①一般事故由项目法人或监理单位负责调查。 ②较大事故由项目法人负责组织专家组进行调查。 ③重大事故和特大事故由质监总站负责组织专家组进行调查。 ④质监总站有权根据质量巡视员的报告,对特定质量问题或质量管理情况进行调 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根据《水电建设工程质量管理暂行办法》(电水农[1997]220号文)，下列事故中 由项目法人负责组织专家组进行调查的是(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C．重大事故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rPr>
        <w:t>D．特大事故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事故调查权限按以下原则确定: ①一般事故由项目法人或监理单位负责调查。 ②较大事故由项目法人负责组织专家组进行调查。 ③重大事故和特大事故由质监总站负责组织专家组进行调查。 ④质监总站有权根据质量巡视员的报告,对特定质量问题或质量管理情况进行调 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 按对工程的( ) 的影响程度,检 查、处理事故对工期的影响时间长短和直接经济损失的大小,划分工程质量事故。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A．耐久性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B．可靠性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C．正常使用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E．工程效益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本题考查的是水力发电工程施工质量管理及质量事故处理的要求。按对工程的耐久 性、可靠性和正常使用的影响程度,检查、处理事故对工期的影响时间长短和直接 经济损失的大小,划分工程质量事故。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根据《水电建设工程质量管理暂行办法》，下列关于水力发电工程施工分包 的说法,正确的是(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A．必须经监理单位同意并审查分包施工单位保证工程质的能力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B．项目法人可指定分包单位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C．分包部分不宜超过合同工作量的50%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D．分包施工单位可以再次进行分包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E．分包施工单位不得再次进行分包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 施工单位进行分包时,必须经监理单位同意并审查分包施工单位保证: 工程质量的能 力,出具书面意见报项目法人批准。分包部分不宜超过合同工作量的30%。分包施 工单位不得再次进行分包。项目法人不得违反合同和有关规定强令施工单位进行分 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根据《水电建设工程质量管理暂行办法》电水农(1997)220号) ,单元工程的 “三级检查制度”包括(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A．班组初检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B．作业队复检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C．项目部终检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r>
        <w:rPr>
          <w:rFonts w:ascii="宋体" w:eastAsia="宋体" w:hAnsi="宋体" w:cs="宋体" w:hint="eastAsia"/>
          <w:outline w:val="0"/>
          <w:shadow w:val="0"/>
          <w:emboss w:val="0"/>
          <w:imprint w:val="0"/>
          <w:vanish w:val="0"/>
          <w:w w:val="100"/>
          <w:sz w:val="28"/>
          <w:szCs w:val="28"/>
          <w:u w:val="none"/>
        </w:rPr>
        <w:t>D．监理单位复检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E．项目法人抽检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单元工程的检查验收,施工单位应按"三级检查制度" (班组初检、作业队复检、项 目部终检)的原则进行自检,在自检合格的基础上,由监理单位进行终检验收。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根据《水电水利工程施工监理规范》(DLT5111 2012).工程项目划分不包括(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A．单元工程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B．分项工程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C．分部工程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D．单项工程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工程开工申报及施工质量检查, -般按单位工程、分部工程、分项工程、单元工程 四级进行划分。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根据《水利安全生产信息报告和处置规则》(水安监(2016)220号) ,水利生产安 全事故信息包括生产安全事故和( )信息。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A．一般涉险事故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B．较大涉险事故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C．重大涉险事故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D．特别重大涉险事故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水利生产安全事故信息包括生产安全事故和较大涉险事故信息。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根据《水利部关于废止和修改部分规章的决定》(水利部令2014年第46号)，项 目法人应自( ) 内将保证安全生产的措施方案报有关部门备案。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A．开工报告批准之日起10个工作日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B．工程开工之日起10个工作日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C．开工报告批准之日起15个工作日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D．工程开工之日起15个工作日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项目法人应当组织编制保证安全生产的措施方案,并自工程开工之日起15个工作日 内报有管辖权的水行政主管部门、流域管理机构或者其委托的水利工程建设安全生 产监督机构备案。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rPr>
        <w:t>根据《水利部关于调整水利工程建设项目施工准备开工条件的通知》(水建管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[2017]177号)</w:t>
      </w:r>
      <w:r>
        <w:rPr>
          <w:rFonts w:ascii="宋体" w:eastAsia="宋体" w:hAnsi="宋体" w:cs="宋体" w:hint="eastAsia"/>
          <w:outline w:val="0"/>
          <w:shadow w:val="0"/>
          <w:emboss w:val="0"/>
          <w:imprint w:val="0"/>
          <w:vanish w:val="0"/>
          <w:w w:val="100"/>
          <w:sz w:val="28"/>
          <w:szCs w:val="28"/>
          <w:u w:val="none"/>
        </w:rPr>
        <w:t xml:space="preserve"> ,不属于施工准备条件的是(</w:t>
      </w:r>
      <w:r>
        <w:rPr>
          <w:rFonts w:ascii="宋体" w:eastAsia="宋体" w:hAnsi="宋体" w:cs="宋体" w:hint="eastAsia"/>
          <w:outline w:val="0"/>
          <w:shadow w:val="0"/>
          <w:emboss w:val="0"/>
          <w:imprint w:val="0"/>
          <w:vanish w:val="0"/>
          <w:w w:val="100"/>
          <w:sz w:val="28"/>
          <w:szCs w:val="28"/>
          <w:u w:val="none"/>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A．可行性研究报告已批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B．环境影响评价文件已批准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C．办理施工报建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D．年度水利投资计划下达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水利工程建设项目应当具备以下条件,项目法人即可开展施工准备,开工建设: (1)项目可行性研究报告已经批准。 (2)环境影响评价文件等已经批准。 (3)年度投资计划已下达或建设资金已落实。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根据《水利部关于修订印发水利建设质量工作考核办法的通知》(水建管 [2018]102号) ,不属于监理单位质量控制考核内容的是( )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A．质量控制体系建立情况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B．监理控制相关材料报送情况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C．监理控制责任履行情况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D．历次稽察提出质量问题整改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本题考查的是水利工程监理单位质量管理职责。根据《水利部关于修订印发水利 建设质量工作考核办法的通知》(水建管[2018]102号) ,涉及监理单位监理质量控 制主要考核以下内容: (1)质量控制体系建立情况; (2)监理控制相关材料报送情况; (3)监理控制责任履行情况。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根据《水利部关于修订印发水利建设质量工作考核办法的通知》(水建管(2018) 102号) ,某省级水行政主管部门考核排名第8，得分92分,其考核结果为(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B．B级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C．C级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D．D级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根据《水利部关于修订印发水利建设质量工作考核办法的通知》(水建管 [2018]102号) , 每年对省级水行政主管部门进行水利建设质量工作考核。每年7月 1日至次年6月30日为一个考核年度。考核采用评分和排名相结合的综合评定法， 满分为100分,其中总体考核得分占考核总分的60% ,项目考核得分占考核总分的 40%。考核结果分4个等级,分别为A级(考核排名前10名,且得分90分及以上 的)、B级(A级以后,且得分80分及以上的)、C级(B级以后,且得分在60分及以上 的)、D级(得分60分以下或发生重、特大质量事故的)。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https://d.book118.com/635010010300011101</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2"/>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6E134D6"/>
    <w:rsid w:val="4EB259D5"/>
    <w:rsid w:val="54916EF8"/>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http://exam.dxwmedu.com///files/attach/files/content/20220111/16418723576052.png" TargetMode="External" /><Relationship Id="rId12" Type="http://schemas.openxmlformats.org/officeDocument/2006/relationships/image" Target="media/image5.png" /><Relationship Id="rId13" Type="http://schemas.openxmlformats.org/officeDocument/2006/relationships/image" Target="http://exam.dxwmedu.com///files/attach/files/content/20220111/16418724097246.png" TargetMode="External" /><Relationship Id="rId14" Type="http://schemas.openxmlformats.org/officeDocument/2006/relationships/hyperlink" Target="https://d.book118.com/635010010300011101"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tach/files/content/20220111/16418722356626.png" TargetMode="External" /><Relationship Id="rId6" Type="http://schemas.openxmlformats.org/officeDocument/2006/relationships/image" Target="media/image2.png" /><Relationship Id="rId7" Type="http://schemas.openxmlformats.org/officeDocument/2006/relationships/image" Target="http://exam.dxwmedu.com///files/attach/files/content/20220111/16418723344168.png" TargetMode="External" /><Relationship Id="rId8" Type="http://schemas.openxmlformats.org/officeDocument/2006/relationships/image" Target="media/image3.png" /><Relationship Id="rId9" Type="http://schemas.openxmlformats.org/officeDocument/2006/relationships/image" Target="http://exam.dxwmedu.com///files/attach/files/content/20220111/16418723812897.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F34C4FCEECF24016B76C9580198E9E86_13</vt:lpwstr>
  </property>
  <property fmtid="{D5CDD505-2E9C-101B-9397-08002B2CF9AE}" pid="3" name="KSOProductBuildVer">
    <vt:lpwstr>2052-12.1.0.16250</vt:lpwstr>
  </property>
</Properties>
</file>