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183" w:lineRule="auto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65.</w:t>
      </w:r>
      <w:r>
        <w:rPr>
          <w:rFonts w:ascii="SimHei" w:eastAsia="SimHei" w:hAnsi="SimHei" w:cs="SimHei"/>
          <w:sz w:val="21"/>
          <w:szCs w:val="21"/>
        </w:rPr>
        <w:t>020</w:t>
      </w:r>
    </w:p>
    <w:p>
      <w:pPr>
        <w:spacing w:before="104" w:line="185" w:lineRule="auto"/>
        <w:ind w:left="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16</w:t>
      </w:r>
    </w:p>
    <w:p>
      <w:pPr>
        <w:spacing w:before="68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备案号：38499</w:t>
      </w:r>
      <w:r>
        <w:rPr>
          <w:rFonts w:ascii="SimHei" w:eastAsia="SimHei" w:hAnsi="SimHei" w:cs="SimHei"/>
          <w:sz w:val="21"/>
          <w:szCs w:val="21"/>
        </w:rPr>
        <w:t>-2013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1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85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84"/>
          <w:sz w:val="96"/>
          <w:szCs w:val="96"/>
        </w:rPr>
        <w:t>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88" w:line="203" w:lineRule="exact"/>
        <w:ind w:left="726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position w:val="-3"/>
          <w:sz w:val="27"/>
          <w:szCs w:val="27"/>
        </w:rPr>
        <w:t>DB</w:t>
      </w:r>
      <w:r>
        <w:rPr>
          <w:rFonts w:ascii="SimHei" w:eastAsia="SimHei" w:hAnsi="SimHei" w:cs="SimHei"/>
          <w:spacing w:val="6"/>
          <w:position w:val="-3"/>
          <w:sz w:val="27"/>
          <w:szCs w:val="27"/>
        </w:rPr>
        <w:t>63</w:t>
      </w:r>
      <w:r>
        <w:rPr>
          <w:rFonts w:ascii="Times New Roman" w:eastAsia="Times New Roman" w:hAnsi="Times New Roman" w:cs="Times New Roman"/>
          <w:spacing w:val="6"/>
          <w:position w:val="-3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position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6"/>
          <w:position w:val="-3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6"/>
          <w:position w:val="-3"/>
          <w:sz w:val="27"/>
          <w:szCs w:val="27"/>
        </w:rPr>
        <w:t>1231</w:t>
      </w:r>
      <w:r>
        <w:rPr>
          <w:rFonts w:ascii="Times New Roman" w:eastAsia="Times New Roman" w:hAnsi="Times New Roman" w:cs="Times New Roman"/>
          <w:spacing w:val="6"/>
          <w:position w:val="-3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position w:val="-3"/>
          <w:sz w:val="27"/>
          <w:szCs w:val="27"/>
        </w:rPr>
        <w:t>201</w:t>
      </w:r>
      <w:r>
        <w:rPr>
          <w:rFonts w:ascii="SimHei" w:eastAsia="SimHei" w:hAnsi="SimHei" w:cs="SimHei"/>
          <w:spacing w:val="4"/>
          <w:position w:val="-3"/>
          <w:sz w:val="27"/>
          <w:szCs w:val="27"/>
        </w:rPr>
        <w:t>3</w:t>
      </w:r>
    </w:p>
    <w:p>
      <w:pPr>
        <w:sectPr>
          <w:pgSz w:w="11905" w:h="16840"/>
          <w:pgMar w:top="515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6" w:line="224" w:lineRule="auto"/>
        <w:ind w:left="201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4"/>
          <w:sz w:val="51"/>
          <w:szCs w:val="51"/>
        </w:rPr>
        <w:t>白刺夜</w:t>
      </w:r>
      <w:r>
        <w:rPr>
          <w:rFonts w:ascii="SimHei" w:eastAsia="SimHei" w:hAnsi="SimHei" w:cs="SimHei"/>
          <w:spacing w:val="2"/>
          <w:sz w:val="51"/>
          <w:szCs w:val="51"/>
        </w:rPr>
        <w:t>蛾防治技术规程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5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/>
    <w:p>
      <w:pPr>
        <w:spacing w:line="101" w:lineRule="exact"/>
      </w:pPr>
    </w:p>
    <w:p>
      <w:pPr>
        <w:sectPr>
          <w:type w:val="nextPage"/>
          <w:pgSz w:w="11905" w:h="16840"/>
          <w:pgMar w:top="515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ind w:right="74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3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</w:t>
      </w:r>
      <w:r>
        <w:rPr>
          <w:rFonts w:ascii="Times New Roman" w:eastAsia="Times New Roman" w:hAnsi="Times New Roman" w:cs="Times New Roman"/>
          <w:spacing w:val="-1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2009给出的规则起草。</w:t>
      </w:r>
    </w:p>
    <w:p>
      <w:pPr>
        <w:spacing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本规程由</w:t>
      </w:r>
      <w:r>
        <w:rPr>
          <w:rFonts w:ascii="SimSun" w:eastAsia="SimSun" w:hAnsi="SimSun" w:cs="SimSun"/>
          <w:spacing w:val="-2"/>
          <w:sz w:val="21"/>
          <w:szCs w:val="21"/>
        </w:rPr>
        <w:t>青海大学提出并归口。</w:t>
      </w:r>
    </w:p>
    <w:p>
      <w:pPr>
        <w:spacing w:before="6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本标准起草单位：青海大学农牧学</w:t>
      </w:r>
      <w:r>
        <w:rPr>
          <w:rFonts w:ascii="SimSun" w:eastAsia="SimSun" w:hAnsi="SimSun" w:cs="SimSun"/>
          <w:spacing w:val="-1"/>
          <w:sz w:val="21"/>
          <w:szCs w:val="21"/>
        </w:rPr>
        <w:t>院草业科学系。</w:t>
      </w:r>
    </w:p>
    <w:p>
      <w:pPr>
        <w:spacing w:before="63" w:line="287" w:lineRule="auto"/>
        <w:ind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本标准主</w:t>
      </w:r>
      <w:r>
        <w:rPr>
          <w:rFonts w:ascii="SimSun" w:eastAsia="SimSun" w:hAnsi="SimSun" w:cs="SimSun"/>
          <w:spacing w:val="-11"/>
          <w:sz w:val="21"/>
          <w:szCs w:val="21"/>
        </w:rPr>
        <w:t>要</w:t>
      </w:r>
      <w:r>
        <w:rPr>
          <w:rFonts w:ascii="SimSun" w:eastAsia="SimSun" w:hAnsi="SimSun" w:cs="SimSun"/>
          <w:spacing w:val="-7"/>
          <w:sz w:val="21"/>
          <w:szCs w:val="21"/>
        </w:rPr>
        <w:t>起草人：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严林、星学军、苏丽萍、王文殷、侯秀敏、李晓明、何孝德、杨元武、许新新、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杨芳、朱琳、海存秀、辛总秀、金生</w:t>
      </w:r>
      <w:r>
        <w:rPr>
          <w:rFonts w:ascii="SimSun" w:eastAsia="SimSun" w:hAnsi="SimSun" w:cs="SimSun"/>
          <w:spacing w:val="-1"/>
          <w:sz w:val="21"/>
          <w:szCs w:val="21"/>
        </w:rPr>
        <w:t>英、陈生翠。</w:t>
      </w:r>
    </w:p>
    <w:p>
      <w:pPr>
        <w:sectPr>
          <w:footerReference w:type="default" r:id="rId4"/>
          <w:pgSz w:w="11905" w:h="16840"/>
          <w:pgMar w:top="1406" w:right="1058" w:bottom="1314" w:left="1428" w:header="0" w:footer="1134" w:gutter="0"/>
          <w:pgNumType w:start="6"/>
          <w:cols w:space="708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311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4"/>
          <w:sz w:val="32"/>
          <w:szCs w:val="32"/>
        </w:rPr>
        <w:t>白刺夜蛾防治技术规程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8"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本规程规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定了白刺夜蛾调查方法、防治的原则与方法、防效检查等技术内容。</w:t>
      </w:r>
    </w:p>
    <w:p>
      <w:pPr>
        <w:spacing w:line="219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本规程适用</w:t>
      </w:r>
      <w:r>
        <w:rPr>
          <w:rFonts w:ascii="SimSun" w:eastAsia="SimSun" w:hAnsi="SimSun" w:cs="SimSun"/>
          <w:spacing w:val="-2"/>
          <w:sz w:val="21"/>
          <w:szCs w:val="21"/>
        </w:rPr>
        <w:t>于白刺夜蛾防治。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74" w:lineRule="auto"/>
        <w:ind w:left="5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下列文件对</w:t>
      </w:r>
      <w:r>
        <w:rPr>
          <w:rFonts w:ascii="SimSun" w:eastAsia="SimSun" w:hAnsi="SimSun" w:cs="SimSun"/>
          <w:spacing w:val="-8"/>
          <w:sz w:val="21"/>
          <w:szCs w:val="21"/>
        </w:rPr>
        <w:t>于</w:t>
      </w:r>
      <w:r>
        <w:rPr>
          <w:rFonts w:ascii="SimSun" w:eastAsia="SimSun" w:hAnsi="SimSun" w:cs="SimSun"/>
          <w:spacing w:val="-7"/>
          <w:sz w:val="21"/>
          <w:szCs w:val="21"/>
        </w:rPr>
        <w:t>本文件的应用是必不可少的。凡是注日期的引用文件，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仅注日期的版本适用于本文件。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凡是不注日期的引用文件，其最新版本(包括所有的修改单)适用于本文件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4285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农药安全使用标准</w:t>
      </w:r>
    </w:p>
    <w:p>
      <w:pPr>
        <w:spacing w:before="62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8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8321(所有部分)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农药合理使用准则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15781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森林抚育技术规程</w:t>
      </w:r>
    </w:p>
    <w:p>
      <w:pPr>
        <w:spacing w:before="61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18337</w:t>
      </w:r>
      <w:r>
        <w:rPr>
          <w:rFonts w:ascii="SimSun" w:eastAsia="SimSun" w:hAnsi="SimSun" w:cs="SimSun"/>
          <w:position w:val="7"/>
          <w:sz w:val="21"/>
          <w:szCs w:val="21"/>
        </w:rPr>
        <w:t>.3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生态公益林建设技术规程</w:t>
      </w:r>
    </w:p>
    <w:p>
      <w:pPr>
        <w:spacing w:before="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24689</w:t>
      </w:r>
      <w:r>
        <w:rPr>
          <w:rFonts w:ascii="SimSun" w:eastAsia="SimSun" w:hAnsi="SimSun" w:cs="SimSun"/>
          <w:sz w:val="21"/>
          <w:szCs w:val="21"/>
        </w:rPr>
        <w:t>.1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植物保护器械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虫情测报灯</w:t>
      </w:r>
    </w:p>
    <w:p>
      <w:pPr>
        <w:spacing w:before="6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24689.</w:t>
      </w:r>
      <w:r>
        <w:rPr>
          <w:rFonts w:ascii="SimSun" w:eastAsia="SimSun" w:hAnsi="SimSun" w:cs="SimSun"/>
          <w:sz w:val="21"/>
          <w:szCs w:val="21"/>
        </w:rPr>
        <w:t>2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植物保护器械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频振式杀虫灯</w:t>
      </w:r>
    </w:p>
    <w:p>
      <w:pPr>
        <w:spacing w:before="62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LY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1681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林业有害生物发生及成灾标准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下列术语和定义适用于本标准。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1" w:lineRule="auto"/>
        <w:ind w:left="44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白刺夜蛾</w:t>
      </w:r>
    </w:p>
    <w:p>
      <w:pPr>
        <w:spacing w:before="184" w:line="281" w:lineRule="auto"/>
        <w:ind w:left="1" w:right="73" w:firstLine="450"/>
        <w:rPr>
          <w:rFonts w:ascii="SimSun" w:eastAsia="SimSun" w:hAnsi="SimSun" w:cs="SimSun"/>
          <w:sz w:val="21"/>
          <w:szCs w:val="21"/>
        </w:rPr>
        <w:sectPr>
          <w:footerReference w:type="default" r:id="rId5"/>
          <w:pgSz w:w="11905" w:h="16840"/>
          <w:pgMar w:top="1406" w:right="1057" w:bottom="1316" w:left="1424" w:header="0" w:footer="1134" w:gutter="0"/>
          <w:pgNumType w:start="7"/>
          <w:cols w:space="708"/>
        </w:sectPr>
      </w:pPr>
      <w:r>
        <w:rPr>
          <w:rFonts w:ascii="SimSun" w:eastAsia="SimSun" w:hAnsi="SimSun" w:cs="SimSun"/>
          <w:spacing w:val="-8"/>
          <w:sz w:val="21"/>
          <w:szCs w:val="21"/>
        </w:rPr>
        <w:t>白刺夜蛾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Leiometopon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simyridis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Staudinger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,1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88</w:t>
      </w:r>
      <w:r>
        <w:rPr>
          <w:rFonts w:ascii="SimSun" w:eastAsia="SimSun" w:hAnsi="SimSun" w:cs="SimSun"/>
          <w:spacing w:val="-4"/>
          <w:sz w:val="21"/>
          <w:szCs w:val="21"/>
        </w:rPr>
        <w:t>，属鳞翅目Lepidoptera，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夜蛾科Noctuidae，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剑纹夜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蛾亚科</w:t>
      </w:r>
      <w:r>
        <w:rPr>
          <w:rFonts w:ascii="SimSun" w:eastAsia="SimSun" w:hAnsi="SimSun" w:cs="SimSun"/>
          <w:sz w:val="21"/>
          <w:szCs w:val="21"/>
        </w:rPr>
        <w:t>Acronictinae</w:t>
      </w:r>
      <w:r>
        <w:rPr>
          <w:rFonts w:ascii="SimSun" w:eastAsia="SimSun" w:hAnsi="SimSun" w:cs="SimSun"/>
          <w:spacing w:val="4"/>
          <w:sz w:val="21"/>
          <w:szCs w:val="21"/>
        </w:rPr>
        <w:t>，僧夜蛾属(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Leiometopon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Staudinger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1888</w:t>
      </w:r>
      <w:r>
        <w:rPr>
          <w:rFonts w:ascii="SimSun" w:eastAsia="SimSun" w:hAnsi="SimSun" w:cs="SimSun"/>
          <w:spacing w:val="2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的昆虫，学名，僧夜蛾，俗名，白刺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夜蛾，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白刺</w:t>
      </w:r>
      <w:r>
        <w:rPr>
          <w:rFonts w:ascii="SimSun" w:eastAsia="SimSun" w:hAnsi="SimSun" w:cs="SimSun"/>
          <w:spacing w:val="-6"/>
          <w:sz w:val="21"/>
          <w:szCs w:val="21"/>
        </w:rPr>
        <w:t>毛</w:t>
      </w:r>
      <w:r>
        <w:rPr>
          <w:rFonts w:ascii="SimSun" w:eastAsia="SimSun" w:hAnsi="SimSun" w:cs="SimSun"/>
          <w:spacing w:val="-4"/>
          <w:sz w:val="21"/>
          <w:szCs w:val="21"/>
        </w:rPr>
        <w:t>虫。是青海省柴达木盆地荒漠、半荒漠灌丛草原的主要害虫之一。幼虫主要喜食白刺属植</w:t>
      </w:r>
      <w:r>
        <w:rPr>
          <w:rFonts w:ascii="SimSun" w:eastAsia="SimSun" w:hAnsi="SimSun" w:cs="SimSun"/>
          <w:sz w:val="21"/>
          <w:szCs w:val="21"/>
        </w:rPr>
        <w:t xml:space="preserve"> </w:t>
      </w:r>
    </w:p>
    <w:p>
      <w:pPr>
        <w:spacing w:before="184" w:line="281" w:lineRule="auto"/>
        <w:ind w:left="1" w:right="73" w:firstLine="4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物叶片，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在柴达木地区主要危害唐古特白刺、西伯利亚白刺和大果白刺。识别特征参见附录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SimSun" w:eastAsia="SimSun" w:hAnsi="SimSun" w:cs="SimSun"/>
          <w:spacing w:val="-3"/>
          <w:sz w:val="21"/>
          <w:szCs w:val="21"/>
        </w:rPr>
        <w:t>。发生特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点参</w:t>
      </w:r>
      <w:r>
        <w:rPr>
          <w:rFonts w:ascii="SimSun" w:eastAsia="SimSun" w:hAnsi="SimSun" w:cs="SimSun"/>
          <w:spacing w:val="-1"/>
          <w:sz w:val="21"/>
          <w:szCs w:val="21"/>
        </w:rPr>
        <w:t>见附录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8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4" w:lineRule="auto"/>
        <w:ind w:left="4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标准地和</w:t>
      </w:r>
      <w:r>
        <w:rPr>
          <w:rFonts w:ascii="SimHei" w:eastAsia="SimHei" w:hAnsi="SimHei" w:cs="SimHei"/>
          <w:sz w:val="21"/>
          <w:szCs w:val="21"/>
        </w:rPr>
        <w:t>标准株</w:t>
      </w:r>
    </w:p>
    <w:p>
      <w:pPr>
        <w:spacing w:before="213" w:line="283" w:lineRule="auto"/>
        <w:ind w:left="1" w:right="74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为调查白刺夜蛾发生情况和防治效果，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人为判断选出期望代表预定林分总体的典型地块。分临</w:t>
      </w:r>
      <w:r>
        <w:rPr>
          <w:rFonts w:ascii="SimSun" w:eastAsia="SimSun" w:hAnsi="SimSun" w:cs="SimSun"/>
          <w:spacing w:val="-2"/>
          <w:sz w:val="21"/>
          <w:szCs w:val="21"/>
        </w:rPr>
        <w:t>时</w:t>
      </w:r>
      <w:r>
        <w:rPr>
          <w:rFonts w:ascii="SimSun" w:eastAsia="SimSun" w:hAnsi="SimSun" w:cs="SimSun"/>
          <w:sz w:val="21"/>
          <w:szCs w:val="21"/>
        </w:rPr>
        <w:t>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准地和永久</w:t>
      </w:r>
      <w:r>
        <w:rPr>
          <w:rFonts w:ascii="SimSun" w:eastAsia="SimSun" w:hAnsi="SimSun" w:cs="SimSun"/>
          <w:spacing w:val="-10"/>
          <w:sz w:val="21"/>
          <w:szCs w:val="21"/>
        </w:rPr>
        <w:t>标</w:t>
      </w:r>
      <w:r>
        <w:rPr>
          <w:rFonts w:ascii="SimSun" w:eastAsia="SimSun" w:hAnsi="SimSun" w:cs="SimSun"/>
          <w:spacing w:val="-6"/>
          <w:sz w:val="21"/>
          <w:szCs w:val="21"/>
        </w:rPr>
        <w:t>准地两种，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前者是调查时临时设置的非固定标准地，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后者用于长期、定期监测的固定标准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地。标准地内被选取用作系统调</w:t>
      </w:r>
      <w:r>
        <w:rPr>
          <w:rFonts w:ascii="SimSun" w:eastAsia="SimSun" w:hAnsi="SimSun" w:cs="SimSun"/>
          <w:spacing w:val="-1"/>
          <w:sz w:val="21"/>
          <w:szCs w:val="21"/>
        </w:rPr>
        <w:t>查的样树为标准株。</w:t>
      </w:r>
    </w:p>
    <w:p>
      <w:pPr>
        <w:sectPr>
          <w:footerReference w:type="default" r:id="rId6"/>
          <w:type w:val="nextPage"/>
          <w:pgSz w:w="11905" w:h="16840"/>
          <w:pgMar w:top="1406" w:right="1057" w:bottom="1316" w:left="1424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10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73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3" w:line="221" w:lineRule="auto"/>
        <w:ind w:left="4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防</w:t>
      </w:r>
      <w:r>
        <w:rPr>
          <w:rFonts w:ascii="SimHei" w:eastAsia="SimHei" w:hAnsi="SimHei" w:cs="SimHei"/>
          <w:spacing w:val="-3"/>
          <w:sz w:val="21"/>
          <w:szCs w:val="21"/>
        </w:rPr>
        <w:t>治指标</w:t>
      </w:r>
    </w:p>
    <w:p>
      <w:pPr>
        <w:spacing w:before="217" w:line="287" w:lineRule="auto"/>
        <w:ind w:left="22" w:right="10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防治病、虫、草等有害生物挽回的经</w:t>
      </w:r>
      <w:r>
        <w:rPr>
          <w:rFonts w:ascii="SimSun" w:eastAsia="SimSun" w:hAnsi="SimSun" w:cs="SimSun"/>
          <w:spacing w:val="-2"/>
          <w:sz w:val="21"/>
          <w:szCs w:val="21"/>
        </w:rPr>
        <w:t>济损失与防治成本等价时的作物受害程度或有害生物种群密度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的</w:t>
      </w:r>
      <w:r>
        <w:rPr>
          <w:rFonts w:ascii="SimSun" w:eastAsia="SimSun" w:hAnsi="SimSun" w:cs="SimSun"/>
          <w:spacing w:val="-10"/>
          <w:sz w:val="21"/>
          <w:szCs w:val="21"/>
        </w:rPr>
        <w:t>数值。</w:t>
      </w:r>
    </w:p>
    <w:p>
      <w:pPr>
        <w:spacing w:before="284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虫情监测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线路踏查</w:t>
      </w:r>
    </w:p>
    <w:p>
      <w:pPr>
        <w:spacing w:before="217" w:line="283" w:lineRule="auto"/>
        <w:ind w:left="5" w:right="104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在寄主树种(</w:t>
      </w:r>
      <w:r>
        <w:rPr>
          <w:rFonts w:ascii="SimSun" w:eastAsia="SimSun" w:hAnsi="SimSun" w:cs="SimSun"/>
          <w:spacing w:val="-5"/>
          <w:sz w:val="21"/>
          <w:szCs w:val="21"/>
        </w:rPr>
        <w:t>白</w:t>
      </w:r>
      <w:r>
        <w:rPr>
          <w:rFonts w:ascii="SimSun" w:eastAsia="SimSun" w:hAnsi="SimSun" w:cs="SimSun"/>
          <w:spacing w:val="-4"/>
          <w:sz w:val="21"/>
          <w:szCs w:val="21"/>
        </w:rPr>
        <w:t>刺、枸杞)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发生区，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主要沿林道、土路、公路、铁路等路线进行踏查，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调查发生范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围、危害程</w:t>
      </w:r>
      <w:r>
        <w:rPr>
          <w:rFonts w:ascii="SimSun" w:eastAsia="SimSun" w:hAnsi="SimSun" w:cs="SimSun"/>
          <w:spacing w:val="3"/>
          <w:sz w:val="21"/>
          <w:szCs w:val="21"/>
        </w:rPr>
        <w:t>度</w:t>
      </w:r>
      <w:r>
        <w:rPr>
          <w:rFonts w:ascii="SimSun" w:eastAsia="SimSun" w:hAnsi="SimSun" w:cs="SimSun"/>
          <w:spacing w:val="2"/>
          <w:sz w:val="21"/>
          <w:szCs w:val="21"/>
        </w:rPr>
        <w:t>、危害树种等，按每50株~</w:t>
      </w:r>
      <w:r>
        <w:rPr>
          <w:rFonts w:ascii="SimSun" w:eastAsia="SimSun" w:hAnsi="SimSun" w:cs="SimSun"/>
          <w:sz w:val="21"/>
          <w:szCs w:val="21"/>
        </w:rPr>
        <w:t>l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00株树选1株样株的比例，进行调查。调查结果填入白刺夜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蛾</w:t>
      </w:r>
      <w:r>
        <w:rPr>
          <w:rFonts w:ascii="SimSun" w:eastAsia="SimSun" w:hAnsi="SimSun" w:cs="SimSun"/>
          <w:spacing w:val="-3"/>
          <w:sz w:val="21"/>
          <w:szCs w:val="21"/>
        </w:rPr>
        <w:t>踏</w:t>
      </w:r>
      <w:r>
        <w:rPr>
          <w:rFonts w:ascii="SimSun" w:eastAsia="SimSun" w:hAnsi="SimSun" w:cs="SimSun"/>
          <w:spacing w:val="-2"/>
          <w:sz w:val="21"/>
          <w:szCs w:val="21"/>
        </w:rPr>
        <w:t>查记录表。记录表内容见附录C。</w:t>
      </w:r>
    </w:p>
    <w:p>
      <w:pPr>
        <w:spacing w:before="12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标准地调查</w:t>
      </w:r>
    </w:p>
    <w:p>
      <w:pPr>
        <w:spacing w:before="214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确定标准地和标准株</w:t>
      </w:r>
    </w:p>
    <w:p>
      <w:pPr>
        <w:spacing w:before="215" w:line="281" w:lineRule="auto"/>
        <w:ind w:left="6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在</w:t>
      </w:r>
      <w:r>
        <w:rPr>
          <w:rFonts w:ascii="SimSun" w:eastAsia="SimSun" w:hAnsi="SimSun" w:cs="SimSun"/>
          <w:spacing w:val="7"/>
          <w:sz w:val="21"/>
          <w:szCs w:val="21"/>
        </w:rPr>
        <w:t>已发生区的寄主树种面积内选取有代表性的地点，67公顷(约1000亩)林地设一块固定标准地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0.0</w:t>
      </w:r>
      <w:r>
        <w:rPr>
          <w:rFonts w:ascii="SimSun" w:eastAsia="SimSun" w:hAnsi="SimSun" w:cs="SimSun"/>
          <w:spacing w:val="-3"/>
          <w:sz w:val="21"/>
          <w:szCs w:val="21"/>
        </w:rPr>
        <w:t>6</w:t>
      </w:r>
      <w:r>
        <w:rPr>
          <w:rFonts w:ascii="SimSun" w:eastAsia="SimSun" w:hAnsi="SimSun" w:cs="SimSun"/>
          <w:spacing w:val="-2"/>
          <w:sz w:val="21"/>
          <w:szCs w:val="21"/>
        </w:rPr>
        <w:t>7公顷(约1亩)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。如当年固定标准地无虫，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可在附近有虫林分另设临时性标准地进行观察。每块标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准地内选取有代</w:t>
      </w:r>
      <w:r>
        <w:rPr>
          <w:rFonts w:ascii="SimSun" w:eastAsia="SimSun" w:hAnsi="SimSun" w:cs="SimSun"/>
          <w:spacing w:val="5"/>
          <w:sz w:val="21"/>
          <w:szCs w:val="21"/>
        </w:rPr>
        <w:t>表</w:t>
      </w:r>
      <w:r>
        <w:rPr>
          <w:rFonts w:ascii="SimSun" w:eastAsia="SimSun" w:hAnsi="SimSun" w:cs="SimSun"/>
          <w:spacing w:val="4"/>
          <w:sz w:val="21"/>
          <w:szCs w:val="21"/>
        </w:rPr>
        <w:t>性的标准株3株~5株，进行发生为害程度调查。标准株一般采用双对角线法或“</w:t>
      </w:r>
      <w:r>
        <w:rPr>
          <w:rFonts w:ascii="SimSun" w:eastAsia="SimSun" w:hAnsi="SimSun" w:cs="SimSun"/>
          <w:sz w:val="21"/>
          <w:szCs w:val="21"/>
        </w:rPr>
        <w:t>Z</w:t>
      </w:r>
      <w:r>
        <w:rPr>
          <w:rFonts w:ascii="SimSun" w:eastAsia="SimSun" w:hAnsi="SimSun" w:cs="SimSu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字形法取样。标准地调查时，对</w:t>
      </w:r>
      <w:r>
        <w:rPr>
          <w:rFonts w:ascii="SimSun" w:eastAsia="SimSun" w:hAnsi="SimSun" w:cs="SimSun"/>
          <w:spacing w:val="-1"/>
          <w:sz w:val="21"/>
          <w:szCs w:val="21"/>
        </w:rPr>
        <w:t>每一标准株进行详查。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虫口密度调查方法</w:t>
      </w:r>
    </w:p>
    <w:p>
      <w:pPr>
        <w:spacing w:before="217" w:line="280" w:lineRule="auto"/>
        <w:ind w:left="5" w:right="4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每年5</w:t>
      </w:r>
      <w:r>
        <w:rPr>
          <w:rFonts w:ascii="SimSun" w:eastAsia="SimSun" w:hAnsi="SimSun" w:cs="SimSun"/>
          <w:spacing w:val="-3"/>
          <w:sz w:val="21"/>
          <w:szCs w:val="21"/>
        </w:rPr>
        <w:t>月下旬至9月中旬，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在标准株(每丛白刺灌丛)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树冠部位上选取东、南、西、北、中5个方位，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每个方位中部设长(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50</w:t>
      </w:r>
      <w:r>
        <w:rPr>
          <w:rFonts w:ascii="SimSun" w:eastAsia="SimSun" w:hAnsi="SimSun" w:cs="SimSun"/>
          <w:spacing w:val="2"/>
          <w:sz w:val="21"/>
          <w:szCs w:val="21"/>
        </w:rPr>
        <w:t>厘米)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×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宽(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50</w:t>
      </w:r>
      <w:r>
        <w:rPr>
          <w:rFonts w:ascii="SimSun" w:eastAsia="SimSun" w:hAnsi="SimSun" w:cs="SimSun"/>
          <w:spacing w:val="2"/>
          <w:sz w:val="21"/>
          <w:szCs w:val="21"/>
        </w:rPr>
        <w:t>厘米)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×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高(树冠厚)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的样方1个，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调查平均虫口密度、危害程度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等，记录样方内白刺</w:t>
      </w:r>
      <w:r>
        <w:rPr>
          <w:rFonts w:ascii="SimSun" w:eastAsia="SimSun" w:hAnsi="SimSun" w:cs="SimSun"/>
          <w:spacing w:val="-1"/>
          <w:sz w:val="21"/>
          <w:szCs w:val="21"/>
        </w:rPr>
        <w:t>古毒蛾幼虫的数量、总叶片数、被害叶片数。将结果填入白刺古毒蛾幼虫调查表，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调查表内容见附录D。幼虫虫口密度以头/平方米表示，或平均叶片被害率%表示。</w:t>
      </w:r>
    </w:p>
    <w:p>
      <w:pPr>
        <w:spacing w:before="28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防治策略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低虫口密度区</w:t>
      </w:r>
    </w:p>
    <w:p>
      <w:pPr>
        <w:spacing w:before="218" w:line="287" w:lineRule="auto"/>
        <w:ind w:left="5" w:right="106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未</w:t>
      </w:r>
      <w:r>
        <w:rPr>
          <w:rFonts w:ascii="SimSun" w:eastAsia="SimSun" w:hAnsi="SimSun" w:cs="SimSun"/>
          <w:spacing w:val="-10"/>
          <w:sz w:val="21"/>
          <w:szCs w:val="21"/>
        </w:rPr>
        <w:t>达</w:t>
      </w:r>
      <w:r>
        <w:rPr>
          <w:rFonts w:ascii="SimSun" w:eastAsia="SimSun" w:hAnsi="SimSun" w:cs="SimSun"/>
          <w:spacing w:val="-9"/>
          <w:sz w:val="21"/>
          <w:szCs w:val="21"/>
        </w:rPr>
        <w:t>到防治指标的白刺夜蛾发生区，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实行保护与改善生态条件，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采取预防措施为主，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重点防控虫源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地的原则。加强营林养护，保护和利用天敌，提升灌丛草地对害虫种群的自然控制力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中高虫口密度区</w:t>
      </w:r>
    </w:p>
    <w:p>
      <w:pPr>
        <w:spacing w:before="216" w:line="287" w:lineRule="auto"/>
        <w:ind w:left="7" w:right="106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达到或超过防治指</w:t>
      </w:r>
      <w:r>
        <w:rPr>
          <w:rFonts w:ascii="SimSun" w:eastAsia="SimSun" w:hAnsi="SimSun" w:cs="SimSun"/>
          <w:spacing w:val="-6"/>
          <w:sz w:val="21"/>
          <w:szCs w:val="21"/>
        </w:rPr>
        <w:t>标</w:t>
      </w:r>
      <w:r>
        <w:rPr>
          <w:rFonts w:ascii="SimSun" w:eastAsia="SimSun" w:hAnsi="SimSun" w:cs="SimSun"/>
          <w:spacing w:val="-4"/>
          <w:sz w:val="21"/>
          <w:szCs w:val="21"/>
        </w:rPr>
        <w:t>的白刺夜蛾发生区，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实施物理防治、生物药剂、仿生药剂和植物源药剂混合的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无公害药剂防治，以及局部化学</w:t>
      </w:r>
      <w:r>
        <w:rPr>
          <w:rFonts w:ascii="SimSun" w:eastAsia="SimSun" w:hAnsi="SimSun" w:cs="SimSun"/>
          <w:spacing w:val="-1"/>
          <w:sz w:val="21"/>
          <w:szCs w:val="21"/>
        </w:rPr>
        <w:t>药剂应急防治的原则。</w:t>
      </w:r>
    </w:p>
    <w:p>
      <w:pPr>
        <w:spacing w:before="285" w:line="221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防治技术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2" w:lineRule="auto"/>
        <w:ind w:left="4"/>
        <w:rPr>
          <w:rFonts w:ascii="SimHei" w:eastAsia="SimHei" w:hAnsi="SimHei" w:cs="SimHei"/>
          <w:sz w:val="21"/>
          <w:szCs w:val="21"/>
        </w:rPr>
        <w:sectPr>
          <w:footerReference w:type="default" r:id="rId7"/>
          <w:pgSz w:w="11905" w:h="16840"/>
          <w:pgMar w:top="1406" w:right="1027" w:bottom="1315" w:left="1420" w:header="0" w:footer="1134" w:gutter="0"/>
          <w:pgNumType w:start="9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营林技术</w:t>
      </w:r>
    </w:p>
    <w:p>
      <w:pPr>
        <w:spacing w:before="215" w:line="223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封山育林</w:t>
      </w:r>
    </w:p>
    <w:p>
      <w:pPr>
        <w:sectPr>
          <w:footerReference w:type="default" r:id="rId8"/>
          <w:type w:val="nextPage"/>
          <w:pgSz w:w="11905" w:h="16840"/>
          <w:pgMar w:top="1406" w:right="1027" w:bottom="1315" w:left="1420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2" w:line="468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按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18337.3执行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。</w:t>
      </w:r>
    </w:p>
    <w:p>
      <w:pPr>
        <w:spacing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抚育管理</w:t>
      </w:r>
    </w:p>
    <w:p>
      <w:pPr>
        <w:spacing w:before="215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按</w:t>
      </w:r>
      <w:r>
        <w:rPr>
          <w:rFonts w:ascii="SimSun" w:eastAsia="SimSun" w:hAnsi="SimSun" w:cs="SimSun"/>
          <w:spacing w:val="-2"/>
          <w:sz w:val="21"/>
          <w:szCs w:val="21"/>
        </w:rPr>
        <w:t>GB/T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15781执行。</w:t>
      </w:r>
    </w:p>
    <w:p>
      <w:pPr>
        <w:spacing w:before="21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防治指标</w:t>
      </w:r>
    </w:p>
    <w:p>
      <w:pPr>
        <w:spacing w:before="217" w:line="217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白刺夜蛾防治指标为幼虫虫口密度9头/平方米，或经济损害允许</w:t>
      </w:r>
      <w:r>
        <w:rPr>
          <w:rFonts w:ascii="SimSun" w:eastAsia="SimSun" w:hAnsi="SimSun" w:cs="SimSun"/>
          <w:sz w:val="21"/>
          <w:szCs w:val="21"/>
        </w:rPr>
        <w:t>水平即平均叶片被害率31%。平均</w:t>
      </w:r>
    </w:p>
    <w:sdt>
      <w:sdtPr>
        <w:rPr>
          <w:rFonts w:ascii="SimSun" w:eastAsia="SimSun" w:hAnsi="SimSun" w:cs="SimSun"/>
          <w:sz w:val="21"/>
          <w:szCs w:val="21"/>
        </w:rPr>
        <w:id w:val="80461307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64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39"/>
              <w:sz w:val="21"/>
              <w:szCs w:val="21"/>
            </w:rPr>
            <w:t>叶</w:t>
          </w:r>
          <w:r>
            <w:rPr>
              <w:rFonts w:ascii="SimSun" w:eastAsia="SimSun" w:hAnsi="SimSun" w:cs="SimSun"/>
              <w:spacing w:val="26"/>
              <w:sz w:val="21"/>
              <w:szCs w:val="21"/>
            </w:rPr>
            <w:t>片被害率(%)按公式(1)和(2)计算：</w:t>
          </w:r>
        </w:p>
        <w:p>
          <w:pPr>
            <w:tabs>
              <w:tab w:val="right" w:leader="dot" w:pos="9315"/>
            </w:tabs>
            <w:spacing w:before="74" w:line="673" w:lineRule="exact"/>
            <w:ind w:left="1738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position w:val="9"/>
              <w:sz w:val="20"/>
              <w:szCs w:val="20"/>
            </w:rPr>
            <w:t>叶片被害率(</w:t>
          </w:r>
          <w:r>
            <w:rPr>
              <w:rFonts w:ascii="Times New Roman" w:eastAsia="Times New Roman" w:hAnsi="Times New Roman" w:cs="Times New Roman"/>
              <w:spacing w:val="-1"/>
              <w:position w:val="9"/>
              <w:sz w:val="20"/>
              <w:szCs w:val="20"/>
            </w:rPr>
            <w:t>%,</w:t>
          </w:r>
          <w:r>
            <w:rPr>
              <w:rFonts w:ascii="Times New Roman" w:eastAsia="Times New Roman" w:hAnsi="Times New Roman" w:cs="Times New Roman"/>
              <w:position w:val="9"/>
              <w:sz w:val="20"/>
              <w:szCs w:val="20"/>
            </w:rPr>
            <w:t>N</w:t>
          </w:r>
          <w:r>
            <w:rPr>
              <w:rFonts w:ascii="Times New Roman" w:eastAsia="Times New Roman" w:hAnsi="Times New Roman" w:cs="Times New Roman"/>
              <w:position w:val="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position w:val="4"/>
              <w:sz w:val="12"/>
              <w:szCs w:val="12"/>
            </w:rPr>
            <w:t>i</w:t>
          </w:r>
          <w:r>
            <w:rPr>
              <w:rFonts w:ascii="Times New Roman" w:eastAsia="Times New Roman" w:hAnsi="Times New Roman" w:cs="Times New Roman"/>
              <w:position w:val="4"/>
              <w:sz w:val="12"/>
              <w:szCs w:val="12"/>
            </w:rPr>
            <w:t xml:space="preserve"> </w:t>
          </w:r>
          <w:r>
            <w:rPr>
              <w:rFonts w:ascii="SimSun" w:eastAsia="SimSun" w:hAnsi="SimSun" w:cs="SimSun"/>
              <w:position w:val="9"/>
              <w:sz w:val="20"/>
              <w:szCs w:val="20"/>
            </w:rPr>
            <w:t>)</w:t>
          </w:r>
          <w:r>
            <w:rPr>
              <w:rFonts w:ascii="SimSun" w:eastAsia="SimSun" w:hAnsi="SimSun" w:cs="SimSun"/>
              <w:position w:val="9"/>
              <w:sz w:val="20"/>
              <w:szCs w:val="20"/>
            </w:rPr>
            <w:t xml:space="preserve"> </w:t>
          </w:r>
          <w:r>
            <w:rPr>
              <w:rFonts w:ascii="Symbol" w:eastAsia="Symbol" w:hAnsi="Symbol" w:cs="Symbol"/>
              <w:position w:val="9"/>
              <w:sz w:val="20"/>
              <w:szCs w:val="20"/>
            </w:rPr>
            <w:t>=</w:t>
          </w:r>
          <w:r>
            <w:rPr>
              <w:rFonts w:ascii="Symbol" w:eastAsia="Symbol" w:hAnsi="Symbol" w:cs="Symbol"/>
              <w:position w:val="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position w:val="21"/>
              <w:sz w:val="20"/>
              <w:szCs w:val="20"/>
            </w:rPr>
            <w:t>样</w:t>
          </w:r>
          <w:r>
            <w:ruby>
              <w:rubyPr>
                <w:rubyAlign w:val="left"/>
                <w:hps w:val="20"/>
                <w:hpsRaise w:val="10"/>
                <w:hpsBaseText w:val="21"/>
              </w:rubyPr>
              <w:rt>
                <w:r>
                  <w:rPr>
                    <w:rFonts w:ascii="SimSun" w:eastAsia="SimSun" w:hAnsi="SimSun" w:cs="SimSun"/>
                    <w:spacing w:val="11"/>
                    <w:position w:val="10"/>
                    <w:sz w:val="20"/>
                    <w:szCs w:val="20"/>
                  </w:rPr>
                  <w:t>方</w:t>
                </w:r>
                <w:r>
                  <w:rPr>
                    <w:rFonts w:ascii="SimSun" w:eastAsia="SimSun" w:hAnsi="SimSun" w:cs="SimSun"/>
                    <w:spacing w:val="7"/>
                    <w:position w:val="10"/>
                    <w:sz w:val="20"/>
                    <w:szCs w:val="20"/>
                  </w:rPr>
                  <w:t>内害虫危害叶片</w:t>
                </w:r>
              </w:rt>
              <w:rubyBase>
                <w:r>
                  <w:rPr>
                    <w:rFonts w:ascii="SimSun" w:eastAsia="SimSun" w:hAnsi="SimSun" w:cs="SimSun"/>
                    <w:spacing w:val="23"/>
                    <w:position w:val="-7"/>
                    <w:sz w:val="20"/>
                    <w:szCs w:val="20"/>
                  </w:rPr>
                  <w:t>样方内总叶片数</w:t>
                </w:r>
              </w:rubyBase>
            </w:ruby>
          </w:r>
          <w:r>
            <w:rPr>
              <w:rFonts w:ascii="SimSun" w:eastAsia="SimSun" w:hAnsi="SimSun" w:cs="SimSun"/>
              <w:position w:val="21"/>
              <w:sz w:val="20"/>
              <w:szCs w:val="20"/>
            </w:rPr>
            <w:t>数</w:t>
          </w:r>
          <w:r>
            <w:rPr>
              <w:rFonts w:ascii="SimSun" w:eastAsia="SimSun" w:hAnsi="SimSun" w:cs="SimSun"/>
              <w:position w:val="21"/>
              <w:sz w:val="20"/>
              <w:szCs w:val="20"/>
            </w:rPr>
            <w:t xml:space="preserve"> </w:t>
          </w:r>
          <w:r>
            <w:rPr>
              <w:position w:val="4"/>
              <w:sz w:val="20"/>
              <w:szCs w:val="20"/>
            </w:rPr>
            <w:drawing>
              <wp:inline distT="0" distB="0" distL="0" distR="0">
                <wp:extent cx="56965" cy="161910"/>
                <wp:effectExtent l="0" t="0" r="0" b="0"/>
                <wp:docPr id="1" name="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 1"/>
                        <pic:cNvPicPr/>
                      </pic:nvPicPr>
                      <pic:blipFill>
                        <a:blip xmlns:r="http://schemas.openxmlformats.org/officeDocument/2006/relationships"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965" cy="1619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position w:val="2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position w:val="9"/>
              <w:sz w:val="20"/>
              <w:szCs w:val="20"/>
            </w:rPr>
            <w:t>100</w:t>
          </w:r>
          <w:r>
            <w:rPr>
              <w:rFonts w:ascii="Times New Roman" w:eastAsia="Times New Roman" w:hAnsi="Times New Roman" w:cs="Times New Roman"/>
              <w:position w:val="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position w:val="10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position w:val="9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position w:val="12"/>
              <w:sz w:val="21"/>
              <w:szCs w:val="21"/>
            </w:rPr>
            <w:t>(</w:t>
          </w:r>
          <w:hyperlink w:anchor="_bookmark1" w:history="1">
            <w:r>
              <w:rPr>
                <w:rFonts w:ascii="SimSun" w:eastAsia="SimSun" w:hAnsi="SimSun" w:cs="SimSun"/>
                <w:position w:val="12"/>
                <w:sz w:val="21"/>
                <w:szCs w:val="21"/>
              </w:rPr>
              <w:t>1)</w:t>
            </w:r>
          </w:hyperlink>
        </w:p>
      </w:sdtContent>
    </w:sdt>
    <w:p>
      <w:pPr>
        <w:spacing w:before="72" w:line="217" w:lineRule="auto"/>
        <w:ind w:right="32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position w:val="1"/>
          <w:sz w:val="22"/>
          <w:szCs w:val="22"/>
        </w:rPr>
        <w:t>平均叶片被害率(</w:t>
      </w:r>
      <w:r>
        <w:rPr>
          <w:rFonts w:ascii="Times New Roman" w:eastAsia="Times New Roman" w:hAnsi="Times New Roman" w:cs="Times New Roman"/>
          <w:spacing w:val="3"/>
          <w:position w:val="1"/>
          <w:sz w:val="22"/>
          <w:szCs w:val="22"/>
        </w:rPr>
        <w:t>%</w:t>
      </w:r>
      <w:r>
        <w:rPr>
          <w:rFonts w:ascii="SimSun" w:eastAsia="SimSun" w:hAnsi="SimSun" w:cs="SimSun"/>
          <w:spacing w:val="3"/>
          <w:position w:val="1"/>
          <w:sz w:val="22"/>
          <w:szCs w:val="22"/>
        </w:rPr>
        <w:t>)</w:t>
      </w:r>
      <w:r>
        <w:rPr>
          <w:rFonts w:ascii="SimSun" w:eastAsia="SimSun" w:hAnsi="SimSun" w:cs="SimSun"/>
          <w:spacing w:val="3"/>
          <w:position w:val="1"/>
          <w:sz w:val="22"/>
          <w:szCs w:val="22"/>
        </w:rPr>
        <w:t xml:space="preserve"> </w:t>
      </w:r>
      <w:r>
        <w:rPr>
          <w:rFonts w:ascii="Symbol" w:eastAsia="Symbol" w:hAnsi="Symbol" w:cs="Symbol"/>
          <w:spacing w:val="3"/>
          <w:position w:val="1"/>
          <w:sz w:val="22"/>
          <w:szCs w:val="22"/>
        </w:rPr>
        <w:t>=</w:t>
      </w:r>
      <w:r>
        <w:rPr>
          <w:rFonts w:ascii="Symbol" w:eastAsia="Symbol" w:hAnsi="Symbol" w:cs="Symbol"/>
          <w:spacing w:val="3"/>
          <w:position w:val="1"/>
          <w:sz w:val="22"/>
          <w:szCs w:val="22"/>
        </w:rPr>
        <w:t xml:space="preserve"> </w:t>
      </w:r>
      <w:r>
        <w:rPr>
          <w:position w:val="-24"/>
          <w:sz w:val="22"/>
          <w:szCs w:val="22"/>
        </w:rPr>
        <w:drawing>
          <wp:inline distT="0" distB="0" distL="0" distR="0">
            <wp:extent cx="143135" cy="34318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3135" cy="343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trike/>
          <w:spacing w:val="3"/>
          <w:position w:val="-16"/>
          <w:sz w:val="22"/>
          <w:szCs w:val="22"/>
        </w:rPr>
        <w:t>调</w:t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叶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查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片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的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被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样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害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方</w:t>
            </w:r>
          </w:rubyBase>
        </w:ruby>
      </w:r>
      <w:r>
        <w:ruby>
          <w:rubyPr>
            <w:rubyAlign w:val="left"/>
            <w:hps w:val="13"/>
            <w:hpsRaise w:val="14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3"/>
                <w:w w:val="87"/>
                <w:sz w:val="22"/>
                <w:szCs w:val="22"/>
              </w:rPr>
              <w:t>率</w:t>
            </w:r>
            <w:r>
              <w:rPr>
                <w:rFonts w:ascii="Times New Roman" w:eastAsia="Times New Roman" w:hAnsi="Times New Roman" w:cs="Times New Roman"/>
                <w:strike/>
                <w:spacing w:val="-3"/>
                <w:w w:val="87"/>
                <w:sz w:val="22"/>
                <w:szCs w:val="22"/>
              </w:rPr>
              <w:t>N</w:t>
            </w:r>
            <w:r>
              <w:rPr>
                <w:rFonts w:ascii="Times New Roman" w:eastAsia="Times New Roman" w:hAnsi="Times New Roman" w:cs="Times New Roman"/>
                <w:strike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trike/>
                <w:spacing w:val="-3"/>
                <w:w w:val="87"/>
                <w:sz w:val="13"/>
                <w:szCs w:val="13"/>
              </w:rPr>
              <w:t>i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6"/>
                <w:sz w:val="22"/>
                <w:szCs w:val="22"/>
              </w:rPr>
              <w:t>总数</w:t>
            </w:r>
          </w:rubyBase>
        </w:ruby>
      </w:r>
      <w:r>
        <w:rPr>
          <w:rFonts w:ascii="Times New Roman" w:eastAsia="Times New Roman" w:hAnsi="Times New Roman" w:cs="Times New Roman"/>
          <w:strike/>
          <w:position w:val="-16"/>
          <w:sz w:val="22"/>
          <w:szCs w:val="22"/>
        </w:rPr>
        <w:t>n</w:t>
      </w:r>
      <w:r>
        <w:rPr>
          <w:rFonts w:ascii="Times New Roman" w:eastAsia="Times New Roman" w:hAnsi="Times New Roman" w:cs="Times New Roman"/>
          <w:spacing w:val="3"/>
          <w:position w:val="-16"/>
          <w:sz w:val="22"/>
          <w:szCs w:val="22"/>
        </w:rPr>
        <w:t xml:space="preserve">   </w:t>
      </w:r>
      <w:r>
        <w:rPr>
          <w:rFonts w:ascii="SimSun" w:eastAsia="SimSun" w:hAnsi="SimSun" w:cs="SimSun"/>
          <w:spacing w:val="3"/>
          <w:position w:val="3"/>
          <w:sz w:val="21"/>
          <w:szCs w:val="21"/>
        </w:rPr>
        <w:t>………………………………</w:t>
      </w:r>
      <w:r>
        <w:rPr>
          <w:rFonts w:ascii="SimSun" w:eastAsia="SimSun" w:hAnsi="SimSun" w:cs="SimSun"/>
          <w:spacing w:val="3"/>
          <w:position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1"/>
          <w:szCs w:val="21"/>
        </w:rPr>
        <w:t>(2)</w:t>
      </w:r>
    </w:p>
    <w:p>
      <w:pPr>
        <w:spacing w:before="208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3" w:line="312" w:lineRule="exact"/>
        <w:ind w:left="4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i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－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表示调查的样方序号；</w:t>
      </w:r>
    </w:p>
    <w:p>
      <w:pPr>
        <w:spacing w:line="220" w:lineRule="auto"/>
        <w:ind w:left="41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－表示调查的样方总数；</w:t>
      </w:r>
    </w:p>
    <w:p>
      <w:pPr>
        <w:spacing w:before="30" w:line="276" w:lineRule="exact"/>
        <w:ind w:left="41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Ni</w:t>
      </w:r>
      <w:r>
        <w:rPr>
          <w:rFonts w:ascii="SimSun" w:eastAsia="SimSun" w:hAnsi="SimSun" w:cs="SimSun"/>
          <w:spacing w:val="12"/>
          <w:position w:val="1"/>
          <w:sz w:val="21"/>
          <w:szCs w:val="21"/>
        </w:rPr>
        <w:t>－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>表示第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0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>样方叶片被害率(</w:t>
      </w:r>
      <w:r>
        <w:rPr>
          <w:rFonts w:ascii="Times New Roman" w:eastAsia="Times New Roman" w:hAnsi="Times New Roman" w:cs="Times New Roman"/>
          <w:spacing w:val="10"/>
          <w:position w:val="1"/>
          <w:sz w:val="21"/>
          <w:szCs w:val="21"/>
        </w:rPr>
        <w:t>%</w:t>
      </w:r>
      <w:r>
        <w:rPr>
          <w:rFonts w:ascii="SimSun" w:eastAsia="SimSun" w:hAnsi="SimSun" w:cs="SimSun"/>
          <w:spacing w:val="10"/>
          <w:position w:val="1"/>
          <w:sz w:val="21"/>
          <w:szCs w:val="21"/>
        </w:rPr>
        <w:t>)。</w:t>
      </w:r>
    </w:p>
    <w:p>
      <w:pPr>
        <w:spacing w:before="223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防治适期</w:t>
      </w:r>
    </w:p>
    <w:p>
      <w:pPr>
        <w:spacing w:before="217" w:line="468" w:lineRule="exact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position w:val="19"/>
          <w:sz w:val="21"/>
          <w:szCs w:val="21"/>
        </w:rPr>
        <w:t>白刺夜</w:t>
      </w:r>
      <w:r>
        <w:rPr>
          <w:rFonts w:ascii="SimSun" w:eastAsia="SimSun" w:hAnsi="SimSun" w:cs="SimSun"/>
          <w:spacing w:val="6"/>
          <w:position w:val="19"/>
          <w:sz w:val="21"/>
          <w:szCs w:val="21"/>
        </w:rPr>
        <w:t>蛾</w:t>
      </w:r>
      <w:r>
        <w:rPr>
          <w:rFonts w:ascii="SimSun" w:eastAsia="SimSun" w:hAnsi="SimSun" w:cs="SimSun"/>
          <w:spacing w:val="4"/>
          <w:position w:val="19"/>
          <w:sz w:val="21"/>
          <w:szCs w:val="21"/>
        </w:rPr>
        <w:t>防治适期：6月下旬~7月上旬第一代2龄~3龄幼虫发生盛期。</w:t>
      </w:r>
    </w:p>
    <w:p>
      <w:pPr>
        <w:spacing w:before="1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最</w:t>
      </w:r>
      <w:r>
        <w:rPr>
          <w:rFonts w:ascii="SimHei" w:eastAsia="SimHei" w:hAnsi="SimHei" w:cs="SimHei"/>
          <w:sz w:val="21"/>
          <w:szCs w:val="21"/>
        </w:rPr>
        <w:t>佳使用药液量</w:t>
      </w:r>
    </w:p>
    <w:p>
      <w:pPr>
        <w:spacing w:before="216" w:line="218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常量喷雾。白刺夜蛾防治合理使用药液量为50公斤~60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公斤/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667平方米。</w:t>
      </w:r>
    </w:p>
    <w:p>
      <w:pPr>
        <w:spacing w:before="220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综</w:t>
      </w:r>
      <w:r>
        <w:rPr>
          <w:rFonts w:ascii="SimHei" w:eastAsia="SimHei" w:hAnsi="SimHei" w:cs="SimHei"/>
          <w:sz w:val="21"/>
          <w:szCs w:val="21"/>
        </w:rPr>
        <w:t>合防治</w:t>
      </w:r>
    </w:p>
    <w:p>
      <w:pPr>
        <w:spacing w:before="21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6.5.1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物理防治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6.5.1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灯光诱杀</w:t>
      </w:r>
    </w:p>
    <w:p>
      <w:pPr>
        <w:spacing w:before="217" w:line="297" w:lineRule="auto"/>
        <w:ind w:left="3" w:right="9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每年5月，可设置</w:t>
      </w:r>
      <w:r>
        <w:rPr>
          <w:rFonts w:ascii="SimSun" w:eastAsia="SimSun" w:hAnsi="SimSun" w:cs="SimSun"/>
          <w:sz w:val="21"/>
          <w:szCs w:val="21"/>
        </w:rPr>
        <w:t>白炽灯、高压汞灯、黑光灯、太阳能频振式杀虫灯等诱杀雄成虫。诱虫灯按GB/T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24689.1</w:t>
      </w:r>
      <w:r>
        <w:rPr>
          <w:rFonts w:ascii="SimSun" w:eastAsia="SimSun" w:hAnsi="SimSun" w:cs="SimSun"/>
          <w:spacing w:val="-1"/>
          <w:sz w:val="21"/>
          <w:szCs w:val="21"/>
        </w:rPr>
        <w:t>和GB/T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24689.2执行。</w:t>
      </w:r>
    </w:p>
    <w:p>
      <w:pPr>
        <w:spacing w:before="104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6.5.2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生物防治</w:t>
      </w:r>
    </w:p>
    <w:p>
      <w:pPr>
        <w:spacing w:before="21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</w:t>
      </w:r>
      <w:r>
        <w:rPr>
          <w:rFonts w:ascii="SimHei" w:eastAsia="SimHei" w:hAnsi="SimHei" w:cs="SimHei"/>
          <w:sz w:val="21"/>
          <w:szCs w:val="21"/>
        </w:rPr>
        <w:t>5.2.1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以虫治虫</w:t>
      </w:r>
    </w:p>
    <w:p>
      <w:pPr>
        <w:spacing w:before="218" w:line="411" w:lineRule="auto"/>
        <w:ind w:right="354" w:firstLine="421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保护利用天敌，如瓢虫、草蛉、蜘蛛、蜻蜓、寄蝇、寄生蜂等防治白刺夜蛾的幼虫、卵和</w:t>
      </w:r>
      <w:r>
        <w:rPr>
          <w:rFonts w:ascii="SimSun" w:eastAsia="SimSun" w:hAnsi="SimSun" w:cs="SimSun"/>
          <w:sz w:val="21"/>
          <w:szCs w:val="21"/>
        </w:rPr>
        <w:t>蛹。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6.</w:t>
      </w:r>
      <w:r>
        <w:rPr>
          <w:rFonts w:ascii="SimHei" w:eastAsia="SimHei" w:hAnsi="SimHei" w:cs="SimHei"/>
          <w:sz w:val="21"/>
          <w:szCs w:val="21"/>
        </w:rPr>
        <w:t>5.2.2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以菌治虫</w:t>
      </w:r>
    </w:p>
    <w:p>
      <w:pPr>
        <w:spacing w:before="1" w:line="219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利用微生物</w:t>
      </w:r>
      <w:r>
        <w:rPr>
          <w:rFonts w:ascii="SimSun" w:eastAsia="SimSun" w:hAnsi="SimSun" w:cs="SimSun"/>
          <w:spacing w:val="-1"/>
          <w:sz w:val="21"/>
          <w:szCs w:val="21"/>
        </w:rPr>
        <w:t>制剂，苏云金杆菌、核多角病毒、内产碱等防治白刺夜蛾幼虫。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  <w:sectPr>
          <w:footerReference w:type="default" r:id="rId11"/>
          <w:pgSz w:w="11905" w:h="16840"/>
          <w:pgMar w:top="1406" w:right="1130" w:bottom="1315" w:left="1425" w:header="0" w:footer="1135" w:gutter="0"/>
          <w:pgNumType w:start="11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6.5.3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药剂防治</w:t>
      </w:r>
    </w:p>
    <w:p>
      <w:pPr>
        <w:spacing w:before="21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6.5.3.1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植物源农药治虫</w:t>
      </w:r>
    </w:p>
    <w:p>
      <w:pPr>
        <w:spacing w:before="217" w:line="220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利用除</w:t>
      </w:r>
      <w:r>
        <w:rPr>
          <w:rFonts w:ascii="SimSun" w:eastAsia="SimSun" w:hAnsi="SimSun" w:cs="SimSun"/>
          <w:spacing w:val="-1"/>
          <w:sz w:val="21"/>
          <w:szCs w:val="21"/>
        </w:rPr>
        <w:t>虫菊素、苦参碱、烟碱、鱼藤酮、印楝素、藜芦碱等防治白刺夜蛾幼虫。</w:t>
      </w:r>
    </w:p>
    <w:p>
      <w:pPr>
        <w:sectPr>
          <w:footerReference w:type="default" r:id="rId12"/>
          <w:type w:val="nextPage"/>
          <w:pgSz w:w="11905" w:h="16840"/>
          <w:pgMar w:top="1406" w:right="1130" w:bottom="1315" w:left="1425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97.05pt;height:14.7pt;margin-top:486.87pt;margin-left:275.07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防</w:t>
                  </w:r>
                  <w:r>
                    <w:rPr>
                      <w:rFonts w:ascii="SimSun" w:eastAsia="SimSun" w:hAnsi="SimSun" w:cs="SimSun"/>
                      <w:spacing w:val="1"/>
                      <w:sz w:val="21"/>
                      <w:szCs w:val="21"/>
                    </w:rPr>
                    <w:t>治平均叶片被害率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2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6.5.3.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化学农药治虫</w:t>
      </w:r>
    </w:p>
    <w:p>
      <w:pPr>
        <w:spacing w:before="217" w:line="274" w:lineRule="auto"/>
        <w:ind w:left="6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重度发生区或中度</w:t>
      </w:r>
      <w:r>
        <w:rPr>
          <w:rFonts w:ascii="SimSun" w:eastAsia="SimSun" w:hAnsi="SimSun" w:cs="SimSun"/>
          <w:spacing w:val="-2"/>
          <w:sz w:val="21"/>
          <w:szCs w:val="21"/>
        </w:rPr>
        <w:t>发生区应急时，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应采用高效低毒化学药剂+微生物药剂混用的防治方法。初孵幼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虫可喷施生物激素类药剂，如灭幼</w:t>
      </w:r>
      <w:r>
        <w:rPr>
          <w:rFonts w:ascii="SimSun" w:eastAsia="SimSun" w:hAnsi="SimSun" w:cs="SimSun"/>
          <w:spacing w:val="-1"/>
          <w:sz w:val="21"/>
          <w:szCs w:val="21"/>
        </w:rPr>
        <w:t>脲，或高效低毒化学药剂。</w:t>
      </w:r>
    </w:p>
    <w:p>
      <w:pPr>
        <w:spacing w:line="287" w:lineRule="auto"/>
        <w:ind w:left="420" w:right="1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推荐使用的生物药剂、仿生型药剂、植物源杀虫剂、化学药剂及其参考用量参见附录</w:t>
      </w:r>
      <w:r>
        <w:rPr>
          <w:rFonts w:ascii="SimSun" w:eastAsia="SimSun" w:hAnsi="SimSun" w:cs="SimSun"/>
          <w:sz w:val="21"/>
          <w:szCs w:val="21"/>
        </w:rPr>
        <w:t>E</w:t>
      </w:r>
      <w:r>
        <w:rPr>
          <w:rFonts w:ascii="SimSun" w:eastAsia="SimSun" w:hAnsi="SimSun" w:cs="SimSun"/>
          <w:spacing w:val="-1"/>
          <w:sz w:val="21"/>
          <w:szCs w:val="21"/>
        </w:rPr>
        <w:t>、附</w:t>
      </w:r>
      <w:r>
        <w:rPr>
          <w:rFonts w:ascii="SimSun" w:eastAsia="SimSun" w:hAnsi="SimSun" w:cs="SimSun"/>
          <w:sz w:val="21"/>
          <w:szCs w:val="21"/>
        </w:rPr>
        <w:t>录F。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农药安全使用执行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4285。</w:t>
      </w:r>
    </w:p>
    <w:p>
      <w:pPr>
        <w:spacing w:before="283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防治效</w:t>
      </w:r>
      <w:r>
        <w:rPr>
          <w:rFonts w:ascii="SimHei" w:eastAsia="SimHei" w:hAnsi="SimHei" w:cs="SimHei"/>
          <w:sz w:val="21"/>
          <w:szCs w:val="21"/>
        </w:rPr>
        <w:t>果检查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检查内</w:t>
      </w:r>
      <w:r>
        <w:rPr>
          <w:rFonts w:ascii="SimHei" w:eastAsia="SimHei" w:hAnsi="SimHei" w:cs="SimHei"/>
          <w:sz w:val="21"/>
          <w:szCs w:val="21"/>
        </w:rPr>
        <w:t>容</w:t>
      </w:r>
    </w:p>
    <w:p>
      <w:pPr>
        <w:spacing w:before="216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检</w:t>
      </w:r>
      <w:r>
        <w:rPr>
          <w:rFonts w:ascii="SimSun" w:eastAsia="SimSun" w:hAnsi="SimSun" w:cs="SimSun"/>
          <w:spacing w:val="-2"/>
          <w:sz w:val="21"/>
          <w:szCs w:val="21"/>
        </w:rPr>
        <w:t>查虫口减退率或防治效果、成灾率。</w:t>
      </w:r>
    </w:p>
    <w:p>
      <w:pPr>
        <w:spacing w:before="218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调查</w:t>
      </w:r>
      <w:r>
        <w:rPr>
          <w:rFonts w:ascii="SimHei" w:eastAsia="SimHei" w:hAnsi="SimHei" w:cs="SimHei"/>
          <w:sz w:val="21"/>
          <w:szCs w:val="21"/>
        </w:rPr>
        <w:t>时间</w:t>
      </w:r>
    </w:p>
    <w:p>
      <w:pPr>
        <w:spacing w:before="215" w:line="287" w:lineRule="auto"/>
        <w:ind w:left="5" w:right="13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防治前调查1次，施药后1天、3天、7天各调查一次。如果是生物农药或植物</w:t>
      </w:r>
      <w:r>
        <w:rPr>
          <w:rFonts w:ascii="SimSun" w:eastAsia="SimSun" w:hAnsi="SimSun" w:cs="SimSun"/>
          <w:spacing w:val="1"/>
          <w:sz w:val="21"/>
          <w:szCs w:val="21"/>
        </w:rPr>
        <w:t>源农药，在施药后15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天</w:t>
      </w:r>
      <w:r>
        <w:rPr>
          <w:rFonts w:ascii="SimSun" w:eastAsia="SimSun" w:hAnsi="SimSun" w:cs="SimSun"/>
          <w:spacing w:val="-4"/>
          <w:sz w:val="21"/>
          <w:szCs w:val="21"/>
        </w:rPr>
        <w:t>增</w:t>
      </w:r>
      <w:r>
        <w:rPr>
          <w:rFonts w:ascii="SimSun" w:eastAsia="SimSun" w:hAnsi="SimSun" w:cs="SimSun"/>
          <w:spacing w:val="-3"/>
          <w:sz w:val="21"/>
          <w:szCs w:val="21"/>
        </w:rPr>
        <w:t>加1次调查。</w:t>
      </w:r>
    </w:p>
    <w:p>
      <w:pPr>
        <w:spacing w:before="127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检查方</w:t>
      </w:r>
      <w:r>
        <w:rPr>
          <w:rFonts w:ascii="SimHei" w:eastAsia="SimHei" w:hAnsi="SimHei" w:cs="SimHei"/>
          <w:sz w:val="21"/>
          <w:szCs w:val="21"/>
        </w:rPr>
        <w:t>法</w:t>
      </w:r>
    </w:p>
    <w:p>
      <w:pPr>
        <w:spacing w:before="217" w:line="287" w:lineRule="auto"/>
        <w:ind w:left="6" w:right="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按</w:t>
      </w:r>
      <w:r>
        <w:rPr>
          <w:rFonts w:ascii="SimSun" w:eastAsia="SimSun" w:hAnsi="SimSun" w:cs="SimSun"/>
          <w:sz w:val="21"/>
          <w:szCs w:val="21"/>
        </w:rPr>
        <w:t>70公顷不少于1块、500公顷不少于3块、1000公顷不少于5块设置标准地。每标准地设标准株3株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4"/>
          <w:sz w:val="21"/>
          <w:szCs w:val="21"/>
        </w:rPr>
        <w:t>(</w:t>
      </w:r>
      <w:r>
        <w:rPr>
          <w:rFonts w:ascii="SimSun" w:eastAsia="SimSun" w:hAnsi="SimSun" w:cs="SimSun"/>
          <w:spacing w:val="25"/>
          <w:sz w:val="21"/>
          <w:szCs w:val="21"/>
        </w:rPr>
        <w:t>灌</w:t>
      </w:r>
      <w:r>
        <w:rPr>
          <w:rFonts w:ascii="SimSun" w:eastAsia="SimSun" w:hAnsi="SimSun" w:cs="SimSun"/>
          <w:spacing w:val="17"/>
          <w:sz w:val="21"/>
          <w:szCs w:val="21"/>
        </w:rPr>
        <w:t>丛)，按4.2.2调查防治前后的活虫数，平均叶片被害率(%)按公式(1)和公式(2)计算。</w:t>
      </w:r>
    </w:p>
    <w:p>
      <w:pPr>
        <w:spacing w:before="126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计</w:t>
      </w:r>
      <w:r>
        <w:rPr>
          <w:rFonts w:ascii="SimHei" w:eastAsia="SimHei" w:hAnsi="SimHei" w:cs="SimHei"/>
          <w:sz w:val="21"/>
          <w:szCs w:val="21"/>
        </w:rPr>
        <w:t>算公式</w:t>
      </w:r>
    </w:p>
    <w:sdt>
      <w:sdtPr>
        <w:rPr>
          <w:rFonts w:ascii="SimSun" w:eastAsia="SimSun" w:hAnsi="SimSun" w:cs="SimSun"/>
          <w:sz w:val="21"/>
          <w:szCs w:val="21"/>
        </w:rPr>
        <w:id w:val="188282843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215" w:line="220" w:lineRule="auto"/>
            <w:ind w:left="42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7"/>
              <w:sz w:val="21"/>
              <w:szCs w:val="21"/>
            </w:rPr>
            <w:t>虫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口减退率按公式(3)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计算，防治效果按公式(4)、成灾率按公式(5)计算：</w:t>
          </w:r>
        </w:p>
        <w:p>
          <w:pPr>
            <w:tabs>
              <w:tab w:val="right" w:leader="dot" w:pos="9217"/>
            </w:tabs>
            <w:spacing w:before="78" w:line="613" w:lineRule="exact"/>
            <w:ind w:left="19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position w:val="7"/>
              <w:sz w:val="20"/>
              <w:szCs w:val="20"/>
            </w:rPr>
            <w:t>虫口减退率(</w:t>
          </w:r>
          <w:r>
            <w:rPr>
              <w:rFonts w:ascii="Times New Roman" w:eastAsia="Times New Roman" w:hAnsi="Times New Roman" w:cs="Times New Roman"/>
              <w:spacing w:val="-2"/>
              <w:position w:val="7"/>
              <w:sz w:val="20"/>
              <w:szCs w:val="20"/>
            </w:rPr>
            <w:t>%</w:t>
          </w:r>
          <w:r>
            <w:rPr>
              <w:rFonts w:ascii="SimSun" w:eastAsia="SimSun" w:hAnsi="SimSun" w:cs="SimSun"/>
              <w:spacing w:val="-2"/>
              <w:position w:val="7"/>
              <w:sz w:val="20"/>
              <w:szCs w:val="20"/>
            </w:rPr>
            <w:t>)</w:t>
          </w:r>
          <w:r>
            <w:rPr>
              <w:rFonts w:ascii="SimSun" w:eastAsia="SimSun" w:hAnsi="SimSun" w:cs="SimSun"/>
              <w:spacing w:val="-2"/>
              <w:position w:val="7"/>
              <w:sz w:val="20"/>
              <w:szCs w:val="20"/>
            </w:rPr>
            <w:t xml:space="preserve"> </w:t>
          </w:r>
          <w:r>
            <w:rPr>
              <w:rFonts w:ascii="Symbol" w:eastAsia="Symbol" w:hAnsi="Symbol" w:cs="Symbol"/>
              <w:spacing w:val="-2"/>
              <w:position w:val="7"/>
              <w:sz w:val="20"/>
              <w:szCs w:val="20"/>
            </w:rPr>
            <w:t>=</w:t>
          </w:r>
          <w:r>
            <w:rPr>
              <w:rFonts w:ascii="Symbol" w:eastAsia="Symbol" w:hAnsi="Symbol" w:cs="Symbol"/>
              <w:spacing w:val="-2"/>
              <w:position w:val="7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2"/>
              <w:position w:val="19"/>
              <w:sz w:val="20"/>
              <w:szCs w:val="20"/>
            </w:rPr>
            <w:t>防治前活</w:t>
          </w:r>
          <w:r>
            <w:ruby>
              <w:rubyPr>
                <w:rubyAlign w:val="left"/>
                <w:hps w:val="20"/>
                <w:hpsRaise w:val="10"/>
                <w:hpsBaseText w:val="21"/>
              </w:rubyPr>
              <w:rt>
                <w:r>
                  <w:rPr>
                    <w:rFonts w:ascii="SimSun" w:eastAsia="SimSun" w:hAnsi="SimSun" w:cs="SimSun"/>
                    <w:spacing w:val="-13"/>
                    <w:position w:val="9"/>
                    <w:sz w:val="20"/>
                    <w:szCs w:val="20"/>
                  </w:rPr>
                  <w:t>虫</w:t>
                </w:r>
                <w:r>
                  <w:rPr>
                    <w:rFonts w:ascii="SimSun" w:eastAsia="SimSun" w:hAnsi="SimSun" w:cs="SimSun"/>
                    <w:spacing w:val="-12"/>
                    <w:position w:val="9"/>
                    <w:sz w:val="20"/>
                    <w:szCs w:val="20"/>
                  </w:rPr>
                  <w:t>数</w:t>
                </w:r>
                <w:r>
                  <w:rPr>
                    <w:rFonts w:ascii="SimSun" w:eastAsia="SimSun" w:hAnsi="SimSun" w:cs="SimSun"/>
                    <w:spacing w:val="-12"/>
                    <w:position w:val="9"/>
                    <w:sz w:val="20"/>
                    <w:szCs w:val="20"/>
                  </w:rPr>
                  <w:t xml:space="preserve"> </w:t>
                </w:r>
                <w:r>
                  <w:rPr>
                    <w:rFonts w:ascii="SimSun" w:eastAsia="SimSun" w:hAnsi="SimSun" w:cs="SimSun"/>
                    <w:spacing w:val="-12"/>
                    <w:position w:val="9"/>
                    <w:sz w:val="20"/>
                    <w:szCs w:val="20"/>
                  </w:rPr>
                  <w:t>—</w:t>
                </w:r>
              </w:rt>
              <w:rubyBase>
                <w:r>
                  <w:rPr>
                    <w:rFonts w:ascii="SimSun" w:eastAsia="SimSun" w:hAnsi="SimSun" w:cs="SimSun"/>
                    <w:spacing w:val="-15"/>
                    <w:position w:val="-9"/>
                    <w:sz w:val="20"/>
                    <w:szCs w:val="20"/>
                  </w:rPr>
                  <w:t>防</w:t>
                </w:r>
                <w:r>
                  <w:rPr>
                    <w:rFonts w:ascii="SimSun" w:eastAsia="SimSun" w:hAnsi="SimSun" w:cs="SimSun"/>
                    <w:spacing w:val="-12"/>
                    <w:position w:val="-9"/>
                    <w:sz w:val="20"/>
                    <w:szCs w:val="20"/>
                  </w:rPr>
                  <w:t>治前活</w:t>
                </w:r>
              </w:rubyBase>
            </w:ruby>
          </w:r>
          <w:r>
            <w:ruby>
              <w:rubyPr>
                <w:rubyAlign w:val="left"/>
                <w:hps w:val="20"/>
                <w:hpsRaise w:val="10"/>
                <w:hpsBaseText w:val="21"/>
              </w:rubyPr>
              <w:rt>
                <w:r>
                  <w:rPr>
                    <w:rFonts w:ascii="SimSun" w:eastAsia="SimSun" w:hAnsi="SimSun" w:cs="SimSun"/>
                    <w:spacing w:val="-20"/>
                    <w:position w:val="9"/>
                    <w:sz w:val="20"/>
                    <w:szCs w:val="20"/>
                  </w:rPr>
                  <w:t>防</w:t>
                </w:r>
                <w:r>
                  <w:rPr>
                    <w:rFonts w:ascii="SimSun" w:eastAsia="SimSun" w:hAnsi="SimSun" w:cs="SimSun"/>
                    <w:spacing w:val="-18"/>
                    <w:position w:val="9"/>
                    <w:sz w:val="20"/>
                    <w:szCs w:val="20"/>
                  </w:rPr>
                  <w:t>治后</w:t>
                </w:r>
              </w:rt>
              <w:rubyBase>
                <w:r>
                  <w:rPr>
                    <w:rFonts w:ascii="SimSun" w:eastAsia="SimSun" w:hAnsi="SimSun" w:cs="SimSun"/>
                    <w:spacing w:val="5"/>
                    <w:position w:val="-9"/>
                    <w:sz w:val="20"/>
                    <w:szCs w:val="20"/>
                  </w:rPr>
                  <w:t>虫数</w:t>
                </w:r>
              </w:rubyBase>
            </w:ruby>
          </w:r>
          <w:r>
            <w:rPr>
              <w:rFonts w:ascii="SimSun" w:eastAsia="SimSun" w:hAnsi="SimSun" w:cs="SimSun"/>
              <w:spacing w:val="-2"/>
              <w:position w:val="19"/>
              <w:sz w:val="20"/>
              <w:szCs w:val="20"/>
            </w:rPr>
            <w:t>活虫数</w:t>
          </w:r>
          <w:r>
            <w:rPr>
              <w:rFonts w:ascii="SimSun" w:eastAsia="SimSun" w:hAnsi="SimSun" w:cs="SimSun"/>
              <w:spacing w:val="-2"/>
              <w:position w:val="19"/>
              <w:sz w:val="20"/>
              <w:szCs w:val="20"/>
            </w:rPr>
            <w:t xml:space="preserve"> </w:t>
          </w:r>
          <w:r>
            <w:rPr>
              <w:position w:val="2"/>
              <w:sz w:val="20"/>
              <w:szCs w:val="20"/>
            </w:rPr>
            <w:drawing>
              <wp:inline distT="0" distB="0" distL="0" distR="0">
                <wp:extent cx="56129" cy="159532"/>
                <wp:effectExtent l="0" t="0" r="0" b="0"/>
                <wp:docPr id="3" name="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 3"/>
                        <pic:cNvPicPr/>
                      </pic:nvPicPr>
                      <pic:blipFill>
                        <a:blip xmlns:r="http://schemas.openxmlformats.org/officeDocument/2006/relationships"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29" cy="1595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-2"/>
              <w:position w:val="1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position w:val="7"/>
              <w:sz w:val="20"/>
              <w:szCs w:val="20"/>
            </w:rPr>
            <w:t>100</w:t>
          </w:r>
          <w:r>
            <w:rPr>
              <w:rFonts w:ascii="Times New Roman" w:eastAsia="Times New Roman" w:hAnsi="Times New Roman" w:cs="Times New Roman"/>
              <w:spacing w:val="-2"/>
              <w:position w:val="7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position w:val="9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2"/>
              <w:position w:val="10"/>
              <w:sz w:val="21"/>
              <w:szCs w:val="21"/>
            </w:rPr>
            <w:t>(</w:t>
          </w:r>
          <w:hyperlink w:anchor="_bookmark2" w:history="1">
            <w:r>
              <w:rPr>
                <w:rFonts w:ascii="SimSun" w:eastAsia="SimSun" w:hAnsi="SimSun" w:cs="SimSun"/>
                <w:spacing w:val="-2"/>
                <w:position w:val="10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position w:val="10"/>
                <w:sz w:val="21"/>
                <w:szCs w:val="21"/>
              </w:rPr>
              <w:t>)</w:t>
            </w:r>
          </w:hyperlink>
        </w:p>
        <w:p>
          <w:pPr>
            <w:tabs>
              <w:tab w:val="right" w:leader="dot" w:pos="9237"/>
            </w:tabs>
            <w:spacing w:line="242" w:lineRule="auto"/>
            <w:ind w:left="1288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position w:val="-7"/>
              <w:sz w:val="21"/>
              <w:szCs w:val="21"/>
            </w:rPr>
            <w:t>防治效果(</w:t>
          </w:r>
          <w:r>
            <w:rPr>
              <w:rFonts w:ascii="Times New Roman" w:eastAsia="Times New Roman" w:hAnsi="Times New Roman" w:cs="Times New Roman"/>
              <w:spacing w:val="-2"/>
              <w:position w:val="-7"/>
              <w:sz w:val="21"/>
              <w:szCs w:val="21"/>
            </w:rPr>
            <w:t>%</w:t>
          </w:r>
          <w:r>
            <w:rPr>
              <w:rFonts w:ascii="SimSun" w:eastAsia="SimSun" w:hAnsi="SimSun" w:cs="SimSun"/>
              <w:spacing w:val="-2"/>
              <w:position w:val="-7"/>
              <w:sz w:val="21"/>
              <w:szCs w:val="21"/>
            </w:rPr>
            <w:t>)</w:t>
          </w:r>
          <w:r>
            <w:rPr>
              <w:rFonts w:ascii="SimSun" w:eastAsia="SimSun" w:hAnsi="SimSun" w:cs="SimSun"/>
              <w:spacing w:val="-2"/>
              <w:position w:val="-7"/>
              <w:sz w:val="21"/>
              <w:szCs w:val="21"/>
            </w:rPr>
            <w:t xml:space="preserve"> </w:t>
          </w:r>
          <w:r>
            <w:rPr>
              <w:rFonts w:ascii="Symbol" w:eastAsia="Symbol" w:hAnsi="Symbol" w:cs="Symbol"/>
              <w:spacing w:val="-2"/>
              <w:position w:val="-7"/>
              <w:sz w:val="21"/>
              <w:szCs w:val="21"/>
            </w:rPr>
            <w:t>=</w:t>
          </w:r>
          <w:r>
            <w:rPr>
              <w:rFonts w:ascii="Symbol" w:eastAsia="Symbol" w:hAnsi="Symbol" w:cs="Symbol"/>
              <w:spacing w:val="-2"/>
              <w:position w:val="-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position w:val="5"/>
              <w:sz w:val="21"/>
              <w:szCs w:val="21"/>
            </w:rPr>
            <w:t>防治前平均叶片被害率—</w:t>
          </w:r>
          <w:r>
            <w:rPr>
              <w:rFonts w:ascii="SimSun" w:eastAsia="SimSun" w:hAnsi="SimSun" w:cs="SimSun"/>
              <w:spacing w:val="-2"/>
              <w:position w:val="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position w:val="5"/>
              <w:sz w:val="21"/>
              <w:szCs w:val="21"/>
            </w:rPr>
            <w:t>防治后平均叶片被</w:t>
          </w:r>
          <w:r>
            <w:rPr>
              <w:rFonts w:ascii="SimSun" w:eastAsia="SimSun" w:hAnsi="SimSun" w:cs="SimSun"/>
              <w:spacing w:val="-1"/>
              <w:position w:val="5"/>
              <w:sz w:val="21"/>
              <w:szCs w:val="21"/>
            </w:rPr>
            <w:t>害率</w:t>
          </w:r>
          <w:r>
            <w:rPr>
              <w:rFonts w:ascii="SimSun" w:eastAsia="SimSun" w:hAnsi="SimSun" w:cs="SimSun"/>
              <w:spacing w:val="-1"/>
              <w:position w:val="5"/>
              <w:sz w:val="21"/>
              <w:szCs w:val="21"/>
            </w:rPr>
            <w:t xml:space="preserve"> </w:t>
          </w:r>
          <w:r>
            <w:rPr>
              <w:position w:val="-12"/>
              <w:sz w:val="21"/>
              <w:szCs w:val="21"/>
            </w:rPr>
            <w:drawing>
              <wp:inline distT="0" distB="0" distL="0" distR="0">
                <wp:extent cx="58398" cy="165982"/>
                <wp:effectExtent l="0" t="0" r="0" b="0"/>
                <wp:docPr id="4" name="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 4"/>
                        <pic:cNvPicPr/>
                      </pic:nvPicPr>
                      <pic:blipFill>
                        <a:blip xmlns:r="http://schemas.openxmlformats.org/officeDocument/2006/relationships" r:embed="rId1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398" cy="1659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-1"/>
              <w:position w:val="5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position w:val="-5"/>
              <w:sz w:val="21"/>
              <w:szCs w:val="21"/>
            </w:rPr>
            <w:t>100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position w:val="-5"/>
              <w:sz w:val="21"/>
              <w:szCs w:val="21"/>
            </w:rPr>
            <w:t>(</w:t>
          </w:r>
          <w:hyperlink w:anchor="_bookmark3" w:history="1">
            <w:r>
              <w:rPr>
                <w:rFonts w:ascii="SimSun" w:eastAsia="SimSun" w:hAnsi="SimSun" w:cs="SimSun"/>
                <w:spacing w:val="-1"/>
                <w:position w:val="-5"/>
                <w:sz w:val="21"/>
                <w:szCs w:val="21"/>
              </w:rPr>
              <w:t>4)</w:t>
            </w:r>
          </w:hyperlink>
        </w:p>
      </w:sdtContent>
    </w:sdt>
    <w:p>
      <w:pPr>
        <w:spacing w:before="228" w:line="702" w:lineRule="exact"/>
        <w:ind w:right="24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12"/>
          <w:sz w:val="21"/>
          <w:szCs w:val="21"/>
        </w:rPr>
        <w:t>成灾</w:t>
      </w:r>
      <w:r>
        <w:rPr>
          <w:rFonts w:ascii="SimSun" w:eastAsia="SimSun" w:hAnsi="SimSun" w:cs="SimSun"/>
          <w:spacing w:val="-3"/>
          <w:position w:val="12"/>
          <w:sz w:val="21"/>
          <w:szCs w:val="21"/>
        </w:rPr>
        <w:t>率</w:t>
      </w:r>
      <w:r>
        <w:rPr>
          <w:rFonts w:ascii="SimSun" w:eastAsia="SimSun" w:hAnsi="SimSun" w:cs="SimSun"/>
          <w:spacing w:val="-2"/>
          <w:position w:val="1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12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12"/>
          <w:sz w:val="21"/>
          <w:szCs w:val="21"/>
        </w:rPr>
        <w:t xml:space="preserve"> </w:t>
      </w:r>
      <w:r>
        <w:rPr>
          <w:rFonts w:ascii="Symbol" w:eastAsia="Symbol" w:hAnsi="Symbol" w:cs="Symbol"/>
          <w:strike/>
          <w:spacing w:val="-2"/>
          <w:position w:val="12"/>
          <w:sz w:val="21"/>
          <w:szCs w:val="21"/>
        </w:rPr>
        <w:t xml:space="preserve"> </w:t>
      </w:r>
      <w:r>
        <w:ruby>
          <w:rubyPr>
            <w:rubyAlign w:val="left"/>
            <w:hps w:val="21"/>
            <w:hpsRaise w:val="12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6"/>
                <w:position w:val="13"/>
                <w:sz w:val="21"/>
                <w:szCs w:val="21"/>
              </w:rPr>
              <w:t>实</w:t>
            </w:r>
            <w:r>
              <w:rPr>
                <w:rFonts w:ascii="SimSun" w:eastAsia="SimSun" w:hAnsi="SimSun" w:cs="SimSun"/>
                <w:strike/>
                <w:spacing w:val="4"/>
                <w:position w:val="13"/>
                <w:sz w:val="21"/>
                <w:szCs w:val="21"/>
              </w:rPr>
              <w:t>际</w:t>
            </w:r>
            <w:r>
              <w:rPr>
                <w:rFonts w:ascii="SimSun" w:eastAsia="SimSun" w:hAnsi="SimSun" w:cs="SimSun"/>
                <w:strike/>
                <w:spacing w:val="3"/>
                <w:position w:val="13"/>
                <w:sz w:val="21"/>
                <w:szCs w:val="21"/>
              </w:rPr>
              <w:t>成灾面积</w:t>
            </w:r>
          </w:rt>
          <w:rubyBase>
            <w:r>
              <w:rPr>
                <w:rFonts w:ascii="SimSun" w:eastAsia="SimSun" w:hAnsi="SimSun" w:cs="SimSun"/>
                <w:strike/>
                <w:spacing w:val="26"/>
                <w:position w:val="-4"/>
                <w:sz w:val="21"/>
                <w:szCs w:val="21"/>
              </w:rPr>
              <w:t>寄</w:t>
            </w:r>
            <w:r>
              <w:rPr>
                <w:rFonts w:ascii="SimSun" w:eastAsia="SimSun" w:hAnsi="SimSun" w:cs="SimSun"/>
                <w:strike/>
                <w:spacing w:val="23"/>
                <w:position w:val="-4"/>
                <w:sz w:val="21"/>
                <w:szCs w:val="21"/>
              </w:rPr>
              <w:t>主总面积</w:t>
            </w:r>
          </w:rubyBase>
        </w:ruby>
      </w:r>
      <w:r>
        <w:rPr>
          <w:position w:val="8"/>
          <w:sz w:val="21"/>
          <w:szCs w:val="21"/>
        </w:rPr>
        <w:drawing>
          <wp:inline distT="0" distB="0" distL="0" distR="0">
            <wp:extent cx="80155" cy="16802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015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2"/>
          <w:sz w:val="21"/>
          <w:szCs w:val="21"/>
        </w:rPr>
        <w:t>100%</w:t>
      </w:r>
      <w:r>
        <w:rPr>
          <w:rFonts w:ascii="Times New Roman" w:eastAsia="Times New Roman" w:hAnsi="Times New Roman" w:cs="Times New Roman"/>
          <w:spacing w:val="-2"/>
          <w:position w:val="12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2"/>
          <w:position w:val="14"/>
          <w:sz w:val="21"/>
          <w:szCs w:val="21"/>
        </w:rPr>
        <w:t>………………………………(5)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https://d.book118.com/635031000310011040</w:t>
        </w:r>
      </w:hyperlink>
    </w:p>
    <w:p/>
    <w:sectPr>
      <w:footerReference w:type="default" r:id="rId17"/>
      <w:pgSz w:w="11905" w:h="16840"/>
      <w:pgMar w:top="1406" w:right="1130" w:bottom="1315" w:left="1425" w:header="0" w:footer="1134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9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9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yperlink" Target="https://d.book118.com/635031000310011040" TargetMode="External" /><Relationship Id="rId17" Type="http://schemas.openxmlformats.org/officeDocument/2006/relationships/footer" Target="footer8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&lt;4D6963726F736F667420576F7264202D20444231323331B0D7B4CCD2B9B6EAB7C0D6CEBCBCCAF5B9E6B3CC2E746373&gt;</dc:title>
  <dc:creator>lllll</dc:creator>
  <cp:revision>0</cp:revision>
  <dcterms:created xsi:type="dcterms:W3CDTF">2022-02-18T11:29:04Z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2023-05-13T19:33:52Z</vt:filetime>
  </property>
  <property fmtid="{D5CDD505-2E9C-101B-9397-08002B2CF9AE}" pid="3" name="CRO">
    <vt:lpwstr>wqlLaW5nc29mdCBQREYgdG8gV1BTIDgw</vt:lpwstr>
  </property>
</Properties>
</file>