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2018-2023年内蒙古民族幼儿师范高等专科学校高职单招（数学／语文／英语）历年常考试题库含答案解析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鲁迅发表的第一篇现代白话文小说是（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B.《狂人日记》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C.《孔乙己》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D.《阿Q正传》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《种树郭橐驼传》采用的主要写作手法是（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A.类比方法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C.讽刺手法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A.九斤老太的八十大寿事件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C.张勋复辟事件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D.六斤裹脚事件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成语“分崩离析”出自（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C.《五代史伶官传序》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有“曲状元”之称的元代散曲家是（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《楚辞·九歌·国殇》之“国殇”的含义是（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A.祭奠为楚国捐躯的将士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B.感伤楚国将士斗志的衰败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C.鼓舞为楚国捐躯的斗志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D.感伤楚国国势的衰败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《我爱这土地》中诗人着力刻画的一个象征形象是（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A.土地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B.暴风雨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D.温柔的黎明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《箱子岩》一文中所描写的跛脚什长是一个什么形象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A.兵痞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B.平民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C.打鱼人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D.桨手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“三苏”是（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A.苏洵、苏轼、苏舜钦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B.苏洵、苏轼、苏辙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C.苏洵、苏舜钦、苏辙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D.苏轼、苏辙、苏舜钦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王安石《答司马谏议书》所采取的主要驳论角度是（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A.驳斥论点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B.驳斥论据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C.驳斥论证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D.驳斥态度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下列句子中，划线部分翻译错误的是（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429360" cy="217192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29360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人称“曲状元”的元代散曲作家是（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C.郑光祖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《冯谖客孟尝君》中冯谖最突出的性格特点是（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A.胸无远见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B.深谋远虑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C.贪图小利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D.粗犷豪爽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https://d.book118.com/635033333330011112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63503333333001111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