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jc w:val="center"/>
        <w:textAlignment w:val="baseline"/>
        <w:rPr>
          <w:rFonts w:ascii="宋体" w:eastAsia="宋体" w:hAnsi="宋体" w:cs="方正小标宋_GBK"/>
          <w:b/>
          <w:kern w:val="0"/>
          <w:szCs w:val="32"/>
          <w:shd w:val="clear" w:color="auto" w:fill="FFFFFF"/>
        </w:rPr>
      </w:pPr>
    </w:p>
    <w:p>
      <w:pPr>
        <w:widowControl/>
        <w:jc w:val="center"/>
        <w:textAlignment w:val="baseline"/>
        <w:rPr>
          <w:rFonts w:ascii="宋体" w:eastAsia="宋体" w:hAnsi="宋体" w:cs="方正小标宋_GBK"/>
          <w:b/>
          <w:kern w:val="0"/>
          <w:szCs w:val="32"/>
          <w:shd w:val="clear" w:color="auto" w:fill="FFFFFF"/>
        </w:rPr>
      </w:pPr>
      <w:bookmarkStart w:id="0" w:name="_GoBack"/>
      <w:bookmarkEnd w:id="0"/>
    </w:p>
    <w:p>
      <w:pPr>
        <w:widowControl/>
        <w:jc w:val="center"/>
        <w:textAlignment w:val="baseline"/>
        <w:rPr>
          <w:rFonts w:ascii="宋体" w:eastAsia="宋体" w:hAnsi="宋体" w:cs="方正小标宋_GBK"/>
          <w:b/>
          <w:kern w:val="0"/>
          <w:szCs w:val="32"/>
          <w:shd w:val="clear" w:color="auto" w:fill="FFFFFF"/>
        </w:rPr>
      </w:pPr>
    </w:p>
    <w:p>
      <w:pPr>
        <w:widowControl/>
        <w:jc w:val="center"/>
        <w:textAlignment w:val="baseline"/>
        <w:rPr>
          <w:rFonts w:ascii="黑体" w:eastAsia="黑体" w:hAnsi="黑体" w:cs="方正小标宋_GBK"/>
          <w:kern w:val="0"/>
          <w:sz w:val="56"/>
          <w:szCs w:val="56"/>
        </w:rPr>
      </w:pPr>
      <w:r>
        <w:rPr>
          <w:rFonts w:ascii="黑体" w:eastAsia="黑体" w:hAnsi="黑体" w:cs="方正小标宋_GBK" w:hint="eastAsia"/>
          <w:kern w:val="0"/>
          <w:sz w:val="56"/>
          <w:szCs w:val="56"/>
        </w:rPr>
        <w:t>容县自然灾害救助</w:t>
      </w:r>
    </w:p>
    <w:p>
      <w:pPr>
        <w:widowControl/>
        <w:jc w:val="center"/>
        <w:textAlignment w:val="baseline"/>
        <w:rPr>
          <w:rFonts w:ascii="黑体" w:eastAsia="黑体" w:hAnsi="黑体" w:cs="方正小标宋_GBK"/>
          <w:b/>
          <w:kern w:val="0"/>
          <w:sz w:val="56"/>
          <w:szCs w:val="56"/>
          <w:shd w:val="clear" w:color="auto" w:fill="FFFFFF"/>
        </w:rPr>
      </w:pPr>
      <w:r>
        <w:rPr>
          <w:rFonts w:ascii="黑体" w:eastAsia="黑体" w:hAnsi="黑体" w:cs="方正小标宋_GBK" w:hint="eastAsia"/>
          <w:kern w:val="0"/>
          <w:sz w:val="56"/>
          <w:szCs w:val="56"/>
        </w:rPr>
        <w:t>应急预案</w:t>
      </w:r>
    </w:p>
    <w:p>
      <w:pPr>
        <w:widowControl/>
        <w:jc w:val="center"/>
        <w:textAlignment w:val="baseline"/>
        <w:rPr>
          <w:rFonts w:ascii="宋体" w:eastAsia="宋体" w:hAnsi="宋体" w:cs="方正小标宋_GBK"/>
          <w:b/>
          <w:kern w:val="0"/>
          <w:szCs w:val="32"/>
          <w:shd w:val="clear" w:color="auto" w:fill="FFFFFF"/>
        </w:rPr>
      </w:pPr>
    </w:p>
    <w:p>
      <w:pPr>
        <w:widowControl/>
        <w:jc w:val="center"/>
        <w:textAlignment w:val="baseline"/>
        <w:rPr>
          <w:rFonts w:ascii="宋体" w:eastAsia="宋体" w:hAnsi="宋体" w:cs="方正小标宋_GBK"/>
          <w:b/>
          <w:kern w:val="0"/>
          <w:szCs w:val="32"/>
          <w:shd w:val="clear" w:color="auto" w:fill="FFFFFF"/>
        </w:rPr>
      </w:pPr>
    </w:p>
    <w:p>
      <w:pPr>
        <w:widowControl/>
        <w:jc w:val="center"/>
        <w:textAlignment w:val="baseline"/>
        <w:rPr>
          <w:rFonts w:ascii="宋体" w:eastAsia="宋体" w:hAnsi="宋体" w:cs="方正小标宋_GBK"/>
          <w:b/>
          <w:kern w:val="0"/>
          <w:szCs w:val="32"/>
          <w:shd w:val="clear" w:color="auto" w:fill="FFFFFF"/>
        </w:rPr>
      </w:pPr>
    </w:p>
    <w:p>
      <w:pPr>
        <w:widowControl/>
        <w:jc w:val="center"/>
        <w:textAlignment w:val="baseline"/>
        <w:rPr>
          <w:rFonts w:ascii="宋体" w:eastAsia="宋体" w:hAnsi="宋体" w:cs="方正小标宋_GBK"/>
          <w:b/>
          <w:kern w:val="0"/>
          <w:szCs w:val="32"/>
          <w:shd w:val="clear" w:color="auto" w:fill="FFFFFF"/>
        </w:rPr>
      </w:pPr>
    </w:p>
    <w:p>
      <w:pPr>
        <w:widowControl/>
        <w:jc w:val="center"/>
        <w:textAlignment w:val="baseline"/>
        <w:rPr>
          <w:rFonts w:ascii="宋体" w:eastAsia="宋体" w:hAnsi="宋体" w:cs="方正小标宋_GBK"/>
          <w:b/>
          <w:kern w:val="0"/>
          <w:szCs w:val="32"/>
          <w:shd w:val="clear" w:color="auto" w:fill="FFFFFF"/>
        </w:rPr>
      </w:pPr>
    </w:p>
    <w:p>
      <w:pPr>
        <w:widowControl/>
        <w:jc w:val="center"/>
        <w:textAlignment w:val="baseline"/>
        <w:rPr>
          <w:rFonts w:ascii="宋体" w:eastAsia="宋体" w:hAnsi="宋体" w:cs="方正小标宋_GBK"/>
          <w:b/>
          <w:kern w:val="0"/>
          <w:szCs w:val="32"/>
          <w:shd w:val="clear" w:color="auto" w:fill="FFFFFF"/>
        </w:rPr>
      </w:pPr>
    </w:p>
    <w:p>
      <w:pPr>
        <w:widowControl/>
        <w:jc w:val="center"/>
        <w:textAlignment w:val="baseline"/>
        <w:rPr>
          <w:rFonts w:ascii="宋体" w:eastAsia="宋体" w:hAnsi="宋体" w:cs="方正小标宋_GBK"/>
          <w:b/>
          <w:kern w:val="0"/>
          <w:szCs w:val="32"/>
          <w:shd w:val="clear" w:color="auto" w:fill="FFFFFF"/>
        </w:rPr>
      </w:pPr>
    </w:p>
    <w:p>
      <w:pPr>
        <w:widowControl/>
        <w:jc w:val="center"/>
        <w:textAlignment w:val="baseline"/>
        <w:rPr>
          <w:rFonts w:ascii="宋体" w:eastAsia="宋体" w:hAnsi="宋体" w:cs="方正小标宋_GBK"/>
          <w:b/>
          <w:kern w:val="0"/>
          <w:szCs w:val="32"/>
          <w:shd w:val="clear" w:color="auto" w:fill="FFFFFF"/>
        </w:rPr>
      </w:pPr>
    </w:p>
    <w:p>
      <w:pPr>
        <w:widowControl/>
        <w:jc w:val="center"/>
        <w:textAlignment w:val="baseline"/>
        <w:rPr>
          <w:rFonts w:ascii="宋体" w:eastAsia="宋体" w:hAnsi="宋体" w:cs="方正小标宋_GBK"/>
          <w:b/>
          <w:kern w:val="0"/>
          <w:szCs w:val="32"/>
          <w:shd w:val="clear" w:color="auto" w:fill="FFFFFF"/>
        </w:rPr>
      </w:pPr>
    </w:p>
    <w:p>
      <w:pPr>
        <w:widowControl/>
        <w:jc w:val="center"/>
        <w:textAlignment w:val="baseline"/>
        <w:rPr>
          <w:rFonts w:ascii="宋体" w:eastAsia="宋体" w:hAnsi="宋体" w:cs="方正小标宋_GBK"/>
          <w:b/>
          <w:kern w:val="0"/>
          <w:szCs w:val="32"/>
          <w:shd w:val="clear" w:color="auto" w:fill="FFFFFF"/>
        </w:rPr>
      </w:pPr>
    </w:p>
    <w:p>
      <w:pPr>
        <w:widowControl/>
        <w:jc w:val="center"/>
        <w:textAlignment w:val="baseline"/>
        <w:rPr>
          <w:rFonts w:ascii="宋体" w:eastAsia="宋体" w:hAnsi="宋体" w:cs="方正小标宋_GBK"/>
          <w:b/>
          <w:kern w:val="0"/>
          <w:szCs w:val="32"/>
          <w:shd w:val="clear" w:color="auto" w:fill="FFFFFF"/>
        </w:rPr>
      </w:pPr>
    </w:p>
    <w:p>
      <w:pPr>
        <w:jc w:val="center"/>
        <w:textAlignment w:val="baseline"/>
        <w:rPr>
          <w:rFonts w:eastAsia="宋体" w:cs="方正小标宋_GBK"/>
          <w:b/>
          <w:shd w:val="clear" w:color="auto" w:fill="FFFFFF"/>
        </w:rPr>
      </w:pPr>
      <w:r>
        <w:rPr>
          <w:rFonts w:eastAsia="宋体" w:cs="方正小标宋_GBK" w:hint="eastAsia"/>
          <w:b/>
          <w:shd w:val="clear" w:color="auto" w:fill="FFFFFF"/>
        </w:rPr>
        <w:t>审批：容县人民政府办公室</w:t>
      </w:r>
    </w:p>
    <w:p>
      <w:pPr>
        <w:jc w:val="center"/>
        <w:textAlignment w:val="baseline"/>
        <w:rPr>
          <w:rFonts w:eastAsia="宋体" w:cs="方正小标宋_GBK"/>
          <w:b/>
          <w:shd w:val="clear" w:color="auto" w:fill="FFFFFF"/>
        </w:rPr>
      </w:pPr>
    </w:p>
    <w:p>
      <w:pPr>
        <w:ind w:firstLine="2240" w:firstLineChars="700"/>
        <w:textAlignment w:val="baseline"/>
        <w:rPr>
          <w:rFonts w:eastAsia="宋体" w:cs="方正小标宋_GBK"/>
          <w:b/>
          <w:shd w:val="clear" w:color="auto" w:fill="FFFFFF"/>
        </w:rPr>
      </w:pPr>
      <w:r>
        <w:rPr>
          <w:rFonts w:eastAsia="宋体" w:cs="方正小标宋_GBK" w:hint="eastAsia"/>
          <w:b/>
          <w:shd w:val="clear" w:color="auto" w:fill="FFFFFF"/>
        </w:rPr>
        <w:t>编制：容县应急管理局</w:t>
      </w:r>
    </w:p>
    <w:p>
      <w:pPr>
        <w:jc w:val="center"/>
        <w:textAlignment w:val="baseline"/>
        <w:rPr>
          <w:rFonts w:eastAsia="宋体" w:cs="方正小标宋_GBK"/>
          <w:b/>
          <w:shd w:val="clear" w:color="auto" w:fill="FFFFFF"/>
        </w:rPr>
      </w:pPr>
    </w:p>
    <w:p>
      <w:pPr>
        <w:jc w:val="center"/>
        <w:textAlignment w:val="baseline"/>
        <w:rPr>
          <w:rFonts w:ascii="宋体" w:eastAsia="宋体" w:hAnsi="宋体" w:cs="方正小标宋_GBK"/>
          <w:b/>
          <w:shd w:val="clear" w:color="auto" w:fill="FFFFFF"/>
        </w:rPr>
        <w:sectPr>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方正小标宋_GBK" w:hint="eastAsia"/>
          <w:b/>
          <w:shd w:val="clear" w:color="auto" w:fill="FFFFFF"/>
        </w:rPr>
        <w:t>2020年</w:t>
      </w:r>
      <w:r>
        <w:rPr>
          <w:rFonts w:ascii="宋体" w:eastAsia="宋体" w:hAnsi="宋体" w:cs="方正小标宋_GBK"/>
          <w:b/>
          <w:shd w:val="clear" w:color="auto" w:fill="FFFFFF"/>
        </w:rPr>
        <w:t>8</w:t>
      </w:r>
      <w:r>
        <w:rPr>
          <w:rFonts w:ascii="宋体" w:eastAsia="宋体" w:hAnsi="宋体" w:cs="方正小标宋_GBK" w:hint="eastAsia"/>
          <w:b/>
          <w:shd w:val="clear" w:color="auto" w:fill="FFFFFF"/>
        </w:rPr>
        <w:t>月</w:t>
      </w:r>
    </w:p>
    <w:p>
      <w:pPr>
        <w:widowControl/>
        <w:jc w:val="center"/>
        <w:textAlignment w:val="baseline"/>
        <w:rPr>
          <w:rFonts w:ascii="宋体" w:eastAsia="宋体" w:hAnsi="宋体" w:cs="方正小标宋_GBK"/>
          <w:b/>
          <w:kern w:val="0"/>
          <w:shd w:val="clear" w:color="auto" w:fill="FFFFFF"/>
        </w:rPr>
      </w:pPr>
    </w:p>
    <w:p>
      <w:pPr>
        <w:widowControl/>
        <w:jc w:val="center"/>
        <w:textAlignment w:val="baseline"/>
        <w:rPr>
          <w:rFonts w:ascii="方正小标宋_GBK" w:eastAsia="方正小标宋_GBK" w:hAnsi="方正小标宋_GBK" w:cs="方正小标宋_GBK"/>
          <w:snapToGrid w:val="0"/>
          <w:sz w:val="44"/>
          <w:szCs w:val="44"/>
        </w:rPr>
      </w:pPr>
    </w:p>
    <w:p>
      <w:pPr>
        <w:widowControl/>
        <w:jc w:val="center"/>
        <w:textAlignment w:val="baseline"/>
        <w:rPr>
          <w:rFonts w:ascii="方正小标宋_GBK" w:eastAsia="方正小标宋_GBK" w:hAnsi="方正小标宋_GBK" w:cs="方正小标宋_GBK"/>
          <w:snapToGrid w:val="0"/>
          <w:sz w:val="44"/>
          <w:szCs w:val="44"/>
        </w:rPr>
      </w:pPr>
    </w:p>
    <w:p>
      <w:pPr>
        <w:widowControl/>
        <w:jc w:val="center"/>
        <w:textAlignment w:val="baseline"/>
        <w:rPr>
          <w:rFonts w:ascii="方正小标宋_GBK" w:eastAsia="方正小标宋_GBK" w:hAnsi="方正小标宋_GBK" w:cs="方正小标宋_GBK"/>
          <w:snapToGrid w:val="0"/>
          <w:sz w:val="44"/>
          <w:szCs w:val="44"/>
        </w:rPr>
        <w:sectPr>
          <w:footerReference w:type="default" r:id="rId6"/>
          <w:type w:val="nextPage"/>
          <w:pgSz w:w="11906" w:h="16838"/>
          <w:pgMar w:top="1440" w:right="1800" w:bottom="1440" w:left="1800" w:header="851" w:footer="992" w:gutter="0"/>
          <w:pgNumType w:start="2"/>
          <w:cols w:num="1" w:space="425"/>
          <w:titlePg w:val="0"/>
          <w:docGrid w:type="lines" w:linePitch="312" w:charSpace="0"/>
        </w:sectPr>
      </w:pPr>
    </w:p>
    <w:p>
      <w:pPr>
        <w:widowControl/>
        <w:jc w:val="center"/>
        <w:textAlignment w:val="baseline"/>
        <w:rPr>
          <w:rFonts w:ascii="宋体" w:eastAsia="宋体" w:hAnsi="宋体" w:cs="方正小标宋_GBK"/>
          <w:b/>
          <w:bCs/>
          <w:snapToGrid w:val="0"/>
          <w:sz w:val="44"/>
          <w:szCs w:val="44"/>
        </w:rPr>
      </w:pPr>
      <w:r>
        <w:rPr>
          <w:rFonts w:ascii="宋体" w:eastAsia="宋体" w:hAnsi="宋体" w:cs="方正小标宋_GBK" w:hint="eastAsia"/>
          <w:b/>
          <w:bCs/>
          <w:snapToGrid w:val="0"/>
          <w:sz w:val="44"/>
          <w:szCs w:val="44"/>
        </w:rPr>
        <w:t>目 录</w:t>
      </w:r>
    </w:p>
    <w:p>
      <w:pPr>
        <w:pStyle w:val="TOC1"/>
        <w:tabs>
          <w:tab w:val="left" w:pos="840"/>
          <w:tab w:val="right" w:leader="dot" w:pos="8296"/>
        </w:tabs>
        <w:rPr>
          <w:rFonts w:eastAsiaTheme="minorEastAsia"/>
          <w:b w:val="0"/>
          <w:sz w:val="21"/>
        </w:rPr>
      </w:pPr>
      <w:r>
        <w:rPr>
          <w:rFonts w:ascii="方正小标宋_GBK" w:eastAsia="方正小标宋_GBK" w:hAnsi="方正小标宋_GBK" w:cs="方正小标宋_GBK"/>
          <w:b w:val="0"/>
          <w:snapToGrid w:val="0"/>
          <w:szCs w:val="28"/>
        </w:rPr>
        <w:fldChar w:fldCharType="begin"/>
      </w:r>
      <w:r>
        <w:rPr>
          <w:rFonts w:ascii="方正小标宋_GBK" w:eastAsia="方正小标宋_GBK" w:hAnsi="方正小标宋_GBK" w:cs="方正小标宋_GBK"/>
          <w:b w:val="0"/>
          <w:snapToGrid w:val="0"/>
          <w:szCs w:val="28"/>
        </w:rPr>
        <w:instrText xml:space="preserve"> TOC \o "1-2" \h \z \u </w:instrText>
      </w:r>
      <w:r>
        <w:rPr>
          <w:rFonts w:ascii="方正小标宋_GBK" w:eastAsia="方正小标宋_GBK" w:hAnsi="方正小标宋_GBK" w:cs="方正小标宋_GBK"/>
          <w:b w:val="0"/>
          <w:snapToGrid w:val="0"/>
          <w:szCs w:val="28"/>
        </w:rPr>
        <w:fldChar w:fldCharType="separate"/>
      </w:r>
      <w:hyperlink w:anchor="_Toc46048061" w:history="1">
        <w:r>
          <w:rPr>
            <w:rStyle w:val="Hyperlink"/>
            <w:rFonts w:ascii="宋体" w:hAnsi="宋体"/>
          </w:rPr>
          <w:t>1</w:t>
        </w:r>
        <w:r>
          <w:rPr>
            <w:rFonts w:eastAsiaTheme="minorEastAsia"/>
            <w:b w:val="0"/>
            <w:sz w:val="21"/>
          </w:rPr>
          <w:tab/>
        </w:r>
        <w:r>
          <w:rPr>
            <w:rStyle w:val="Hyperlink"/>
          </w:rPr>
          <w:t>总则</w:t>
        </w:r>
        <w:r>
          <w:tab/>
        </w:r>
        <w:r>
          <w:fldChar w:fldCharType="begin"/>
        </w:r>
        <w:r>
          <w:instrText xml:space="preserve"> PAGEREF _Toc46048061 \h </w:instrText>
        </w:r>
        <w:r>
          <w:fldChar w:fldCharType="separate"/>
        </w:r>
        <w:r>
          <w:t>1</w:t>
        </w:r>
        <w:r>
          <w:fldChar w:fldCharType="end"/>
        </w:r>
      </w:hyperlink>
    </w:p>
    <w:p>
      <w:pPr>
        <w:pStyle w:val="TOC2"/>
        <w:tabs>
          <w:tab w:val="left" w:pos="1260"/>
          <w:tab w:val="right" w:leader="dot" w:pos="8296"/>
        </w:tabs>
        <w:ind w:left="640"/>
        <w:rPr>
          <w:rFonts w:eastAsiaTheme="minorEastAsia"/>
          <w:sz w:val="21"/>
        </w:rPr>
      </w:pPr>
      <w:hyperlink w:anchor="_Toc46048062" w:history="1">
        <w:r>
          <w:rPr>
            <w:rStyle w:val="Hyperlink"/>
          </w:rPr>
          <w:t>1.1</w:t>
        </w:r>
        <w:r>
          <w:rPr>
            <w:rFonts w:eastAsiaTheme="minorEastAsia"/>
            <w:sz w:val="21"/>
          </w:rPr>
          <w:tab/>
        </w:r>
        <w:r>
          <w:rPr>
            <w:rStyle w:val="Hyperlink"/>
          </w:rPr>
          <w:t>编制目的</w:t>
        </w:r>
        <w:r>
          <w:tab/>
        </w:r>
        <w:r>
          <w:fldChar w:fldCharType="begin"/>
        </w:r>
        <w:r>
          <w:instrText xml:space="preserve"> PAGEREF _Toc46048062 \h </w:instrText>
        </w:r>
        <w:r>
          <w:fldChar w:fldCharType="separate"/>
        </w:r>
        <w:r>
          <w:t>1</w:t>
        </w:r>
        <w:r>
          <w:fldChar w:fldCharType="end"/>
        </w:r>
      </w:hyperlink>
    </w:p>
    <w:p>
      <w:pPr>
        <w:pStyle w:val="TOC2"/>
        <w:tabs>
          <w:tab w:val="left" w:pos="1260"/>
          <w:tab w:val="right" w:leader="dot" w:pos="8296"/>
        </w:tabs>
        <w:ind w:left="640"/>
        <w:rPr>
          <w:rFonts w:eastAsiaTheme="minorEastAsia"/>
          <w:sz w:val="21"/>
        </w:rPr>
      </w:pPr>
      <w:hyperlink w:anchor="_Toc46048063" w:history="1">
        <w:r>
          <w:rPr>
            <w:rStyle w:val="Hyperlink"/>
          </w:rPr>
          <w:t>1.2</w:t>
        </w:r>
        <w:r>
          <w:rPr>
            <w:rFonts w:eastAsiaTheme="minorEastAsia"/>
            <w:sz w:val="21"/>
          </w:rPr>
          <w:tab/>
        </w:r>
        <w:r>
          <w:rPr>
            <w:rStyle w:val="Hyperlink"/>
          </w:rPr>
          <w:t>编制依据</w:t>
        </w:r>
        <w:r>
          <w:tab/>
        </w:r>
        <w:r>
          <w:fldChar w:fldCharType="begin"/>
        </w:r>
        <w:r>
          <w:instrText xml:space="preserve"> PAGEREF _Toc46048063 \h </w:instrText>
        </w:r>
        <w:r>
          <w:fldChar w:fldCharType="separate"/>
        </w:r>
        <w:r>
          <w:t>1</w:t>
        </w:r>
        <w:r>
          <w:fldChar w:fldCharType="end"/>
        </w:r>
      </w:hyperlink>
    </w:p>
    <w:p>
      <w:pPr>
        <w:pStyle w:val="TOC2"/>
        <w:tabs>
          <w:tab w:val="left" w:pos="1260"/>
          <w:tab w:val="right" w:leader="dot" w:pos="8296"/>
        </w:tabs>
        <w:ind w:left="640"/>
        <w:rPr>
          <w:rFonts w:eastAsiaTheme="minorEastAsia"/>
          <w:sz w:val="21"/>
        </w:rPr>
      </w:pPr>
      <w:hyperlink w:anchor="_Toc46048064" w:history="1">
        <w:r>
          <w:rPr>
            <w:rStyle w:val="Hyperlink"/>
          </w:rPr>
          <w:t>1.3</w:t>
        </w:r>
        <w:r>
          <w:rPr>
            <w:rFonts w:eastAsiaTheme="minorEastAsia"/>
            <w:sz w:val="21"/>
          </w:rPr>
          <w:tab/>
        </w:r>
        <w:r>
          <w:rPr>
            <w:rStyle w:val="Hyperlink"/>
          </w:rPr>
          <w:t>适用范围</w:t>
        </w:r>
        <w:r>
          <w:tab/>
        </w:r>
        <w:r>
          <w:fldChar w:fldCharType="begin"/>
        </w:r>
        <w:r>
          <w:instrText xml:space="preserve"> PAGEREF _Toc46048064 \h </w:instrText>
        </w:r>
        <w:r>
          <w:fldChar w:fldCharType="separate"/>
        </w:r>
        <w:r>
          <w:t>2</w:t>
        </w:r>
        <w:r>
          <w:fldChar w:fldCharType="end"/>
        </w:r>
      </w:hyperlink>
    </w:p>
    <w:p>
      <w:pPr>
        <w:pStyle w:val="TOC2"/>
        <w:tabs>
          <w:tab w:val="left" w:pos="1260"/>
          <w:tab w:val="right" w:leader="dot" w:pos="8296"/>
        </w:tabs>
        <w:ind w:left="640"/>
        <w:rPr>
          <w:rFonts w:eastAsiaTheme="minorEastAsia"/>
          <w:sz w:val="21"/>
        </w:rPr>
      </w:pPr>
      <w:hyperlink w:anchor="_Toc46048065" w:history="1">
        <w:r>
          <w:rPr>
            <w:rStyle w:val="Hyperlink"/>
          </w:rPr>
          <w:t>1.4</w:t>
        </w:r>
        <w:r>
          <w:rPr>
            <w:rFonts w:eastAsiaTheme="minorEastAsia"/>
            <w:sz w:val="21"/>
          </w:rPr>
          <w:tab/>
        </w:r>
        <w:r>
          <w:rPr>
            <w:rStyle w:val="Hyperlink"/>
          </w:rPr>
          <w:t>工作原则</w:t>
        </w:r>
        <w:r>
          <w:tab/>
        </w:r>
        <w:r>
          <w:fldChar w:fldCharType="begin"/>
        </w:r>
        <w:r>
          <w:instrText xml:space="preserve"> PAGEREF _Toc46048065 \h </w:instrText>
        </w:r>
        <w:r>
          <w:fldChar w:fldCharType="separate"/>
        </w:r>
        <w:r>
          <w:t>2</w:t>
        </w:r>
        <w:r>
          <w:fldChar w:fldCharType="end"/>
        </w:r>
      </w:hyperlink>
    </w:p>
    <w:p>
      <w:pPr>
        <w:pStyle w:val="TOC1"/>
        <w:tabs>
          <w:tab w:val="left" w:pos="840"/>
          <w:tab w:val="right" w:leader="dot" w:pos="8296"/>
        </w:tabs>
        <w:rPr>
          <w:rFonts w:eastAsiaTheme="minorEastAsia"/>
          <w:b w:val="0"/>
          <w:sz w:val="21"/>
        </w:rPr>
      </w:pPr>
      <w:hyperlink w:anchor="_Toc46048066" w:history="1">
        <w:r>
          <w:rPr>
            <w:rStyle w:val="Hyperlink"/>
            <w:rFonts w:ascii="宋体" w:hAnsi="宋体"/>
          </w:rPr>
          <w:t>2</w:t>
        </w:r>
        <w:r>
          <w:rPr>
            <w:rFonts w:eastAsiaTheme="minorEastAsia"/>
            <w:b w:val="0"/>
            <w:sz w:val="21"/>
          </w:rPr>
          <w:tab/>
        </w:r>
        <w:r>
          <w:rPr>
            <w:rStyle w:val="Hyperlink"/>
          </w:rPr>
          <w:t>组织指挥体系</w:t>
        </w:r>
        <w:r>
          <w:tab/>
        </w:r>
        <w:r>
          <w:fldChar w:fldCharType="begin"/>
        </w:r>
        <w:r>
          <w:instrText xml:space="preserve"> PAGEREF _Toc46048066 \h </w:instrText>
        </w:r>
        <w:r>
          <w:fldChar w:fldCharType="separate"/>
        </w:r>
        <w:r>
          <w:t>3</w:t>
        </w:r>
        <w:r>
          <w:fldChar w:fldCharType="end"/>
        </w:r>
      </w:hyperlink>
    </w:p>
    <w:p>
      <w:pPr>
        <w:pStyle w:val="TOC2"/>
        <w:tabs>
          <w:tab w:val="left" w:pos="1260"/>
          <w:tab w:val="right" w:leader="dot" w:pos="8296"/>
        </w:tabs>
        <w:ind w:left="640"/>
        <w:rPr>
          <w:rFonts w:eastAsiaTheme="minorEastAsia"/>
          <w:sz w:val="21"/>
        </w:rPr>
      </w:pPr>
      <w:hyperlink w:anchor="_Toc46048067" w:history="1">
        <w:r>
          <w:rPr>
            <w:rStyle w:val="Hyperlink"/>
          </w:rPr>
          <w:t>2.1</w:t>
        </w:r>
        <w:r>
          <w:rPr>
            <w:rFonts w:eastAsiaTheme="minorEastAsia"/>
            <w:sz w:val="21"/>
          </w:rPr>
          <w:tab/>
        </w:r>
        <w:r>
          <w:rPr>
            <w:rStyle w:val="Hyperlink"/>
          </w:rPr>
          <w:t>县组织指挥机构</w:t>
        </w:r>
        <w:r>
          <w:tab/>
        </w:r>
        <w:r>
          <w:fldChar w:fldCharType="begin"/>
        </w:r>
        <w:r>
          <w:instrText xml:space="preserve"> PAGEREF _Toc46048067 \h </w:instrText>
        </w:r>
        <w:r>
          <w:fldChar w:fldCharType="separate"/>
        </w:r>
        <w:r>
          <w:t>3</w:t>
        </w:r>
        <w:r>
          <w:fldChar w:fldCharType="end"/>
        </w:r>
      </w:hyperlink>
    </w:p>
    <w:p>
      <w:pPr>
        <w:pStyle w:val="TOC2"/>
        <w:tabs>
          <w:tab w:val="left" w:pos="1260"/>
          <w:tab w:val="right" w:leader="dot" w:pos="8296"/>
        </w:tabs>
        <w:ind w:left="640"/>
        <w:rPr>
          <w:rFonts w:eastAsiaTheme="minorEastAsia"/>
          <w:sz w:val="21"/>
        </w:rPr>
      </w:pPr>
      <w:hyperlink w:anchor="_Toc46048068" w:history="1">
        <w:r>
          <w:rPr>
            <w:rStyle w:val="Hyperlink"/>
            <w:rFonts w:ascii="Times New Roman" w:hAnsi="Times New Roman" w:cs="Times New Roman"/>
          </w:rPr>
          <w:t>2.2</w:t>
        </w:r>
        <w:r>
          <w:rPr>
            <w:rFonts w:eastAsiaTheme="minorEastAsia"/>
            <w:sz w:val="21"/>
          </w:rPr>
          <w:tab/>
        </w:r>
        <w:r>
          <w:rPr>
            <w:rStyle w:val="Hyperlink"/>
            <w:shd w:val="clear" w:color="auto" w:fill="FFFFFF"/>
          </w:rPr>
          <w:t>镇组织指挥机构</w:t>
        </w:r>
        <w:r>
          <w:tab/>
        </w:r>
        <w:r>
          <w:fldChar w:fldCharType="begin"/>
        </w:r>
        <w:r>
          <w:instrText xml:space="preserve"> PAGEREF _Toc46048068 \h </w:instrText>
        </w:r>
        <w:r>
          <w:fldChar w:fldCharType="separate"/>
        </w:r>
        <w:r>
          <w:t>10</w:t>
        </w:r>
        <w:r>
          <w:fldChar w:fldCharType="end"/>
        </w:r>
      </w:hyperlink>
    </w:p>
    <w:p>
      <w:pPr>
        <w:pStyle w:val="TOC1"/>
        <w:tabs>
          <w:tab w:val="left" w:pos="840"/>
          <w:tab w:val="right" w:leader="dot" w:pos="8296"/>
        </w:tabs>
        <w:rPr>
          <w:rFonts w:eastAsiaTheme="minorEastAsia"/>
          <w:b w:val="0"/>
          <w:sz w:val="21"/>
        </w:rPr>
      </w:pPr>
      <w:hyperlink w:anchor="_Toc46048069" w:history="1">
        <w:r>
          <w:rPr>
            <w:rStyle w:val="Hyperlink"/>
            <w:rFonts w:ascii="宋体" w:hAnsi="宋体"/>
          </w:rPr>
          <w:t>3</w:t>
        </w:r>
        <w:r>
          <w:rPr>
            <w:rFonts w:eastAsiaTheme="minorEastAsia"/>
            <w:b w:val="0"/>
            <w:sz w:val="21"/>
          </w:rPr>
          <w:tab/>
        </w:r>
        <w:r>
          <w:rPr>
            <w:rStyle w:val="Hyperlink"/>
          </w:rPr>
          <w:t>灾害救助准备</w:t>
        </w:r>
        <w:r>
          <w:tab/>
        </w:r>
        <w:r>
          <w:fldChar w:fldCharType="begin"/>
        </w:r>
        <w:r>
          <w:instrText xml:space="preserve"> PAGEREF _Toc46048069 \h </w:instrText>
        </w:r>
        <w:r>
          <w:fldChar w:fldCharType="separate"/>
        </w:r>
        <w:r>
          <w:t>11</w:t>
        </w:r>
        <w:r>
          <w:fldChar w:fldCharType="end"/>
        </w:r>
      </w:hyperlink>
    </w:p>
    <w:p>
      <w:pPr>
        <w:pStyle w:val="TOC1"/>
        <w:tabs>
          <w:tab w:val="left" w:pos="840"/>
          <w:tab w:val="right" w:leader="dot" w:pos="8296"/>
        </w:tabs>
        <w:rPr>
          <w:rFonts w:eastAsiaTheme="minorEastAsia"/>
          <w:b w:val="0"/>
          <w:sz w:val="21"/>
        </w:rPr>
      </w:pPr>
      <w:hyperlink w:anchor="_Toc46048070" w:history="1">
        <w:r>
          <w:rPr>
            <w:rStyle w:val="Hyperlink"/>
            <w:rFonts w:ascii="宋体" w:hAnsi="宋体"/>
          </w:rPr>
          <w:t>4</w:t>
        </w:r>
        <w:r>
          <w:rPr>
            <w:rFonts w:eastAsiaTheme="minorEastAsia"/>
            <w:b w:val="0"/>
            <w:sz w:val="21"/>
          </w:rPr>
          <w:tab/>
        </w:r>
        <w:r>
          <w:rPr>
            <w:rStyle w:val="Hyperlink"/>
          </w:rPr>
          <w:t>信息报告与发布</w:t>
        </w:r>
        <w:r>
          <w:tab/>
        </w:r>
        <w:r>
          <w:fldChar w:fldCharType="begin"/>
        </w:r>
        <w:r>
          <w:instrText xml:space="preserve"> PAGEREF _Toc46048070 \h </w:instrText>
        </w:r>
        <w:r>
          <w:fldChar w:fldCharType="separate"/>
        </w:r>
        <w:r>
          <w:t>12</w:t>
        </w:r>
        <w:r>
          <w:fldChar w:fldCharType="end"/>
        </w:r>
      </w:hyperlink>
    </w:p>
    <w:p>
      <w:pPr>
        <w:pStyle w:val="TOC2"/>
        <w:tabs>
          <w:tab w:val="left" w:pos="1260"/>
          <w:tab w:val="right" w:leader="dot" w:pos="8296"/>
        </w:tabs>
        <w:ind w:left="640"/>
        <w:rPr>
          <w:rFonts w:eastAsiaTheme="minorEastAsia"/>
          <w:sz w:val="21"/>
        </w:rPr>
      </w:pPr>
      <w:hyperlink w:anchor="_Toc46048071" w:history="1">
        <w:r>
          <w:rPr>
            <w:rStyle w:val="Hyperlink"/>
          </w:rPr>
          <w:t>4.1</w:t>
        </w:r>
        <w:r>
          <w:rPr>
            <w:rFonts w:eastAsiaTheme="minorEastAsia"/>
            <w:sz w:val="21"/>
          </w:rPr>
          <w:tab/>
        </w:r>
        <w:r>
          <w:rPr>
            <w:rStyle w:val="Hyperlink"/>
          </w:rPr>
          <w:t>信息报告</w:t>
        </w:r>
        <w:r>
          <w:tab/>
        </w:r>
        <w:r>
          <w:fldChar w:fldCharType="begin"/>
        </w:r>
        <w:r>
          <w:instrText xml:space="preserve"> PAGEREF _Toc46048071 \h </w:instrText>
        </w:r>
        <w:r>
          <w:fldChar w:fldCharType="separate"/>
        </w:r>
        <w:r>
          <w:t>12</w:t>
        </w:r>
        <w:r>
          <w:fldChar w:fldCharType="end"/>
        </w:r>
      </w:hyperlink>
    </w:p>
    <w:p>
      <w:pPr>
        <w:pStyle w:val="TOC2"/>
        <w:tabs>
          <w:tab w:val="left" w:pos="1260"/>
          <w:tab w:val="right" w:leader="dot" w:pos="8296"/>
        </w:tabs>
        <w:ind w:left="640"/>
        <w:rPr>
          <w:rFonts w:eastAsiaTheme="minorEastAsia"/>
          <w:sz w:val="21"/>
        </w:rPr>
      </w:pPr>
      <w:hyperlink w:anchor="_Toc46048072" w:history="1">
        <w:r>
          <w:rPr>
            <w:rStyle w:val="Hyperlink"/>
          </w:rPr>
          <w:t>4.2</w:t>
        </w:r>
        <w:r>
          <w:rPr>
            <w:rFonts w:eastAsiaTheme="minorEastAsia"/>
            <w:sz w:val="21"/>
          </w:rPr>
          <w:tab/>
        </w:r>
        <w:r>
          <w:rPr>
            <w:rStyle w:val="Hyperlink"/>
          </w:rPr>
          <w:t>信息发布</w:t>
        </w:r>
        <w:r>
          <w:tab/>
        </w:r>
        <w:r>
          <w:fldChar w:fldCharType="begin"/>
        </w:r>
        <w:r>
          <w:instrText xml:space="preserve"> PAGEREF _Toc46048072 \h </w:instrText>
        </w:r>
        <w:r>
          <w:fldChar w:fldCharType="separate"/>
        </w:r>
        <w:r>
          <w:t>12</w:t>
        </w:r>
        <w:r>
          <w:fldChar w:fldCharType="end"/>
        </w:r>
      </w:hyperlink>
    </w:p>
    <w:p>
      <w:pPr>
        <w:pStyle w:val="TOC1"/>
        <w:tabs>
          <w:tab w:val="left" w:pos="840"/>
          <w:tab w:val="right" w:leader="dot" w:pos="8296"/>
        </w:tabs>
        <w:rPr>
          <w:rFonts w:eastAsiaTheme="minorEastAsia"/>
          <w:b w:val="0"/>
          <w:sz w:val="21"/>
        </w:rPr>
      </w:pPr>
      <w:hyperlink w:anchor="_Toc46048073" w:history="1">
        <w:r>
          <w:rPr>
            <w:rStyle w:val="Hyperlink"/>
            <w:rFonts w:ascii="宋体" w:hAnsi="宋体"/>
          </w:rPr>
          <w:t>5</w:t>
        </w:r>
        <w:r>
          <w:rPr>
            <w:rFonts w:eastAsiaTheme="minorEastAsia"/>
            <w:b w:val="0"/>
            <w:sz w:val="21"/>
          </w:rPr>
          <w:tab/>
        </w:r>
        <w:r>
          <w:rPr>
            <w:rStyle w:val="Hyperlink"/>
          </w:rPr>
          <w:t>县应急响应</w:t>
        </w:r>
        <w:r>
          <w:tab/>
        </w:r>
        <w:r>
          <w:fldChar w:fldCharType="begin"/>
        </w:r>
        <w:r>
          <w:instrText xml:space="preserve"> PAGEREF _Toc46048073 \h </w:instrText>
        </w:r>
        <w:r>
          <w:fldChar w:fldCharType="separate"/>
        </w:r>
        <w:r>
          <w:t>14</w:t>
        </w:r>
        <w:r>
          <w:fldChar w:fldCharType="end"/>
        </w:r>
      </w:hyperlink>
    </w:p>
    <w:p>
      <w:pPr>
        <w:pStyle w:val="TOC2"/>
        <w:tabs>
          <w:tab w:val="left" w:pos="1050"/>
          <w:tab w:val="right" w:leader="dot" w:pos="8296"/>
        </w:tabs>
        <w:ind w:left="640"/>
        <w:rPr>
          <w:rFonts w:eastAsiaTheme="minorEastAsia"/>
          <w:sz w:val="21"/>
        </w:rPr>
      </w:pPr>
      <w:hyperlink w:anchor="_Toc46048074" w:history="1">
        <w:r>
          <w:rPr>
            <w:rStyle w:val="Hyperlink"/>
          </w:rPr>
          <w:t>5.1</w:t>
        </w:r>
        <w:r>
          <w:rPr>
            <w:rFonts w:eastAsiaTheme="minorEastAsia"/>
            <w:sz w:val="21"/>
          </w:rPr>
          <w:tab/>
        </w:r>
        <w:r>
          <w:rPr>
            <w:rStyle w:val="Hyperlink"/>
          </w:rPr>
          <w:t>Ⅳ级响应</w:t>
        </w:r>
        <w:r>
          <w:tab/>
        </w:r>
        <w:r>
          <w:fldChar w:fldCharType="begin"/>
        </w:r>
        <w:r>
          <w:instrText xml:space="preserve"> PAGEREF _Toc46048074 \h </w:instrText>
        </w:r>
        <w:r>
          <w:fldChar w:fldCharType="separate"/>
        </w:r>
        <w:r>
          <w:t>14</w:t>
        </w:r>
        <w:r>
          <w:fldChar w:fldCharType="end"/>
        </w:r>
      </w:hyperlink>
    </w:p>
    <w:p>
      <w:pPr>
        <w:pStyle w:val="TOC2"/>
        <w:tabs>
          <w:tab w:val="left" w:pos="1050"/>
          <w:tab w:val="right" w:leader="dot" w:pos="8296"/>
        </w:tabs>
        <w:ind w:left="640"/>
        <w:rPr>
          <w:rFonts w:eastAsiaTheme="minorEastAsia"/>
          <w:sz w:val="21"/>
        </w:rPr>
      </w:pPr>
      <w:hyperlink w:anchor="_Toc46048075" w:history="1">
        <w:r>
          <w:rPr>
            <w:rStyle w:val="Hyperlink"/>
          </w:rPr>
          <w:t>5.2</w:t>
        </w:r>
        <w:r>
          <w:rPr>
            <w:rFonts w:eastAsiaTheme="minorEastAsia"/>
            <w:sz w:val="21"/>
          </w:rPr>
          <w:tab/>
        </w:r>
        <w:r>
          <w:rPr>
            <w:rStyle w:val="Hyperlink"/>
          </w:rPr>
          <w:t>Ⅲ级响应</w:t>
        </w:r>
        <w:r>
          <w:tab/>
        </w:r>
        <w:r>
          <w:fldChar w:fldCharType="begin"/>
        </w:r>
        <w:r>
          <w:instrText xml:space="preserve"> PAGEREF _Toc46048075 \h </w:instrText>
        </w:r>
        <w:r>
          <w:fldChar w:fldCharType="separate"/>
        </w:r>
        <w:r>
          <w:t>16</w:t>
        </w:r>
        <w:r>
          <w:fldChar w:fldCharType="end"/>
        </w:r>
      </w:hyperlink>
    </w:p>
    <w:p>
      <w:pPr>
        <w:pStyle w:val="TOC2"/>
        <w:tabs>
          <w:tab w:val="left" w:pos="1050"/>
          <w:tab w:val="right" w:leader="dot" w:pos="8296"/>
        </w:tabs>
        <w:ind w:left="640"/>
        <w:rPr>
          <w:rFonts w:eastAsiaTheme="minorEastAsia"/>
          <w:sz w:val="21"/>
        </w:rPr>
      </w:pPr>
      <w:hyperlink w:anchor="_Toc46048076" w:history="1">
        <w:r>
          <w:rPr>
            <w:rStyle w:val="Hyperlink"/>
          </w:rPr>
          <w:t>5.3</w:t>
        </w:r>
        <w:r>
          <w:rPr>
            <w:rFonts w:eastAsiaTheme="minorEastAsia"/>
            <w:sz w:val="21"/>
          </w:rPr>
          <w:tab/>
        </w:r>
        <w:r>
          <w:rPr>
            <w:rStyle w:val="Hyperlink"/>
            <w:rFonts w:ascii="仿宋" w:hAnsi="仿宋" w:cs="仿宋"/>
            <w:kern w:val="0"/>
          </w:rPr>
          <w:t>Ⅱ</w:t>
        </w:r>
        <w:r>
          <w:rPr>
            <w:rStyle w:val="Hyperlink"/>
          </w:rPr>
          <w:t>级响应</w:t>
        </w:r>
        <w:r>
          <w:tab/>
        </w:r>
        <w:r>
          <w:fldChar w:fldCharType="begin"/>
        </w:r>
        <w:r>
          <w:instrText xml:space="preserve"> PAGEREF _Toc46048076 \h </w:instrText>
        </w:r>
        <w:r>
          <w:fldChar w:fldCharType="separate"/>
        </w:r>
        <w:r>
          <w:t>18</w:t>
        </w:r>
        <w:r>
          <w:fldChar w:fldCharType="end"/>
        </w:r>
      </w:hyperlink>
    </w:p>
    <w:p>
      <w:pPr>
        <w:pStyle w:val="TOC2"/>
        <w:tabs>
          <w:tab w:val="left" w:pos="1050"/>
          <w:tab w:val="right" w:leader="dot" w:pos="8296"/>
        </w:tabs>
        <w:ind w:left="640"/>
        <w:rPr>
          <w:rFonts w:eastAsiaTheme="minorEastAsia"/>
          <w:sz w:val="21"/>
        </w:rPr>
      </w:pPr>
      <w:hyperlink w:anchor="_Toc46048077" w:history="1">
        <w:r>
          <w:rPr>
            <w:rStyle w:val="Hyperlink"/>
          </w:rPr>
          <w:t>5.4</w:t>
        </w:r>
        <w:r>
          <w:rPr>
            <w:rFonts w:eastAsiaTheme="minorEastAsia"/>
            <w:sz w:val="21"/>
          </w:rPr>
          <w:tab/>
        </w:r>
        <w:r>
          <w:rPr>
            <w:rStyle w:val="Hyperlink"/>
            <w:rFonts w:ascii="仿宋" w:hAnsi="仿宋" w:cs="仿宋"/>
            <w:kern w:val="0"/>
          </w:rPr>
          <w:t>Ⅰ</w:t>
        </w:r>
        <w:r>
          <w:rPr>
            <w:rStyle w:val="Hyperlink"/>
          </w:rPr>
          <w:t>级响应</w:t>
        </w:r>
        <w:r>
          <w:tab/>
        </w:r>
        <w:r>
          <w:fldChar w:fldCharType="begin"/>
        </w:r>
        <w:r>
          <w:instrText xml:space="preserve"> PAGEREF _Toc46048077 \h </w:instrText>
        </w:r>
        <w:r>
          <w:fldChar w:fldCharType="separate"/>
        </w:r>
        <w:r>
          <w:t>2</w:t>
        </w:r>
        <w:r>
          <w:rPr>
            <w:rFonts w:hint="eastAsia"/>
            <w:lang w:val="en-US" w:eastAsia="zh-CN"/>
          </w:rPr>
          <w:t>1</w:t>
        </w:r>
        <w:r>
          <w:fldChar w:fldCharType="end"/>
        </w:r>
      </w:hyperlink>
    </w:p>
    <w:p>
      <w:pPr>
        <w:pStyle w:val="TOC2"/>
        <w:tabs>
          <w:tab w:val="left" w:pos="1260"/>
          <w:tab w:val="right" w:leader="dot" w:pos="8296"/>
        </w:tabs>
        <w:ind w:left="640"/>
        <w:rPr>
          <w:rFonts w:eastAsiaTheme="minorEastAsia"/>
          <w:sz w:val="21"/>
        </w:rPr>
      </w:pPr>
      <w:hyperlink w:anchor="_Toc46048078" w:history="1">
        <w:r>
          <w:rPr>
            <w:rStyle w:val="Hyperlink"/>
          </w:rPr>
          <w:t>5.5</w:t>
        </w:r>
        <w:r>
          <w:rPr>
            <w:rFonts w:eastAsiaTheme="minorEastAsia"/>
            <w:sz w:val="21"/>
          </w:rPr>
          <w:tab/>
        </w:r>
        <w:r>
          <w:rPr>
            <w:rStyle w:val="Hyperlink"/>
          </w:rPr>
          <w:t>启动条件调整</w:t>
        </w:r>
        <w:r>
          <w:tab/>
        </w:r>
        <w:r>
          <w:fldChar w:fldCharType="begin"/>
        </w:r>
        <w:r>
          <w:instrText xml:space="preserve"> PAGEREF _Toc46048078 \h </w:instrText>
        </w:r>
        <w:r>
          <w:fldChar w:fldCharType="separate"/>
        </w:r>
        <w:r>
          <w:t>2</w:t>
        </w:r>
        <w:r>
          <w:rPr>
            <w:rFonts w:hint="eastAsia"/>
            <w:lang w:val="en-US" w:eastAsia="zh-CN"/>
          </w:rPr>
          <w:t>4</w:t>
        </w:r>
        <w:r>
          <w:fldChar w:fldCharType="end"/>
        </w:r>
      </w:hyperlink>
    </w:p>
    <w:p>
      <w:pPr>
        <w:pStyle w:val="TOC2"/>
        <w:tabs>
          <w:tab w:val="left" w:pos="1260"/>
          <w:tab w:val="right" w:leader="dot" w:pos="8296"/>
        </w:tabs>
        <w:ind w:left="640"/>
        <w:rPr>
          <w:rFonts w:eastAsiaTheme="minorEastAsia"/>
          <w:sz w:val="21"/>
        </w:rPr>
      </w:pPr>
      <w:hyperlink w:anchor="_Toc46048079" w:history="1">
        <w:r>
          <w:rPr>
            <w:rStyle w:val="Hyperlink"/>
          </w:rPr>
          <w:t>5.6</w:t>
        </w:r>
        <w:r>
          <w:rPr>
            <w:rFonts w:eastAsiaTheme="minorEastAsia"/>
            <w:sz w:val="21"/>
          </w:rPr>
          <w:tab/>
        </w:r>
        <w:r>
          <w:rPr>
            <w:rStyle w:val="Hyperlink"/>
          </w:rPr>
          <w:t>响应终止</w:t>
        </w:r>
        <w:r>
          <w:tab/>
        </w:r>
        <w:r>
          <w:fldChar w:fldCharType="begin"/>
        </w:r>
        <w:r>
          <w:instrText xml:space="preserve"> PAGEREF _Toc46048079 \h </w:instrText>
        </w:r>
        <w:r>
          <w:fldChar w:fldCharType="separate"/>
        </w:r>
        <w:r>
          <w:t>24</w:t>
        </w:r>
        <w:r>
          <w:fldChar w:fldCharType="end"/>
        </w:r>
      </w:hyperlink>
    </w:p>
    <w:p>
      <w:pPr>
        <w:pStyle w:val="TOC1"/>
        <w:tabs>
          <w:tab w:val="left" w:pos="840"/>
          <w:tab w:val="right" w:leader="dot" w:pos="8296"/>
        </w:tabs>
        <w:rPr>
          <w:rFonts w:eastAsiaTheme="minorEastAsia"/>
          <w:b w:val="0"/>
          <w:sz w:val="21"/>
        </w:rPr>
      </w:pPr>
      <w:hyperlink w:anchor="_Toc46048080" w:history="1">
        <w:r>
          <w:rPr>
            <w:rStyle w:val="Hyperlink"/>
            <w:rFonts w:ascii="宋体" w:hAnsi="宋体"/>
          </w:rPr>
          <w:t>6</w:t>
        </w:r>
        <w:r>
          <w:rPr>
            <w:rFonts w:eastAsiaTheme="minorEastAsia"/>
            <w:b w:val="0"/>
            <w:sz w:val="21"/>
          </w:rPr>
          <w:tab/>
        </w:r>
        <w:r>
          <w:rPr>
            <w:rStyle w:val="Hyperlink"/>
          </w:rPr>
          <w:t>灾后救助与恢复重建</w:t>
        </w:r>
        <w:r>
          <w:tab/>
        </w:r>
        <w:r>
          <w:fldChar w:fldCharType="begin"/>
        </w:r>
        <w:r>
          <w:instrText xml:space="preserve"> PAGEREF _Toc46048080 \h </w:instrText>
        </w:r>
        <w:r>
          <w:fldChar w:fldCharType="separate"/>
        </w:r>
        <w:r>
          <w:t>25</w:t>
        </w:r>
        <w:r>
          <w:fldChar w:fldCharType="end"/>
        </w:r>
      </w:hyperlink>
    </w:p>
    <w:p>
      <w:pPr>
        <w:pStyle w:val="TOC2"/>
        <w:tabs>
          <w:tab w:val="left" w:pos="1260"/>
          <w:tab w:val="right" w:leader="dot" w:pos="8296"/>
        </w:tabs>
        <w:ind w:left="640"/>
        <w:rPr>
          <w:rFonts w:eastAsiaTheme="minorEastAsia"/>
          <w:sz w:val="21"/>
        </w:rPr>
        <w:sectPr>
          <w:footerReference w:type="default" r:id="rId7"/>
          <w:type w:val="nextPage"/>
          <w:pgSz w:w="11906" w:h="16838"/>
          <w:pgMar w:top="1440" w:right="1800" w:bottom="1440" w:left="1800" w:header="851" w:footer="992" w:gutter="0"/>
          <w:pgNumType w:start="3"/>
          <w:cols w:num="1" w:space="425"/>
          <w:titlePg w:val="0"/>
          <w:docGrid w:type="lines" w:linePitch="312" w:charSpace="0"/>
        </w:sectPr>
      </w:pPr>
      <w:hyperlink w:anchor="_Toc46048081" w:history="1">
        <w:r>
          <w:rPr>
            <w:rStyle w:val="Hyperlink"/>
          </w:rPr>
          <w:t>6.1</w:t>
        </w:r>
        <w:r>
          <w:rPr>
            <w:rFonts w:eastAsiaTheme="minorEastAsia"/>
            <w:sz w:val="21"/>
          </w:rPr>
          <w:tab/>
        </w:r>
        <w:r>
          <w:rPr>
            <w:rStyle w:val="Hyperlink"/>
          </w:rPr>
          <w:t>过渡期生活救助</w:t>
        </w:r>
        <w:r>
          <w:tab/>
        </w:r>
        <w:r>
          <w:fldChar w:fldCharType="begin"/>
        </w:r>
        <w:r>
          <w:instrText xml:space="preserve"> PAGEREF _Toc46048081 \h </w:instrText>
        </w:r>
        <w:r>
          <w:fldChar w:fldCharType="separate"/>
        </w:r>
        <w:r>
          <w:t>25</w:t>
        </w:r>
        <w:r>
          <w:fldChar w:fldCharType="end"/>
        </w:r>
      </w:hyperlink>
    </w:p>
    <w:p>
      <w:pPr>
        <w:pStyle w:val="TOC2"/>
        <w:tabs>
          <w:tab w:val="left" w:pos="1260"/>
          <w:tab w:val="right" w:leader="dot" w:pos="8296"/>
        </w:tabs>
        <w:ind w:left="640"/>
        <w:rPr>
          <w:rFonts w:eastAsiaTheme="minorEastAsia"/>
          <w:sz w:val="21"/>
        </w:rPr>
      </w:pPr>
      <w:hyperlink w:anchor="_Toc46048082" w:history="1">
        <w:r>
          <w:rPr>
            <w:rStyle w:val="Hyperlink"/>
          </w:rPr>
          <w:t>6.2</w:t>
        </w:r>
        <w:r>
          <w:rPr>
            <w:rFonts w:eastAsiaTheme="minorEastAsia"/>
            <w:sz w:val="21"/>
          </w:rPr>
          <w:tab/>
        </w:r>
        <w:r>
          <w:rPr>
            <w:rStyle w:val="Hyperlink"/>
          </w:rPr>
          <w:t>冬春救助</w:t>
        </w:r>
        <w:r>
          <w:tab/>
        </w:r>
        <w:r>
          <w:fldChar w:fldCharType="begin"/>
        </w:r>
        <w:r>
          <w:instrText xml:space="preserve"> PAGEREF _Toc46048082 \h </w:instrText>
        </w:r>
        <w:r>
          <w:fldChar w:fldCharType="separate"/>
        </w:r>
        <w:r>
          <w:t>25</w:t>
        </w:r>
        <w:r>
          <w:fldChar w:fldCharType="end"/>
        </w:r>
      </w:hyperlink>
    </w:p>
    <w:p>
      <w:pPr>
        <w:pStyle w:val="TOC2"/>
        <w:tabs>
          <w:tab w:val="left" w:pos="1260"/>
          <w:tab w:val="right" w:leader="dot" w:pos="8296"/>
        </w:tabs>
        <w:ind w:left="640"/>
        <w:rPr>
          <w:rFonts w:eastAsiaTheme="minorEastAsia"/>
          <w:sz w:val="21"/>
        </w:rPr>
      </w:pPr>
      <w:hyperlink w:anchor="_Toc46048083" w:history="1">
        <w:r>
          <w:rPr>
            <w:rStyle w:val="Hyperlink"/>
          </w:rPr>
          <w:t>6.3</w:t>
        </w:r>
        <w:r>
          <w:rPr>
            <w:rFonts w:eastAsiaTheme="minorEastAsia"/>
            <w:sz w:val="21"/>
          </w:rPr>
          <w:tab/>
        </w:r>
        <w:r>
          <w:rPr>
            <w:rStyle w:val="Hyperlink"/>
          </w:rPr>
          <w:t>倒损住房恢复重建</w:t>
        </w:r>
        <w:r>
          <w:tab/>
        </w:r>
        <w:r>
          <w:fldChar w:fldCharType="begin"/>
        </w:r>
        <w:r>
          <w:instrText xml:space="preserve"> PAGEREF _Toc46048083 \h </w:instrText>
        </w:r>
        <w:r>
          <w:fldChar w:fldCharType="separate"/>
        </w:r>
        <w:r>
          <w:t>26</w:t>
        </w:r>
        <w:r>
          <w:fldChar w:fldCharType="end"/>
        </w:r>
      </w:hyperlink>
    </w:p>
    <w:p>
      <w:pPr>
        <w:pStyle w:val="TOC1"/>
        <w:tabs>
          <w:tab w:val="left" w:pos="840"/>
          <w:tab w:val="right" w:leader="dot" w:pos="8296"/>
        </w:tabs>
        <w:rPr>
          <w:rFonts w:eastAsiaTheme="minorEastAsia"/>
          <w:b w:val="0"/>
          <w:sz w:val="21"/>
        </w:rPr>
      </w:pPr>
      <w:hyperlink w:anchor="_Toc46048084" w:history="1">
        <w:r>
          <w:rPr>
            <w:rStyle w:val="Hyperlink"/>
            <w:rFonts w:ascii="宋体" w:hAnsi="宋体"/>
          </w:rPr>
          <w:t>7</w:t>
        </w:r>
        <w:r>
          <w:rPr>
            <w:rFonts w:eastAsiaTheme="minorEastAsia"/>
            <w:b w:val="0"/>
            <w:sz w:val="21"/>
          </w:rPr>
          <w:tab/>
        </w:r>
        <w:r>
          <w:rPr>
            <w:rStyle w:val="Hyperlink"/>
          </w:rPr>
          <w:t>保障措施</w:t>
        </w:r>
        <w:r>
          <w:tab/>
        </w:r>
        <w:r>
          <w:fldChar w:fldCharType="begin"/>
        </w:r>
        <w:r>
          <w:instrText xml:space="preserve"> PAGEREF _Toc46048084 \h </w:instrText>
        </w:r>
        <w:r>
          <w:fldChar w:fldCharType="separate"/>
        </w:r>
        <w:r>
          <w:t>28</w:t>
        </w:r>
        <w:r>
          <w:fldChar w:fldCharType="end"/>
        </w:r>
      </w:hyperlink>
    </w:p>
    <w:p>
      <w:pPr>
        <w:pStyle w:val="TOC2"/>
        <w:tabs>
          <w:tab w:val="left" w:pos="1260"/>
          <w:tab w:val="right" w:leader="dot" w:pos="8296"/>
        </w:tabs>
        <w:ind w:left="640"/>
        <w:rPr>
          <w:rFonts w:eastAsiaTheme="minorEastAsia"/>
          <w:sz w:val="21"/>
        </w:rPr>
      </w:pPr>
      <w:hyperlink w:anchor="_Toc46048085" w:history="1">
        <w:r>
          <w:rPr>
            <w:rStyle w:val="Hyperlink"/>
          </w:rPr>
          <w:t>7.1</w:t>
        </w:r>
        <w:r>
          <w:rPr>
            <w:rFonts w:eastAsiaTheme="minorEastAsia"/>
            <w:sz w:val="21"/>
          </w:rPr>
          <w:tab/>
        </w:r>
        <w:r>
          <w:rPr>
            <w:rStyle w:val="Hyperlink"/>
          </w:rPr>
          <w:t>资金保障</w:t>
        </w:r>
        <w:r>
          <w:tab/>
        </w:r>
        <w:r>
          <w:fldChar w:fldCharType="begin"/>
        </w:r>
        <w:r>
          <w:instrText xml:space="preserve"> PAGEREF _Toc46048085 \h </w:instrText>
        </w:r>
        <w:r>
          <w:fldChar w:fldCharType="separate"/>
        </w:r>
        <w:r>
          <w:t>28</w:t>
        </w:r>
        <w:r>
          <w:fldChar w:fldCharType="end"/>
        </w:r>
      </w:hyperlink>
    </w:p>
    <w:p>
      <w:pPr>
        <w:pStyle w:val="TOC2"/>
        <w:tabs>
          <w:tab w:val="left" w:pos="1260"/>
          <w:tab w:val="right" w:leader="dot" w:pos="8296"/>
        </w:tabs>
        <w:ind w:left="640"/>
        <w:rPr>
          <w:rFonts w:eastAsiaTheme="minorEastAsia"/>
          <w:sz w:val="21"/>
        </w:rPr>
      </w:pPr>
      <w:hyperlink w:anchor="_Toc46048086" w:history="1">
        <w:r>
          <w:rPr>
            <w:rStyle w:val="Hyperlink"/>
          </w:rPr>
          <w:t>7.2</w:t>
        </w:r>
        <w:r>
          <w:rPr>
            <w:rFonts w:eastAsiaTheme="minorEastAsia"/>
            <w:sz w:val="21"/>
          </w:rPr>
          <w:tab/>
        </w:r>
        <w:r>
          <w:rPr>
            <w:rStyle w:val="Hyperlink"/>
          </w:rPr>
          <w:t>物资保障</w:t>
        </w:r>
        <w:r>
          <w:tab/>
        </w:r>
        <w:r>
          <w:fldChar w:fldCharType="begin"/>
        </w:r>
        <w:r>
          <w:instrText xml:space="preserve"> PAGEREF _Toc46048086 \h </w:instrText>
        </w:r>
        <w:r>
          <w:fldChar w:fldCharType="separate"/>
        </w:r>
        <w:r>
          <w:t>28</w:t>
        </w:r>
        <w:r>
          <w:fldChar w:fldCharType="end"/>
        </w:r>
      </w:hyperlink>
    </w:p>
    <w:p>
      <w:pPr>
        <w:pStyle w:val="TOC2"/>
        <w:tabs>
          <w:tab w:val="left" w:pos="1260"/>
          <w:tab w:val="right" w:leader="dot" w:pos="8296"/>
        </w:tabs>
        <w:ind w:left="640"/>
        <w:rPr>
          <w:rFonts w:eastAsiaTheme="minorEastAsia"/>
          <w:sz w:val="21"/>
        </w:rPr>
      </w:pPr>
      <w:hyperlink w:anchor="_Toc46048087" w:history="1">
        <w:r>
          <w:rPr>
            <w:rStyle w:val="Hyperlink"/>
          </w:rPr>
          <w:t>7.3</w:t>
        </w:r>
        <w:r>
          <w:rPr>
            <w:rFonts w:eastAsiaTheme="minorEastAsia"/>
            <w:sz w:val="21"/>
          </w:rPr>
          <w:tab/>
        </w:r>
        <w:r>
          <w:rPr>
            <w:rStyle w:val="Hyperlink"/>
          </w:rPr>
          <w:t>队伍保障</w:t>
        </w:r>
        <w:r>
          <w:tab/>
        </w:r>
        <w:r>
          <w:fldChar w:fldCharType="begin"/>
        </w:r>
        <w:r>
          <w:instrText xml:space="preserve"> PAGEREF _Toc46048087 \h </w:instrText>
        </w:r>
        <w:r>
          <w:fldChar w:fldCharType="separate"/>
        </w:r>
        <w:r>
          <w:t>29</w:t>
        </w:r>
        <w:r>
          <w:fldChar w:fldCharType="end"/>
        </w:r>
      </w:hyperlink>
    </w:p>
    <w:p>
      <w:pPr>
        <w:pStyle w:val="TOC2"/>
        <w:tabs>
          <w:tab w:val="left" w:pos="1260"/>
          <w:tab w:val="right" w:leader="dot" w:pos="8296"/>
        </w:tabs>
        <w:ind w:left="640"/>
        <w:rPr>
          <w:rFonts w:eastAsiaTheme="minorEastAsia"/>
          <w:sz w:val="21"/>
        </w:rPr>
      </w:pPr>
      <w:hyperlink w:anchor="_Toc46048088" w:history="1">
        <w:r>
          <w:rPr>
            <w:rStyle w:val="Hyperlink"/>
          </w:rPr>
          <w:t>7.4</w:t>
        </w:r>
        <w:r>
          <w:rPr>
            <w:rFonts w:eastAsiaTheme="minorEastAsia"/>
            <w:sz w:val="21"/>
          </w:rPr>
          <w:tab/>
        </w:r>
        <w:r>
          <w:rPr>
            <w:rStyle w:val="Hyperlink"/>
          </w:rPr>
          <w:t>科技保障</w:t>
        </w:r>
        <w:r>
          <w:tab/>
        </w:r>
        <w:r>
          <w:fldChar w:fldCharType="begin"/>
        </w:r>
        <w:r>
          <w:instrText xml:space="preserve"> PAGEREF _Toc46048088 \h </w:instrText>
        </w:r>
        <w:r>
          <w:fldChar w:fldCharType="separate"/>
        </w:r>
        <w:r>
          <w:t>30</w:t>
        </w:r>
        <w:r>
          <w:fldChar w:fldCharType="end"/>
        </w:r>
      </w:hyperlink>
    </w:p>
    <w:p>
      <w:pPr>
        <w:pStyle w:val="TOC2"/>
        <w:tabs>
          <w:tab w:val="left" w:pos="1260"/>
          <w:tab w:val="right" w:leader="dot" w:pos="8296"/>
        </w:tabs>
        <w:ind w:left="640"/>
        <w:rPr>
          <w:rFonts w:eastAsiaTheme="minorEastAsia"/>
          <w:sz w:val="21"/>
        </w:rPr>
      </w:pPr>
      <w:hyperlink w:anchor="_Toc46048089" w:history="1">
        <w:r>
          <w:rPr>
            <w:rStyle w:val="Hyperlink"/>
          </w:rPr>
          <w:t>7.5</w:t>
        </w:r>
        <w:r>
          <w:rPr>
            <w:rFonts w:eastAsiaTheme="minorEastAsia"/>
            <w:sz w:val="21"/>
          </w:rPr>
          <w:tab/>
        </w:r>
        <w:r>
          <w:rPr>
            <w:rStyle w:val="Hyperlink"/>
          </w:rPr>
          <w:t>通信和信息</w:t>
        </w:r>
        <w:r>
          <w:rPr>
            <w:rStyle w:val="Hyperlink"/>
            <w:rFonts w:ascii="仿宋" w:hAnsi="仿宋" w:cs="仿宋"/>
            <w:kern w:val="0"/>
          </w:rPr>
          <w:t>保障</w:t>
        </w:r>
        <w:r>
          <w:tab/>
        </w:r>
        <w:r>
          <w:fldChar w:fldCharType="begin"/>
        </w:r>
        <w:r>
          <w:instrText xml:space="preserve"> PAGEREF _Toc46048089 \h </w:instrText>
        </w:r>
        <w:r>
          <w:fldChar w:fldCharType="separate"/>
        </w:r>
        <w:r>
          <w:t>30</w:t>
        </w:r>
        <w:r>
          <w:fldChar w:fldCharType="end"/>
        </w:r>
      </w:hyperlink>
    </w:p>
    <w:p>
      <w:pPr>
        <w:pStyle w:val="TOC2"/>
        <w:tabs>
          <w:tab w:val="left" w:pos="1260"/>
          <w:tab w:val="right" w:leader="dot" w:pos="8296"/>
        </w:tabs>
        <w:ind w:left="640"/>
        <w:rPr>
          <w:rFonts w:eastAsiaTheme="minorEastAsia"/>
          <w:sz w:val="21"/>
        </w:rPr>
      </w:pPr>
      <w:hyperlink w:anchor="_Toc46048090" w:history="1">
        <w:r>
          <w:rPr>
            <w:rStyle w:val="Hyperlink"/>
          </w:rPr>
          <w:t>7.6</w:t>
        </w:r>
        <w:r>
          <w:rPr>
            <w:rFonts w:eastAsiaTheme="minorEastAsia"/>
            <w:sz w:val="21"/>
          </w:rPr>
          <w:tab/>
        </w:r>
        <w:r>
          <w:rPr>
            <w:rStyle w:val="Hyperlink"/>
          </w:rPr>
          <w:t>装备和设施保障</w:t>
        </w:r>
        <w:r>
          <w:tab/>
        </w:r>
        <w:r>
          <w:fldChar w:fldCharType="begin"/>
        </w:r>
        <w:r>
          <w:instrText xml:space="preserve"> PAGEREF _Toc46048090 \h </w:instrText>
        </w:r>
        <w:r>
          <w:fldChar w:fldCharType="separate"/>
        </w:r>
        <w:r>
          <w:t>30</w:t>
        </w:r>
        <w:r>
          <w:fldChar w:fldCharType="end"/>
        </w:r>
      </w:hyperlink>
    </w:p>
    <w:p>
      <w:pPr>
        <w:pStyle w:val="TOC2"/>
        <w:tabs>
          <w:tab w:val="left" w:pos="1260"/>
          <w:tab w:val="right" w:leader="dot" w:pos="8296"/>
        </w:tabs>
        <w:ind w:left="640"/>
        <w:rPr>
          <w:rFonts w:eastAsiaTheme="minorEastAsia"/>
          <w:sz w:val="21"/>
        </w:rPr>
      </w:pPr>
      <w:hyperlink w:anchor="_Toc46048091" w:history="1">
        <w:r>
          <w:rPr>
            <w:rStyle w:val="Hyperlink"/>
          </w:rPr>
          <w:t>7.7</w:t>
        </w:r>
        <w:r>
          <w:rPr>
            <w:rFonts w:eastAsiaTheme="minorEastAsia"/>
            <w:sz w:val="21"/>
          </w:rPr>
          <w:tab/>
        </w:r>
        <w:r>
          <w:rPr>
            <w:rStyle w:val="Hyperlink"/>
          </w:rPr>
          <w:t>社会动员保障</w:t>
        </w:r>
        <w:r>
          <w:tab/>
        </w:r>
        <w:r>
          <w:fldChar w:fldCharType="begin"/>
        </w:r>
        <w:r>
          <w:instrText xml:space="preserve"> PAGEREF _Toc46048091 \h </w:instrText>
        </w:r>
        <w:r>
          <w:fldChar w:fldCharType="separate"/>
        </w:r>
        <w:r>
          <w:t>31</w:t>
        </w:r>
        <w:r>
          <w:fldChar w:fldCharType="end"/>
        </w:r>
      </w:hyperlink>
    </w:p>
    <w:p>
      <w:pPr>
        <w:pStyle w:val="TOC2"/>
        <w:tabs>
          <w:tab w:val="left" w:pos="1260"/>
          <w:tab w:val="right" w:leader="dot" w:pos="8296"/>
        </w:tabs>
        <w:ind w:left="640"/>
        <w:rPr>
          <w:rFonts w:eastAsiaTheme="minorEastAsia"/>
          <w:sz w:val="21"/>
        </w:rPr>
      </w:pPr>
      <w:hyperlink w:anchor="_Toc46048092" w:history="1">
        <w:r>
          <w:rPr>
            <w:rStyle w:val="Hyperlink"/>
          </w:rPr>
          <w:t>7.8</w:t>
        </w:r>
        <w:r>
          <w:rPr>
            <w:rFonts w:eastAsiaTheme="minorEastAsia"/>
            <w:sz w:val="21"/>
          </w:rPr>
          <w:tab/>
        </w:r>
        <w:r>
          <w:rPr>
            <w:rStyle w:val="Hyperlink"/>
          </w:rPr>
          <w:t>宣传和培训</w:t>
        </w:r>
        <w:r>
          <w:tab/>
        </w:r>
        <w:r>
          <w:fldChar w:fldCharType="begin"/>
        </w:r>
        <w:r>
          <w:instrText xml:space="preserve"> PAGEREF _Toc46048092 \h </w:instrText>
        </w:r>
        <w:r>
          <w:fldChar w:fldCharType="separate"/>
        </w:r>
        <w:r>
          <w:t>31</w:t>
        </w:r>
        <w:r>
          <w:fldChar w:fldCharType="end"/>
        </w:r>
      </w:hyperlink>
    </w:p>
    <w:p>
      <w:pPr>
        <w:pStyle w:val="TOC1"/>
        <w:tabs>
          <w:tab w:val="left" w:pos="840"/>
          <w:tab w:val="right" w:leader="dot" w:pos="8296"/>
        </w:tabs>
        <w:rPr>
          <w:rFonts w:eastAsiaTheme="minorEastAsia"/>
          <w:b w:val="0"/>
          <w:sz w:val="21"/>
        </w:rPr>
      </w:pPr>
      <w:hyperlink w:anchor="_Toc46048093" w:history="1">
        <w:r>
          <w:rPr>
            <w:rStyle w:val="Hyperlink"/>
            <w:rFonts w:ascii="宋体" w:hAnsi="宋体"/>
          </w:rPr>
          <w:t>8</w:t>
        </w:r>
        <w:r>
          <w:rPr>
            <w:rFonts w:eastAsiaTheme="minorEastAsia"/>
            <w:b w:val="0"/>
            <w:sz w:val="21"/>
          </w:rPr>
          <w:tab/>
        </w:r>
        <w:r>
          <w:rPr>
            <w:rStyle w:val="Hyperlink"/>
          </w:rPr>
          <w:t>附则</w:t>
        </w:r>
        <w:r>
          <w:tab/>
        </w:r>
        <w:r>
          <w:fldChar w:fldCharType="begin"/>
        </w:r>
        <w:r>
          <w:instrText xml:space="preserve"> PAGEREF _Toc46048093 \h </w:instrText>
        </w:r>
        <w:r>
          <w:fldChar w:fldCharType="separate"/>
        </w:r>
        <w:r>
          <w:t>33</w:t>
        </w:r>
        <w:r>
          <w:fldChar w:fldCharType="end"/>
        </w:r>
      </w:hyperlink>
    </w:p>
    <w:p>
      <w:pPr>
        <w:pStyle w:val="TOC2"/>
        <w:tabs>
          <w:tab w:val="left" w:pos="1260"/>
          <w:tab w:val="right" w:leader="dot" w:pos="8296"/>
        </w:tabs>
        <w:ind w:left="640"/>
        <w:rPr>
          <w:rFonts w:eastAsiaTheme="minorEastAsia"/>
          <w:sz w:val="21"/>
        </w:rPr>
      </w:pPr>
      <w:hyperlink w:anchor="_Toc46048094" w:history="1">
        <w:r>
          <w:rPr>
            <w:rStyle w:val="Hyperlink"/>
          </w:rPr>
          <w:t>8.1</w:t>
        </w:r>
        <w:r>
          <w:rPr>
            <w:rFonts w:eastAsiaTheme="minorEastAsia"/>
            <w:sz w:val="21"/>
          </w:rPr>
          <w:tab/>
        </w:r>
        <w:r>
          <w:rPr>
            <w:rStyle w:val="Hyperlink"/>
          </w:rPr>
          <w:t>术语解释</w:t>
        </w:r>
        <w:r>
          <w:tab/>
        </w:r>
        <w:r>
          <w:fldChar w:fldCharType="begin"/>
        </w:r>
        <w:r>
          <w:instrText xml:space="preserve"> PAGEREF _Toc46048094 \h </w:instrText>
        </w:r>
        <w:r>
          <w:fldChar w:fldCharType="separate"/>
        </w:r>
        <w:r>
          <w:t>33</w:t>
        </w:r>
        <w:r>
          <w:fldChar w:fldCharType="end"/>
        </w:r>
      </w:hyperlink>
    </w:p>
    <w:p>
      <w:pPr>
        <w:pStyle w:val="TOC2"/>
        <w:tabs>
          <w:tab w:val="left" w:pos="1260"/>
          <w:tab w:val="right" w:leader="dot" w:pos="8296"/>
        </w:tabs>
        <w:ind w:left="640"/>
        <w:rPr>
          <w:rFonts w:eastAsiaTheme="minorEastAsia"/>
          <w:sz w:val="21"/>
        </w:rPr>
      </w:pPr>
      <w:hyperlink w:anchor="_Toc46048095" w:history="1">
        <w:r>
          <w:rPr>
            <w:rStyle w:val="Hyperlink"/>
          </w:rPr>
          <w:t>8.2</w:t>
        </w:r>
        <w:r>
          <w:rPr>
            <w:rFonts w:eastAsiaTheme="minorEastAsia"/>
            <w:sz w:val="21"/>
          </w:rPr>
          <w:tab/>
        </w:r>
        <w:r>
          <w:rPr>
            <w:rStyle w:val="Hyperlink"/>
          </w:rPr>
          <w:t>预案演练</w:t>
        </w:r>
        <w:r>
          <w:tab/>
        </w:r>
        <w:r>
          <w:fldChar w:fldCharType="begin"/>
        </w:r>
        <w:r>
          <w:instrText xml:space="preserve"> PAGEREF _Toc46048095 \h </w:instrText>
        </w:r>
        <w:r>
          <w:fldChar w:fldCharType="separate"/>
        </w:r>
        <w:r>
          <w:t>33</w:t>
        </w:r>
        <w:r>
          <w:fldChar w:fldCharType="end"/>
        </w:r>
      </w:hyperlink>
    </w:p>
    <w:p>
      <w:pPr>
        <w:pStyle w:val="TOC2"/>
        <w:tabs>
          <w:tab w:val="left" w:pos="1260"/>
          <w:tab w:val="right" w:leader="dot" w:pos="8296"/>
        </w:tabs>
        <w:ind w:left="640"/>
        <w:rPr>
          <w:rFonts w:eastAsiaTheme="minorEastAsia"/>
          <w:sz w:val="21"/>
        </w:rPr>
      </w:pPr>
      <w:hyperlink w:anchor="_Toc46048096" w:history="1">
        <w:r>
          <w:rPr>
            <w:rStyle w:val="Hyperlink"/>
          </w:rPr>
          <w:t>8.3</w:t>
        </w:r>
        <w:r>
          <w:rPr>
            <w:rFonts w:eastAsiaTheme="minorEastAsia"/>
            <w:sz w:val="21"/>
          </w:rPr>
          <w:tab/>
        </w:r>
        <w:r>
          <w:rPr>
            <w:rStyle w:val="Hyperlink"/>
          </w:rPr>
          <w:t>预案管理</w:t>
        </w:r>
        <w:r>
          <w:tab/>
        </w:r>
        <w:r>
          <w:fldChar w:fldCharType="begin"/>
        </w:r>
        <w:r>
          <w:instrText xml:space="preserve"> PAGEREF _Toc46048096 \h </w:instrText>
        </w:r>
        <w:r>
          <w:fldChar w:fldCharType="separate"/>
        </w:r>
        <w:r>
          <w:t>33</w:t>
        </w:r>
        <w:r>
          <w:fldChar w:fldCharType="end"/>
        </w:r>
      </w:hyperlink>
    </w:p>
    <w:p>
      <w:pPr>
        <w:pStyle w:val="TOC2"/>
        <w:tabs>
          <w:tab w:val="left" w:pos="1260"/>
          <w:tab w:val="right" w:leader="dot" w:pos="8296"/>
        </w:tabs>
        <w:ind w:left="640"/>
        <w:rPr>
          <w:rFonts w:eastAsiaTheme="minorEastAsia"/>
          <w:sz w:val="21"/>
        </w:rPr>
      </w:pPr>
      <w:hyperlink w:anchor="_Toc46048097" w:history="1">
        <w:r>
          <w:rPr>
            <w:rStyle w:val="Hyperlink"/>
          </w:rPr>
          <w:t>8.4</w:t>
        </w:r>
        <w:r>
          <w:rPr>
            <w:rFonts w:eastAsiaTheme="minorEastAsia"/>
            <w:sz w:val="21"/>
          </w:rPr>
          <w:tab/>
        </w:r>
        <w:r>
          <w:rPr>
            <w:rStyle w:val="Hyperlink"/>
          </w:rPr>
          <w:t>预案解释</w:t>
        </w:r>
        <w:r>
          <w:tab/>
        </w:r>
        <w:r>
          <w:fldChar w:fldCharType="begin"/>
        </w:r>
        <w:r>
          <w:instrText xml:space="preserve"> PAGEREF _Toc46048097 \h </w:instrText>
        </w:r>
        <w:r>
          <w:fldChar w:fldCharType="separate"/>
        </w:r>
        <w:r>
          <w:t>33</w:t>
        </w:r>
        <w:r>
          <w:fldChar w:fldCharType="end"/>
        </w:r>
      </w:hyperlink>
    </w:p>
    <w:p>
      <w:pPr>
        <w:pStyle w:val="TOC2"/>
        <w:tabs>
          <w:tab w:val="left" w:pos="1260"/>
          <w:tab w:val="right" w:leader="dot" w:pos="8296"/>
        </w:tabs>
        <w:ind w:left="640"/>
        <w:rPr>
          <w:rFonts w:eastAsiaTheme="minorEastAsia"/>
          <w:sz w:val="21"/>
        </w:rPr>
      </w:pPr>
      <w:hyperlink w:anchor="_Toc46048098" w:history="1">
        <w:r>
          <w:rPr>
            <w:rStyle w:val="Hyperlink"/>
          </w:rPr>
          <w:t>8.5</w:t>
        </w:r>
        <w:r>
          <w:rPr>
            <w:rFonts w:eastAsiaTheme="minorEastAsia"/>
            <w:sz w:val="21"/>
          </w:rPr>
          <w:tab/>
        </w:r>
        <w:r>
          <w:rPr>
            <w:rStyle w:val="Hyperlink"/>
          </w:rPr>
          <w:t>预案实施时间</w:t>
        </w:r>
        <w:r>
          <w:tab/>
        </w:r>
        <w:r>
          <w:fldChar w:fldCharType="begin"/>
        </w:r>
        <w:r>
          <w:instrText xml:space="preserve"> PAGEREF _Toc46048098 \h </w:instrText>
        </w:r>
        <w:r>
          <w:fldChar w:fldCharType="separate"/>
        </w:r>
        <w:r>
          <w:t>34</w:t>
        </w:r>
        <w:r>
          <w:fldChar w:fldCharType="end"/>
        </w:r>
      </w:hyperlink>
    </w:p>
    <w:p>
      <w:pPr>
        <w:pStyle w:val="TOC1"/>
        <w:tabs>
          <w:tab w:val="right" w:leader="dot" w:pos="8296"/>
        </w:tabs>
        <w:rPr>
          <w:rFonts w:eastAsiaTheme="minorEastAsia"/>
          <w:b w:val="0"/>
          <w:sz w:val="21"/>
        </w:rPr>
      </w:pPr>
      <w:hyperlink w:anchor="_Toc46048099" w:history="1">
        <w:r>
          <w:rPr>
            <w:rStyle w:val="Hyperlink"/>
          </w:rPr>
          <w:t>附件</w:t>
        </w:r>
        <w:r>
          <w:tab/>
        </w:r>
        <w:r>
          <w:fldChar w:fldCharType="begin"/>
        </w:r>
        <w:r>
          <w:instrText xml:space="preserve"> PAGEREF _Toc46048099 \h </w:instrText>
        </w:r>
        <w:r>
          <w:fldChar w:fldCharType="separate"/>
        </w:r>
        <w:r>
          <w:t>35</w:t>
        </w:r>
        <w:r>
          <w:fldChar w:fldCharType="end"/>
        </w:r>
      </w:hyperlink>
    </w:p>
    <w:p>
      <w:pPr>
        <w:pStyle w:val="TOC2"/>
        <w:tabs>
          <w:tab w:val="right" w:leader="dot" w:pos="8296"/>
        </w:tabs>
        <w:ind w:left="640"/>
        <w:rPr>
          <w:rFonts w:eastAsiaTheme="minorEastAsia"/>
          <w:sz w:val="21"/>
        </w:rPr>
      </w:pPr>
      <w:hyperlink w:anchor="_Toc46048100" w:history="1">
        <w:r>
          <w:rPr>
            <w:rStyle w:val="Hyperlink"/>
          </w:rPr>
          <w:t>附件1 自然灾害救助常用联系电话</w:t>
        </w:r>
        <w:r>
          <w:tab/>
        </w:r>
        <w:r>
          <w:fldChar w:fldCharType="begin"/>
        </w:r>
        <w:r>
          <w:instrText xml:space="preserve"> PAGEREF _Toc46048100 \h </w:instrText>
        </w:r>
        <w:r>
          <w:fldChar w:fldCharType="separate"/>
        </w:r>
        <w:r>
          <w:t>35</w:t>
        </w:r>
        <w:r>
          <w:fldChar w:fldCharType="end"/>
        </w:r>
      </w:hyperlink>
    </w:p>
    <w:p>
      <w:pPr>
        <w:widowControl/>
        <w:textAlignment w:val="baseline"/>
        <w:rPr>
          <w:rFonts w:ascii="方正小标宋_GBK" w:eastAsia="方正小标宋_GBK" w:hAnsi="方正小标宋_GBK" w:cs="方正小标宋_GBK"/>
          <w:snapToGrid w:val="0"/>
          <w:sz w:val="28"/>
          <w:szCs w:val="28"/>
        </w:rPr>
      </w:pPr>
      <w:r>
        <w:rPr>
          <w:rFonts w:ascii="方正小标宋_GBK" w:eastAsia="方正小标宋_GBK" w:hAnsi="方正小标宋_GBK" w:cs="方正小标宋_GBK"/>
          <w:b/>
          <w:snapToGrid w:val="0"/>
          <w:sz w:val="28"/>
          <w:szCs w:val="28"/>
        </w:rPr>
        <w:fldChar w:fldCharType="end"/>
      </w:r>
    </w:p>
    <w:p>
      <w:pPr>
        <w:widowControl/>
        <w:jc w:val="center"/>
        <w:textAlignment w:val="baseline"/>
        <w:rPr>
          <w:rFonts w:ascii="方正小标宋_GBK" w:eastAsia="方正小标宋_GBK" w:hAnsi="方正小标宋_GBK" w:cs="方正小标宋_GBK"/>
          <w:snapToGrid w:val="0"/>
          <w:sz w:val="44"/>
          <w:szCs w:val="44"/>
        </w:rPr>
      </w:pPr>
    </w:p>
    <w:p>
      <w:pPr>
        <w:widowControl/>
        <w:jc w:val="center"/>
        <w:textAlignment w:val="baseline"/>
        <w:rPr>
          <w:rFonts w:ascii="方正小标宋_GBK" w:eastAsia="方正小标宋_GBK" w:hAnsi="方正小标宋_GBK" w:cs="方正小标宋_GBK"/>
          <w:snapToGrid w:val="0"/>
          <w:sz w:val="44"/>
          <w:szCs w:val="44"/>
        </w:rPr>
        <w:sectPr>
          <w:footerReference w:type="default" r:id="rId8"/>
          <w:type w:val="nextPage"/>
          <w:pgSz w:w="11906" w:h="16838"/>
          <w:pgMar w:top="1440" w:right="1800" w:bottom="1440" w:left="1800" w:header="851" w:footer="992" w:gutter="0"/>
          <w:pgNumType w:start="4"/>
          <w:cols w:num="1" w:space="425"/>
          <w:titlePg w:val="0"/>
          <w:docGrid w:type="lines" w:linePitch="312" w:charSpace="0"/>
        </w:sectPr>
      </w:pPr>
    </w:p>
    <w:p>
      <w:pPr>
        <w:pStyle w:val="Heading1"/>
      </w:pPr>
      <w:bookmarkStart w:id="1" w:name="_Toc35098737"/>
      <w:bookmarkStart w:id="2" w:name="_Toc46048061"/>
      <w:r>
        <w:rPr>
          <w:rFonts w:hint="eastAsia"/>
        </w:rPr>
        <w:t>总则</w:t>
      </w:r>
      <w:bookmarkEnd w:id="1"/>
      <w:bookmarkEnd w:id="2"/>
    </w:p>
    <w:p>
      <w:pPr>
        <w:pStyle w:val="Heading2"/>
      </w:pPr>
      <w:bookmarkStart w:id="3" w:name="_Toc35098738"/>
      <w:bookmarkStart w:id="4" w:name="_Toc46048062"/>
      <w:r>
        <w:rPr>
          <w:rFonts w:hint="eastAsia"/>
        </w:rPr>
        <w:t>编制目的</w:t>
      </w:r>
      <w:bookmarkEnd w:id="3"/>
      <w:bookmarkEnd w:id="4"/>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建立健全我县应对突发自然灾害救助体系和运行机制，规范应急救助行为，提高应急救助能力，最大程度地减少人民群众生命和财产损失，确保受灾人员基本生活，维护灾区社会稳定。</w:t>
      </w:r>
    </w:p>
    <w:p>
      <w:pPr>
        <w:pStyle w:val="Heading2"/>
      </w:pPr>
      <w:bookmarkStart w:id="5" w:name="_Toc46048063"/>
      <w:bookmarkStart w:id="6" w:name="_Toc35098739"/>
      <w:r>
        <w:rPr>
          <w:rFonts w:hint="eastAsia"/>
        </w:rPr>
        <w:t>编制依据</w:t>
      </w:r>
      <w:bookmarkEnd w:id="5"/>
      <w:bookmarkEnd w:id="6"/>
    </w:p>
    <w:p>
      <w:pPr>
        <w:pStyle w:val="ListParagraph"/>
        <w:numPr>
          <w:ilvl w:val="0"/>
          <w:numId w:val="4"/>
        </w:numPr>
        <w:adjustRightInd w:val="0"/>
        <w:snapToGrid w:val="0"/>
        <w:spacing w:line="590" w:lineRule="exact"/>
        <w:ind w:left="0" w:firstLine="640"/>
        <w:rPr>
          <w:rFonts w:ascii="仿宋" w:hAnsi="仿宋" w:cs="仿宋"/>
          <w:kern w:val="0"/>
          <w:szCs w:val="32"/>
        </w:rPr>
      </w:pPr>
      <w:r>
        <w:rPr>
          <w:rFonts w:ascii="仿宋" w:hAnsi="仿宋" w:cs="仿宋" w:hint="eastAsia"/>
          <w:kern w:val="0"/>
          <w:szCs w:val="32"/>
        </w:rPr>
        <w:t>《中华人民共和国突发事件应对法》</w:t>
      </w:r>
      <w:bookmarkStart w:id="7" w:name="_Hlk44431873"/>
      <w:r>
        <w:rPr>
          <w:rFonts w:ascii="仿宋" w:hAnsi="仿宋" w:cs="仿宋" w:hint="eastAsia"/>
          <w:kern w:val="0"/>
          <w:szCs w:val="32"/>
        </w:rPr>
        <w:t>（中华人民共和国主席令第六十九号）</w:t>
      </w:r>
      <w:bookmarkEnd w:id="7"/>
      <w:r>
        <w:rPr>
          <w:rFonts w:ascii="仿宋" w:hAnsi="仿宋" w:cs="仿宋" w:hint="eastAsia"/>
          <w:kern w:val="0"/>
          <w:szCs w:val="32"/>
        </w:rPr>
        <w:t>；</w:t>
      </w:r>
    </w:p>
    <w:p>
      <w:pPr>
        <w:pStyle w:val="ListParagraph"/>
        <w:numPr>
          <w:ilvl w:val="0"/>
          <w:numId w:val="4"/>
        </w:numPr>
        <w:adjustRightInd w:val="0"/>
        <w:snapToGrid w:val="0"/>
        <w:spacing w:line="590" w:lineRule="exact"/>
        <w:ind w:left="0" w:firstLine="640"/>
        <w:rPr>
          <w:rFonts w:ascii="仿宋" w:hAnsi="仿宋" w:cs="仿宋"/>
          <w:kern w:val="0"/>
          <w:szCs w:val="32"/>
        </w:rPr>
      </w:pPr>
      <w:r>
        <w:rPr>
          <w:rFonts w:ascii="仿宋" w:hAnsi="仿宋" w:cs="仿宋" w:hint="eastAsia"/>
          <w:kern w:val="0"/>
          <w:szCs w:val="32"/>
        </w:rPr>
        <w:t>《中华人民共和国防洪法》</w:t>
      </w:r>
      <w:r>
        <w:rPr>
          <w:rFonts w:ascii="仿宋" w:hAnsi="仿宋" w:cs="仿宋_GB2312" w:hint="eastAsia"/>
          <w:snapToGrid w:val="0"/>
          <w:kern w:val="0"/>
          <w:szCs w:val="32"/>
        </w:rPr>
        <w:t>（2016年7月修正）；</w:t>
      </w:r>
    </w:p>
    <w:p>
      <w:pPr>
        <w:pStyle w:val="ListParagraph"/>
        <w:numPr>
          <w:ilvl w:val="0"/>
          <w:numId w:val="4"/>
        </w:numPr>
        <w:adjustRightInd w:val="0"/>
        <w:snapToGrid w:val="0"/>
        <w:spacing w:line="590" w:lineRule="exact"/>
        <w:ind w:left="0" w:firstLine="640"/>
        <w:rPr>
          <w:rFonts w:ascii="仿宋" w:hAnsi="仿宋" w:cs="仿宋"/>
          <w:kern w:val="0"/>
          <w:szCs w:val="32"/>
        </w:rPr>
      </w:pPr>
      <w:r>
        <w:rPr>
          <w:rFonts w:ascii="仿宋" w:hAnsi="仿宋" w:cs="仿宋" w:hint="eastAsia"/>
          <w:kern w:val="0"/>
          <w:szCs w:val="32"/>
        </w:rPr>
        <w:t>《中华人民共和国防震减灾法》（</w:t>
      </w:r>
      <w:r>
        <w:rPr>
          <w:rFonts w:ascii="仿宋" w:hAnsi="仿宋" w:cs="仿宋"/>
          <w:kern w:val="0"/>
          <w:szCs w:val="32"/>
        </w:rPr>
        <w:t>2008年12</w:t>
      </w:r>
      <w:r>
        <w:rPr>
          <w:rFonts w:ascii="仿宋" w:hAnsi="仿宋" w:cs="仿宋" w:hint="eastAsia"/>
          <w:kern w:val="0"/>
          <w:szCs w:val="32"/>
        </w:rPr>
        <w:t>修订）；</w:t>
      </w:r>
    </w:p>
    <w:p>
      <w:pPr>
        <w:pStyle w:val="ListParagraph"/>
        <w:numPr>
          <w:ilvl w:val="0"/>
          <w:numId w:val="4"/>
        </w:numPr>
        <w:adjustRightInd w:val="0"/>
        <w:snapToGrid w:val="0"/>
        <w:spacing w:line="590" w:lineRule="exact"/>
        <w:ind w:left="0" w:firstLine="640"/>
        <w:rPr>
          <w:rFonts w:ascii="仿宋" w:hAnsi="仿宋" w:cs="仿宋"/>
          <w:kern w:val="0"/>
          <w:szCs w:val="32"/>
        </w:rPr>
      </w:pPr>
      <w:r>
        <w:rPr>
          <w:rFonts w:ascii="仿宋" w:hAnsi="仿宋" w:cs="仿宋" w:hint="eastAsia"/>
          <w:kern w:val="0"/>
          <w:szCs w:val="32"/>
        </w:rPr>
        <w:t>《中华人民共和国气象法》</w:t>
      </w:r>
      <w:r>
        <w:rPr>
          <w:rFonts w:ascii="仿宋" w:hAnsi="仿宋" w:cs="仿宋_GB2312" w:hint="eastAsia"/>
          <w:snapToGrid w:val="0"/>
          <w:kern w:val="0"/>
          <w:szCs w:val="32"/>
        </w:rPr>
        <w:t>（2016年11月修正）；</w:t>
      </w:r>
    </w:p>
    <w:p>
      <w:pPr>
        <w:pStyle w:val="ListParagraph"/>
        <w:numPr>
          <w:ilvl w:val="0"/>
          <w:numId w:val="4"/>
        </w:numPr>
        <w:adjustRightInd w:val="0"/>
        <w:snapToGrid w:val="0"/>
        <w:spacing w:line="590" w:lineRule="exact"/>
        <w:ind w:left="0" w:firstLine="640"/>
        <w:rPr>
          <w:rFonts w:ascii="仿宋" w:hAnsi="仿宋" w:cs="仿宋"/>
          <w:kern w:val="0"/>
          <w:szCs w:val="32"/>
        </w:rPr>
      </w:pPr>
      <w:r>
        <w:rPr>
          <w:rFonts w:ascii="仿宋" w:hAnsi="仿宋" w:cs="仿宋" w:hint="eastAsia"/>
          <w:kern w:val="0"/>
          <w:szCs w:val="32"/>
        </w:rPr>
        <w:t>《中华人民共和国慈善法》（中华人民共和国主席令第四十三号）；</w:t>
      </w:r>
    </w:p>
    <w:p>
      <w:pPr>
        <w:pStyle w:val="ListParagraph"/>
        <w:numPr>
          <w:ilvl w:val="0"/>
          <w:numId w:val="4"/>
        </w:numPr>
        <w:adjustRightInd w:val="0"/>
        <w:snapToGrid w:val="0"/>
        <w:spacing w:line="590" w:lineRule="exact"/>
        <w:ind w:left="0" w:firstLine="640"/>
        <w:rPr>
          <w:rFonts w:ascii="仿宋" w:hAnsi="仿宋" w:cs="仿宋"/>
          <w:kern w:val="0"/>
          <w:szCs w:val="32"/>
        </w:rPr>
      </w:pPr>
      <w:r>
        <w:rPr>
          <w:rFonts w:ascii="仿宋" w:hAnsi="仿宋" w:cs="仿宋" w:hint="eastAsia"/>
          <w:kern w:val="0"/>
          <w:szCs w:val="32"/>
        </w:rPr>
        <w:t>《中华人民共和国公益事业捐赠法》（</w:t>
      </w:r>
      <w:r>
        <w:rPr>
          <w:rFonts w:hint="eastAsia"/>
          <w:shd w:val="clear" w:color="auto" w:fill="FFFFFF"/>
        </w:rPr>
        <w:t>1999年9月施行</w:t>
      </w:r>
      <w:r>
        <w:rPr>
          <w:rFonts w:ascii="仿宋" w:hAnsi="仿宋" w:cs="仿宋" w:hint="eastAsia"/>
          <w:kern w:val="0"/>
          <w:szCs w:val="32"/>
        </w:rPr>
        <w:t>）</w:t>
      </w:r>
    </w:p>
    <w:p>
      <w:pPr>
        <w:pStyle w:val="ListParagraph"/>
        <w:numPr>
          <w:ilvl w:val="0"/>
          <w:numId w:val="4"/>
        </w:numPr>
        <w:adjustRightInd w:val="0"/>
        <w:snapToGrid w:val="0"/>
        <w:spacing w:line="590" w:lineRule="exact"/>
        <w:ind w:left="0" w:firstLine="640"/>
        <w:rPr>
          <w:rFonts w:ascii="仿宋" w:hAnsi="仿宋" w:cs="仿宋"/>
          <w:kern w:val="0"/>
          <w:szCs w:val="32"/>
        </w:rPr>
        <w:sectPr>
          <w:headerReference w:type="default" r:id="rId9"/>
          <w:footerReference w:type="default" r:id="rId10"/>
          <w:pgSz w:w="11906" w:h="16838"/>
          <w:pgMar w:top="1440" w:right="1800" w:bottom="1440" w:left="1800" w:header="851" w:footer="992" w:gutter="0"/>
          <w:pgNumType w:start="1"/>
          <w:cols w:num="1" w:space="425"/>
          <w:docGrid w:type="lines" w:linePitch="312" w:charSpace="0"/>
        </w:sectPr>
      </w:pPr>
      <w:r>
        <w:rPr>
          <w:rFonts w:ascii="仿宋" w:hAnsi="仿宋" w:cs="仿宋" w:hint="eastAsia"/>
          <w:kern w:val="0"/>
          <w:szCs w:val="32"/>
        </w:rPr>
        <w:t>《自然灾害救助条例》</w:t>
      </w:r>
      <w:hyperlink r:id="rId11" w:tgtFrame="_blank" w:history="1">
        <w:r>
          <w:rPr>
            <w:rFonts w:ascii="仿宋" w:hAnsi="仿宋" w:cs="仿宋" w:hint="eastAsia"/>
            <w:kern w:val="0"/>
            <w:szCs w:val="32"/>
          </w:rPr>
          <w:t>（国务院令第577号）</w:t>
        </w:r>
      </w:hyperlink>
      <w:r>
        <w:rPr>
          <w:rFonts w:ascii="仿宋" w:hAnsi="仿宋" w:cs="仿宋" w:hint="eastAsia"/>
          <w:kern w:val="0"/>
          <w:szCs w:val="32"/>
        </w:rPr>
        <w:t>；</w:t>
      </w:r>
    </w:p>
    <w:p>
      <w:pPr>
        <w:pStyle w:val="ListParagraph"/>
        <w:numPr>
          <w:ilvl w:val="0"/>
          <w:numId w:val="2"/>
        </w:numPr>
        <w:adjustRightInd w:val="0"/>
        <w:snapToGrid w:val="0"/>
        <w:spacing w:line="590" w:lineRule="exact"/>
        <w:ind w:left="0" w:firstLine="640"/>
        <w:rPr>
          <w:rFonts w:ascii="仿宋" w:hAnsi="仿宋" w:cs="仿宋"/>
          <w:kern w:val="0"/>
          <w:szCs w:val="32"/>
        </w:rPr>
      </w:pPr>
      <w:r>
        <w:rPr>
          <w:rFonts w:ascii="仿宋" w:hAnsi="仿宋" w:cs="仿宋" w:hint="eastAsia"/>
          <w:kern w:val="0"/>
          <w:szCs w:val="32"/>
        </w:rPr>
        <w:t>《国家自然灾害救助应急预案》（</w:t>
      </w:r>
      <w:r>
        <w:rPr>
          <w:rFonts w:ascii="仿宋" w:hAnsi="仿宋" w:cs="仿宋"/>
          <w:kern w:val="0"/>
          <w:szCs w:val="32"/>
        </w:rPr>
        <w:t>（2011年10月16日修订）</w:t>
      </w:r>
      <w:r>
        <w:rPr>
          <w:rFonts w:ascii="仿宋" w:hAnsi="仿宋" w:cs="仿宋" w:hint="eastAsia"/>
          <w:kern w:val="0"/>
          <w:szCs w:val="32"/>
        </w:rPr>
        <w:t>）</w:t>
      </w:r>
    </w:p>
    <w:p>
      <w:pPr>
        <w:pStyle w:val="ListParagraph"/>
        <w:numPr>
          <w:ilvl w:val="0"/>
          <w:numId w:val="2"/>
        </w:numPr>
        <w:adjustRightInd w:val="0"/>
        <w:snapToGrid w:val="0"/>
        <w:spacing w:line="590" w:lineRule="exact"/>
        <w:ind w:left="0" w:firstLine="640"/>
        <w:rPr>
          <w:rFonts w:ascii="Times New Roman" w:hAnsi="Times New Roman" w:cs="Times New Roman"/>
          <w:szCs w:val="32"/>
        </w:rPr>
      </w:pPr>
      <w:r>
        <w:rPr>
          <w:rFonts w:ascii="仿宋" w:hAnsi="仿宋" w:hint="eastAsia"/>
        </w:rPr>
        <w:t>《广西壮族自治区实施〈中华人民共和国突发事件应对法〉办法》(2013</w:t>
      </w:r>
      <w:r>
        <w:t>年3月28日广西壮族自治区第十二届人民代表大会常务委员会第二次会议通过)</w:t>
      </w:r>
      <w:r>
        <w:rPr>
          <w:rFonts w:hint="eastAsia"/>
        </w:rPr>
        <w:t>；</w:t>
      </w:r>
    </w:p>
    <w:p>
      <w:pPr>
        <w:pStyle w:val="ListParagraph"/>
        <w:numPr>
          <w:ilvl w:val="0"/>
          <w:numId w:val="2"/>
        </w:numPr>
        <w:adjustRightInd w:val="0"/>
        <w:snapToGrid w:val="0"/>
        <w:spacing w:line="590" w:lineRule="exact"/>
        <w:ind w:left="0" w:firstLine="640"/>
        <w:rPr>
          <w:rFonts w:ascii="仿宋" w:hAnsi="仿宋" w:cs="仿宋"/>
          <w:kern w:val="0"/>
          <w:szCs w:val="32"/>
        </w:rPr>
      </w:pPr>
      <w:r>
        <w:rPr>
          <w:rFonts w:ascii="仿宋" w:hAnsi="仿宋" w:cs="仿宋" w:hint="eastAsia"/>
          <w:kern w:val="0"/>
          <w:szCs w:val="32"/>
        </w:rPr>
        <w:t>《广西自然灾害救助应急预案》</w:t>
      </w:r>
      <w:r>
        <w:rPr>
          <w:rFonts w:ascii="仿宋" w:cs="仿宋" w:hint="eastAsia"/>
          <w:kern w:val="0"/>
          <w:szCs w:val="32"/>
        </w:rPr>
        <w:t>（桂政办函﹝2020﹞12号）。</w:t>
      </w:r>
    </w:p>
    <w:p>
      <w:pPr>
        <w:pStyle w:val="Heading2"/>
      </w:pPr>
      <w:bookmarkStart w:id="8" w:name="_Toc35098740"/>
      <w:bookmarkStart w:id="9" w:name="_Toc46048064"/>
      <w:r>
        <w:rPr>
          <w:rFonts w:hint="eastAsia"/>
        </w:rPr>
        <w:t>适用范围</w:t>
      </w:r>
      <w:bookmarkEnd w:id="8"/>
      <w:bookmarkEnd w:id="9"/>
    </w:p>
    <w:p>
      <w:pPr>
        <w:adjustRightInd w:val="0"/>
        <w:snapToGrid w:val="0"/>
        <w:spacing w:line="590" w:lineRule="exact"/>
        <w:ind w:firstLine="640" w:firstLineChars="200"/>
        <w:rPr>
          <w:rFonts w:ascii="仿宋" w:hAnsi="仿宋" w:cs="仿宋"/>
          <w:kern w:val="0"/>
          <w:szCs w:val="32"/>
        </w:rPr>
      </w:pPr>
      <w:r>
        <w:rPr>
          <w:rFonts w:ascii="仿宋" w:hAnsi="仿宋" w:cs="仿宋" w:hint="eastAsia"/>
          <w:spacing w:val="-4"/>
          <w:kern w:val="0"/>
          <w:szCs w:val="32"/>
        </w:rPr>
        <w:t>（1）本预案适用于</w:t>
      </w:r>
      <w:r>
        <w:rPr>
          <w:rFonts w:hint="eastAsia"/>
        </w:rPr>
        <w:t>本县行政区域内</w:t>
      </w:r>
      <w:r>
        <w:rPr>
          <w:rFonts w:ascii="仿宋" w:hAnsi="仿宋" w:cs="仿宋" w:hint="eastAsia"/>
          <w:spacing w:val="-4"/>
          <w:kern w:val="0"/>
          <w:szCs w:val="32"/>
        </w:rPr>
        <w:t>发生自然灾害的应急救助工</w:t>
      </w:r>
      <w:r>
        <w:rPr>
          <w:rFonts w:ascii="仿宋" w:hAnsi="仿宋" w:cs="仿宋" w:hint="eastAsia"/>
          <w:kern w:val="0"/>
          <w:szCs w:val="32"/>
        </w:rPr>
        <w:t>作。</w:t>
      </w:r>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w:t>
      </w:r>
      <w:r>
        <w:rPr>
          <w:rFonts w:ascii="仿宋" w:hAnsi="仿宋" w:cs="仿宋"/>
          <w:kern w:val="0"/>
          <w:szCs w:val="32"/>
        </w:rPr>
        <w:t>2</w:t>
      </w:r>
      <w:r>
        <w:rPr>
          <w:rFonts w:ascii="仿宋" w:hAnsi="仿宋" w:cs="仿宋" w:hint="eastAsia"/>
          <w:kern w:val="0"/>
          <w:szCs w:val="32"/>
        </w:rPr>
        <w:t>）发生其他类型突发事件，根据需要可参照本预案开展应急救助工作。</w:t>
      </w:r>
    </w:p>
    <w:p>
      <w:pPr>
        <w:pStyle w:val="Heading2"/>
      </w:pPr>
      <w:bookmarkStart w:id="10" w:name="_Toc46048065"/>
      <w:bookmarkStart w:id="11" w:name="_Toc35098741"/>
      <w:r>
        <w:rPr>
          <w:rFonts w:hint="eastAsia"/>
        </w:rPr>
        <w:t>工作原则</w:t>
      </w:r>
      <w:bookmarkEnd w:id="10"/>
      <w:bookmarkEnd w:id="11"/>
    </w:p>
    <w:p>
      <w:pPr>
        <w:adjustRightInd w:val="0"/>
        <w:snapToGrid w:val="0"/>
        <w:spacing w:line="590" w:lineRule="exact"/>
        <w:ind w:firstLine="640" w:firstLineChars="200"/>
        <w:rPr>
          <w:rFonts w:ascii="仿宋" w:hAnsi="仿宋" w:cs="仿宋"/>
          <w:kern w:val="0"/>
          <w:szCs w:val="32"/>
        </w:rPr>
        <w:sectPr>
          <w:headerReference w:type="default" r:id="rId12"/>
          <w:footerReference w:type="default" r:id="rId13"/>
          <w:type w:val="nextPage"/>
          <w:pgSz w:w="11906" w:h="16838"/>
          <w:pgMar w:top="1440" w:right="1800" w:bottom="1440" w:left="1800" w:header="851" w:footer="992" w:gutter="0"/>
          <w:pgNumType w:start="2"/>
          <w:cols w:num="1" w:space="425"/>
          <w:titlePg w:val="0"/>
          <w:docGrid w:type="lines" w:linePitch="312" w:charSpace="0"/>
        </w:sectPr>
      </w:pPr>
      <w:r>
        <w:rPr>
          <w:rFonts w:ascii="仿宋" w:hAnsi="仿宋" w:cs="仿宋" w:hint="eastAsia"/>
          <w:kern w:val="0"/>
          <w:szCs w:val="32"/>
        </w:rPr>
        <w:t>坚持以人民为中心，确保受灾人员基本生活；坚持统一领导、综合协调、分级负责、属地管理为主；政府主导、社会参与、群众自救，充分发挥基层群众自治组织和公益性社会组织的作用；坚持灾害防范、救援、救灾一体化，实现灾害全过程管理。</w:t>
      </w:r>
    </w:p>
    <w:p>
      <w:pPr>
        <w:pStyle w:val="Heading1"/>
      </w:pPr>
      <w:bookmarkStart w:id="12" w:name="_Toc35098742"/>
      <w:bookmarkStart w:id="13" w:name="_Toc46048066"/>
      <w:r>
        <w:rPr>
          <w:rFonts w:hint="eastAsia"/>
        </w:rPr>
        <w:t>组织指挥体系</w:t>
      </w:r>
      <w:bookmarkEnd w:id="12"/>
      <w:bookmarkEnd w:id="13"/>
    </w:p>
    <w:p>
      <w:pPr>
        <w:pStyle w:val="Heading2"/>
      </w:pPr>
      <w:bookmarkStart w:id="14" w:name="_Toc46048067"/>
      <w:bookmarkStart w:id="15" w:name="_Toc35098743"/>
      <w:r>
        <w:rPr>
          <w:rFonts w:hint="eastAsia"/>
        </w:rPr>
        <w:t>县组织指挥机构</w:t>
      </w:r>
      <w:bookmarkEnd w:id="14"/>
    </w:p>
    <w:bookmarkEnd w:id="15"/>
    <w:p>
      <w:pPr>
        <w:pStyle w:val="Heading3"/>
      </w:pPr>
      <w:bookmarkStart w:id="16" w:name="_Toc13770629"/>
      <w:bookmarkStart w:id="17" w:name="_Toc27044037"/>
      <w:bookmarkStart w:id="18" w:name="_Toc13770394"/>
      <w:r>
        <w:rPr>
          <w:rFonts w:hint="eastAsia"/>
        </w:rPr>
        <w:t>县</w:t>
      </w:r>
      <w:bookmarkEnd w:id="16"/>
      <w:bookmarkEnd w:id="17"/>
      <w:bookmarkEnd w:id="18"/>
      <w:r>
        <w:rPr>
          <w:rFonts w:hint="eastAsia"/>
        </w:rPr>
        <w:t>防灾减灾委员会</w:t>
      </w:r>
    </w:p>
    <w:p>
      <w:pPr>
        <w:ind w:firstLine="640"/>
        <w:rPr>
          <w:lang w:val="zh-CN"/>
        </w:rPr>
      </w:pPr>
      <w:r>
        <w:rPr>
          <w:rFonts w:hint="eastAsia"/>
          <w:lang w:val="zh-CN"/>
        </w:rPr>
        <w:t>县防灾减灾委员会（以下简称县防灾减灾委）为容县自然灾害救助应急综合协调机构，负责组织、领导全县的自然灾害救助工作，协调开展特别重大和重大自然灾害救助活动。</w:t>
      </w:r>
    </w:p>
    <w:p>
      <w:pPr>
        <w:ind w:firstLine="640"/>
        <w:rPr>
          <w:lang w:val="zh-CN"/>
        </w:rPr>
      </w:pPr>
      <w:r>
        <w:rPr>
          <w:rFonts w:hint="eastAsia"/>
          <w:lang w:val="zh-CN"/>
        </w:rPr>
        <w:t>县防灾减灾委成员单位按照各自职责做好全县的自然灾害救助相关工作。</w:t>
      </w:r>
    </w:p>
    <w:p>
      <w:pPr>
        <w:pStyle w:val="Heading3"/>
        <w:rPr>
          <w:rFonts w:ascii="等线" w:hAnsi="等线" w:cs="宋体"/>
        </w:rPr>
      </w:pPr>
      <w:r>
        <w:rPr>
          <w:rFonts w:hint="eastAsia"/>
        </w:rPr>
        <w:t>县减灾委人员组成</w:t>
      </w:r>
    </w:p>
    <w:p>
      <w:pPr>
        <w:ind w:firstLine="640"/>
        <w:rPr>
          <w:rFonts w:ascii="仿宋" w:hAnsi="仿宋"/>
          <w:bCs/>
        </w:rPr>
      </w:pPr>
      <w:r>
        <w:rPr>
          <w:rFonts w:ascii="仿宋" w:hAnsi="仿宋" w:hint="eastAsia"/>
          <w:bCs/>
        </w:rPr>
        <w:t>主  任：</w:t>
      </w:r>
      <w:r>
        <w:rPr>
          <w:rFonts w:ascii="仿宋" w:hAnsi="仿宋" w:hint="eastAsia"/>
          <w:bCs/>
          <w:kern w:val="0"/>
        </w:rPr>
        <w:t>县人民政府常务副县长</w:t>
      </w:r>
    </w:p>
    <w:p>
      <w:pPr>
        <w:spacing w:line="580" w:lineRule="exact"/>
        <w:ind w:firstLine="640" w:firstLineChars="200"/>
        <w:rPr>
          <w:rFonts w:ascii="仿宋" w:hAnsi="仿宋"/>
          <w:bCs/>
          <w:kern w:val="0"/>
        </w:rPr>
      </w:pPr>
      <w:r>
        <w:rPr>
          <w:rFonts w:ascii="仿宋" w:hAnsi="仿宋" w:hint="eastAsia"/>
          <w:bCs/>
        </w:rPr>
        <w:t>副主任：</w:t>
      </w:r>
      <w:r>
        <w:rPr>
          <w:rFonts w:ascii="仿宋" w:hAnsi="仿宋" w:hint="eastAsia"/>
          <w:bCs/>
          <w:kern w:val="0"/>
        </w:rPr>
        <w:t>县人民政府分管应急副县长</w:t>
      </w:r>
    </w:p>
    <w:p>
      <w:pPr>
        <w:spacing w:line="580" w:lineRule="exact"/>
        <w:ind w:firstLine="1920" w:firstLineChars="600"/>
        <w:rPr>
          <w:rFonts w:ascii="仿宋" w:hAnsi="仿宋" w:cs="Times New Roman"/>
          <w:bCs/>
        </w:rPr>
      </w:pPr>
      <w:r>
        <w:rPr>
          <w:rFonts w:ascii="仿宋" w:hAnsi="仿宋" w:hint="eastAsia"/>
          <w:bCs/>
        </w:rPr>
        <w:t>县人民政府办公室副主任</w:t>
      </w:r>
    </w:p>
    <w:p>
      <w:pPr>
        <w:spacing w:line="580" w:lineRule="exact"/>
        <w:ind w:firstLine="640" w:firstLineChars="200"/>
        <w:rPr>
          <w:rFonts w:ascii="仿宋" w:hAnsi="仿宋"/>
          <w:bCs/>
        </w:rPr>
      </w:pPr>
      <w:r>
        <w:rPr>
          <w:rFonts w:ascii="仿宋" w:hAnsi="仿宋" w:hint="eastAsia"/>
          <w:bCs/>
        </w:rPr>
        <w:t xml:space="preserve">        县应急管理局局长</w:t>
      </w:r>
    </w:p>
    <w:p>
      <w:pPr>
        <w:spacing w:line="580" w:lineRule="exact"/>
        <w:ind w:firstLine="640" w:firstLineChars="200"/>
        <w:rPr>
          <w:rFonts w:ascii="仿宋" w:hAnsi="仿宋"/>
          <w:bCs/>
        </w:rPr>
      </w:pPr>
      <w:r>
        <w:rPr>
          <w:rFonts w:ascii="仿宋" w:hAnsi="仿宋" w:hint="eastAsia"/>
          <w:bCs/>
        </w:rPr>
        <w:t xml:space="preserve">        县人民武装部分管副部长</w:t>
      </w:r>
    </w:p>
    <w:p>
      <w:pPr>
        <w:spacing w:line="580" w:lineRule="exact"/>
        <w:ind w:firstLine="640" w:firstLineChars="200"/>
        <w:rPr>
          <w:rFonts w:ascii="仿宋" w:hAnsi="仿宋"/>
          <w:bCs/>
        </w:rPr>
      </w:pPr>
      <w:r>
        <w:rPr>
          <w:rFonts w:ascii="仿宋" w:hAnsi="仿宋" w:hint="eastAsia"/>
          <w:bCs/>
        </w:rPr>
        <w:t xml:space="preserve">        县公安局分管副局长</w:t>
      </w:r>
    </w:p>
    <w:p>
      <w:pPr>
        <w:ind w:firstLine="640"/>
        <w:rPr>
          <w:rFonts w:ascii="等线" w:hAnsi="等线"/>
          <w:szCs w:val="24"/>
        </w:rPr>
        <w:sectPr>
          <w:headerReference w:type="default" r:id="rId14"/>
          <w:footerReference w:type="default" r:id="rId15"/>
          <w:type w:val="nextPage"/>
          <w:pgSz w:w="11906" w:h="16838"/>
          <w:pgMar w:top="1440" w:right="1800" w:bottom="1440" w:left="1800" w:header="851" w:footer="992" w:gutter="0"/>
          <w:pgNumType w:start="3"/>
          <w:cols w:num="1" w:space="425"/>
          <w:titlePg w:val="0"/>
          <w:docGrid w:type="lines" w:linePitch="312" w:charSpace="0"/>
        </w:sectPr>
      </w:pPr>
    </w:p>
    <w:p>
      <w:pPr>
        <w:ind w:firstLine="640"/>
        <w:rPr>
          <w:rFonts w:ascii="等线" w:hAnsi="等线"/>
          <w:szCs w:val="24"/>
        </w:rPr>
      </w:pPr>
      <w:r>
        <w:rPr>
          <w:rFonts w:ascii="仿宋" w:hAnsi="仿宋" w:hint="eastAsia"/>
          <w:bCs/>
        </w:rPr>
        <w:t>成员：县人民政府办公室、县人民武装部、县党委宣传部、县应急管理局、县农业农村局、县自然资源局、县财政局、县发展和改革局、县住房和城乡建设局、县公安局、县交通运输局、县卫生健康局、县市场监督管理局、县民政局、县教育局、县经济贸易和科学技术局、县文体广电和旅游局、县气象局、容县水文中心站、县地震监测服务中心、容县消防救援大队、武警容县中队、中国移动容县分公司、中国联通容县分公司、中国电信股份有限公司容县分公司、广西容县电力有限公司、人保财险容县支公司、县红十字会等部门各1名负责人。</w:t>
      </w:r>
    </w:p>
    <w:p>
      <w:pPr>
        <w:pStyle w:val="Heading3"/>
        <w:rPr>
          <w:rFonts w:ascii="等线" w:hAnsi="等线" w:cs="宋体"/>
        </w:rPr>
      </w:pPr>
      <w:r>
        <w:rPr>
          <w:rFonts w:hint="eastAsia"/>
        </w:rPr>
        <w:t>县减灾委职责</w:t>
      </w:r>
    </w:p>
    <w:p>
      <w:pPr>
        <w:ind w:firstLine="640"/>
        <w:rPr>
          <w:lang w:val="zh-CN"/>
        </w:rPr>
      </w:pPr>
      <w:r>
        <w:rPr>
          <w:rFonts w:hint="eastAsia"/>
          <w:lang w:val="zh-CN"/>
        </w:rPr>
        <w:t>负责组织、领导全县的自然灾害救助工作，研究制定全县减灾救灾工作方针、政策和规划，指导协调各镇和有关部门开展减灾救灾工作。</w:t>
      </w:r>
    </w:p>
    <w:p>
      <w:pPr>
        <w:pStyle w:val="Heading3"/>
        <w:spacing w:line="360" w:lineRule="auto"/>
      </w:pPr>
      <w:r>
        <w:rPr>
          <w:rFonts w:hint="eastAsia"/>
          <w:lang w:val="zh-CN"/>
        </w:rPr>
        <w:t>县防灾减灾委员会办公室</w:t>
      </w:r>
      <w:r>
        <w:rPr>
          <w:rFonts w:hint="eastAsia"/>
        </w:rPr>
        <w:t>职责</w:t>
      </w:r>
    </w:p>
    <w:p>
      <w:pPr>
        <w:ind w:firstLine="640"/>
        <w:rPr>
          <w:lang w:val="zh-CN"/>
        </w:rPr>
      </w:pPr>
      <w:r>
        <w:rPr>
          <w:rFonts w:hint="eastAsia"/>
          <w:lang w:val="zh-CN"/>
        </w:rPr>
        <w:t>县指挥部下设县防灾减灾委员会办公室（以下简称县减灾办），办公室设在应急管理局。负责与相关部门、各镇的沟通联络，组织开展灾情会商、灾害救助等工作，协调落实相关支持措施。</w:t>
      </w:r>
    </w:p>
    <w:p>
      <w:pPr>
        <w:pStyle w:val="Heading3"/>
        <w:spacing w:line="360" w:lineRule="auto"/>
      </w:pPr>
      <w:bookmarkStart w:id="19" w:name="_Toc43798992"/>
      <w:r>
        <w:rPr>
          <w:rFonts w:hint="eastAsia"/>
        </w:rPr>
        <w:t>县指挥部成员单位主要职责</w:t>
      </w:r>
    </w:p>
    <w:p>
      <w:pPr>
        <w:ind w:firstLine="640"/>
        <w:rPr>
          <w:lang w:val="zh-CN"/>
        </w:rPr>
      </w:pPr>
      <w:r>
        <w:rPr>
          <w:lang w:val="zh-CN"/>
        </w:rPr>
        <w:t>各成员单位在</w:t>
      </w:r>
      <w:r>
        <w:rPr>
          <w:rFonts w:hint="eastAsia"/>
          <w:lang w:val="zh-CN"/>
        </w:rPr>
        <w:t>县防灾减灾委</w:t>
      </w:r>
      <w:r>
        <w:rPr>
          <w:lang w:val="zh-CN"/>
        </w:rPr>
        <w:t>的统一领导下，按照各自职责开展自然灾害救助相关工作。</w:t>
      </w:r>
    </w:p>
    <w:p>
      <w:pPr>
        <w:ind w:firstLine="640"/>
        <w:rPr>
          <w:lang w:val="zh-CN"/>
        </w:rPr>
        <w:sectPr>
          <w:headerReference w:type="default" r:id="rId16"/>
          <w:footerReference w:type="default" r:id="rId17"/>
          <w:type w:val="nextPage"/>
          <w:pgSz w:w="11906" w:h="16838"/>
          <w:pgMar w:top="1440" w:right="1800" w:bottom="1440" w:left="1800" w:header="851" w:footer="992" w:gutter="0"/>
          <w:pgNumType w:start="4"/>
          <w:cols w:num="1" w:space="425"/>
          <w:titlePg w:val="0"/>
          <w:docGrid w:type="lines" w:linePitch="312" w:charSpace="0"/>
        </w:sectPr>
      </w:pPr>
      <w:r>
        <w:rPr>
          <w:rFonts w:hint="eastAsia"/>
          <w:lang w:val="zh-CN"/>
        </w:rPr>
        <w:t>县人民政府办公室：</w:t>
      </w:r>
      <w:r>
        <w:rPr>
          <w:rFonts w:ascii="仿宋" w:hAnsi="仿宋" w:cs="仿宋_GB2312" w:hint="eastAsia"/>
          <w:kern w:val="0"/>
          <w:szCs w:val="32"/>
        </w:rPr>
        <w:t>负责协调全县</w:t>
      </w:r>
    </w:p>
    <w:p>
      <w:pPr>
        <w:ind w:firstLine="640"/>
        <w:rPr>
          <w:lang w:val="zh-CN"/>
        </w:rPr>
      </w:pPr>
      <w:r>
        <w:rPr>
          <w:lang w:val="zh-CN"/>
        </w:rPr>
        <w:t>有关成员单位做好应急救灾准备工作</w:t>
      </w:r>
      <w:r>
        <w:rPr>
          <w:rFonts w:hint="eastAsia"/>
          <w:lang w:val="zh-CN"/>
        </w:rPr>
        <w:t>。</w:t>
      </w:r>
    </w:p>
    <w:p>
      <w:pPr>
        <w:ind w:firstLine="640"/>
        <w:rPr>
          <w:lang w:val="zh-CN"/>
        </w:rPr>
      </w:pPr>
      <w:r>
        <w:rPr>
          <w:rFonts w:hint="eastAsia"/>
          <w:lang w:val="zh-CN"/>
        </w:rPr>
        <w:t>县人民武装部：</w:t>
      </w:r>
      <w:r>
        <w:rPr>
          <w:lang w:val="zh-CN"/>
        </w:rPr>
        <w:t>组织协调军队、民兵预备役部队参加抢险救灾；根据需要协助</w:t>
      </w:r>
      <w:r>
        <w:rPr>
          <w:rFonts w:hint="eastAsia"/>
          <w:lang w:val="zh-CN"/>
        </w:rPr>
        <w:t>县政府</w:t>
      </w:r>
      <w:r>
        <w:rPr>
          <w:lang w:val="zh-CN"/>
        </w:rPr>
        <w:t>做好伤病员和应急救灾物资设备运送工作和灾后恢复重建工作</w:t>
      </w:r>
      <w:r>
        <w:rPr>
          <w:rFonts w:hint="eastAsia"/>
          <w:lang w:val="zh-CN"/>
        </w:rPr>
        <w:t>。</w:t>
      </w:r>
    </w:p>
    <w:p>
      <w:pPr>
        <w:ind w:firstLine="640"/>
        <w:rPr>
          <w:lang w:val="zh-CN"/>
        </w:rPr>
      </w:pPr>
      <w:r>
        <w:rPr>
          <w:lang w:val="zh-CN"/>
        </w:rPr>
        <w:t>县</w:t>
      </w:r>
      <w:r>
        <w:rPr>
          <w:rFonts w:hint="eastAsia"/>
          <w:lang w:val="zh-CN"/>
        </w:rPr>
        <w:t>党</w:t>
      </w:r>
      <w:r>
        <w:rPr>
          <w:lang w:val="zh-CN"/>
        </w:rPr>
        <w:t>委宣传部：</w:t>
      </w:r>
      <w:r>
        <w:rPr>
          <w:rFonts w:ascii="仿宋" w:hAnsi="仿宋" w:cs="仿宋_GB2312" w:hint="eastAsia"/>
          <w:kern w:val="0"/>
          <w:szCs w:val="32"/>
        </w:rPr>
        <w:t>负责自然灾害的宣传报道和防灾知识普及。</w:t>
      </w:r>
    </w:p>
    <w:p>
      <w:pPr>
        <w:ind w:firstLine="640"/>
        <w:rPr>
          <w:lang w:val="zh-CN"/>
        </w:rPr>
      </w:pPr>
      <w:r>
        <w:rPr>
          <w:lang w:val="zh-CN"/>
        </w:rPr>
        <w:t>县应急</w:t>
      </w:r>
      <w:r>
        <w:rPr>
          <w:rFonts w:hint="eastAsia"/>
          <w:lang w:val="zh-CN"/>
        </w:rPr>
        <w:t>管理局</w:t>
      </w:r>
      <w:r>
        <w:rPr>
          <w:lang w:val="zh-CN"/>
        </w:rPr>
        <w:t>： 负责</w:t>
      </w:r>
      <w:r>
        <w:rPr>
          <w:rFonts w:hint="eastAsia"/>
          <w:lang w:val="zh-CN"/>
        </w:rPr>
        <w:t>自然灾害类应急预案、</w:t>
      </w:r>
      <w:r>
        <w:rPr>
          <w:lang w:val="zh-CN"/>
        </w:rPr>
        <w:t>自然灾害救助应急预案的修订完善；</w:t>
      </w:r>
      <w:r>
        <w:rPr>
          <w:rFonts w:hint="eastAsia"/>
          <w:lang w:val="zh-CN"/>
        </w:rPr>
        <w:t>会同县发展和改革局储备</w:t>
      </w:r>
      <w:r>
        <w:rPr>
          <w:lang w:val="zh-CN"/>
        </w:rPr>
        <w:t>做好救灾物资的</w:t>
      </w:r>
      <w:r>
        <w:rPr>
          <w:rFonts w:hint="eastAsia"/>
          <w:lang w:val="zh-CN"/>
        </w:rPr>
        <w:t>储备和</w:t>
      </w:r>
      <w:r>
        <w:rPr>
          <w:lang w:val="zh-CN"/>
        </w:rPr>
        <w:t>紧急调运工作</w:t>
      </w:r>
      <w:r>
        <w:rPr>
          <w:rFonts w:hint="eastAsia"/>
          <w:lang w:val="zh-CN"/>
        </w:rPr>
        <w:t>；</w:t>
      </w:r>
      <w:r>
        <w:rPr>
          <w:lang w:val="zh-CN"/>
        </w:rPr>
        <w:t>及时了解灾区需求，分配救灾款物并监督检查管理使用情况</w:t>
      </w:r>
      <w:r>
        <w:rPr>
          <w:rFonts w:hint="eastAsia"/>
          <w:lang w:val="zh-CN"/>
        </w:rPr>
        <w:t>；</w:t>
      </w:r>
      <w:r>
        <w:rPr>
          <w:lang w:val="zh-CN"/>
        </w:rPr>
        <w:t>参与全县减灾救灾工作政策、规划的制定。</w:t>
      </w:r>
    </w:p>
    <w:p>
      <w:pPr>
        <w:ind w:firstLine="640"/>
        <w:rPr>
          <w:lang w:val="zh-CN"/>
        </w:rPr>
      </w:pPr>
      <w:r>
        <w:rPr>
          <w:lang w:val="zh-CN"/>
        </w:rPr>
        <w:t>县</w:t>
      </w:r>
      <w:r>
        <w:rPr>
          <w:rFonts w:hint="eastAsia"/>
          <w:lang w:val="zh-CN"/>
        </w:rPr>
        <w:t>农业农村局</w:t>
      </w:r>
      <w:r>
        <w:rPr>
          <w:lang w:val="zh-CN"/>
        </w:rPr>
        <w:t>：参与灾情会商和评估；指导灾区防洪工程抢险、水利工程修复、水利行业供水和镇应急供水工作；负责提供汛情、旱情监测预警信息，</w:t>
      </w:r>
      <w:r>
        <w:rPr>
          <w:rFonts w:hint="eastAsia"/>
          <w:lang w:val="zh-CN"/>
        </w:rPr>
        <w:t>参与</w:t>
      </w:r>
      <w:r>
        <w:rPr>
          <w:lang w:val="zh-CN"/>
        </w:rPr>
        <w:t>全县防汛抗旱工作；做好因灾造成水利设施损失的评估工作；参与减灾救灾工作政策、规划的制定，提供防洪抗旱、水利工程等防灾减灾对策与建议；管理全县水利工程安全工作；承办水资源的统一规划、管理和有关科普宣传工作。</w:t>
      </w:r>
    </w:p>
    <w:p>
      <w:pPr>
        <w:ind w:firstLine="640"/>
        <w:rPr>
          <w:lang w:val="zh-CN"/>
        </w:rPr>
        <w:sectPr>
          <w:headerReference w:type="default" r:id="rId18"/>
          <w:footerReference w:type="default" r:id="rId19"/>
          <w:type w:val="nextPage"/>
          <w:pgSz w:w="11906" w:h="16838"/>
          <w:pgMar w:top="1440" w:right="1800" w:bottom="1440" w:left="1800" w:header="851" w:footer="992" w:gutter="0"/>
          <w:pgNumType w:start="5"/>
          <w:cols w:num="1" w:space="425"/>
          <w:titlePg w:val="0"/>
          <w:docGrid w:type="lines" w:linePitch="312" w:charSpace="0"/>
        </w:sectPr>
      </w:pPr>
    </w:p>
    <w:p>
      <w:pPr>
        <w:ind w:firstLine="640"/>
        <w:rPr>
          <w:lang w:val="zh-CN"/>
        </w:rPr>
      </w:pPr>
      <w:r>
        <w:rPr>
          <w:lang w:val="zh-CN"/>
        </w:rPr>
        <w:t>负责农作物灾害的预测预报；做好种子等农用物资储备，指导灾后农业生产恢复和设施农业恢复重建工作；及时统计报告农作物病虫害和畜禽疫情等信息，并指导协调进行应急处置；做好因灾造成农业损失的评估工作；开展农作物病虫害及畜禽疫情的监测、预警、防治预案的制定和防治研究以及科普宣传，结合农业实际提供防灾减灾对策与建议；</w:t>
      </w:r>
    </w:p>
    <w:p>
      <w:pPr>
        <w:ind w:firstLine="640"/>
        <w:rPr>
          <w:lang w:val="zh-CN"/>
        </w:rPr>
      </w:pPr>
      <w:r>
        <w:rPr>
          <w:lang w:val="zh-CN"/>
        </w:rPr>
        <w:t>县</w:t>
      </w:r>
      <w:r>
        <w:rPr>
          <w:rFonts w:hint="eastAsia"/>
          <w:lang w:val="zh-CN"/>
        </w:rPr>
        <w:t>自然资源局</w:t>
      </w:r>
      <w:r>
        <w:rPr>
          <w:lang w:val="zh-CN"/>
        </w:rPr>
        <w:t>：参与灾情会商和评估；负责指导地质灾害监测、预警、评价和治理工作，组织协调地质灾害的应急调查处理工作；指导灾区政府做好灾后恢复重建的供地工作；做好因灾造成土地资源和矿山资源损失的评估；组织编制和实施滑坡、崩塌、泥石流、地面塌陷、地裂缝与地面沉降等地质灾害防治规划和年度地质灾害防治方案，并对执行情况进行监督检查</w:t>
      </w:r>
      <w:r>
        <w:rPr>
          <w:rFonts w:hint="eastAsia"/>
          <w:lang w:val="zh-CN"/>
        </w:rPr>
        <w:t>。</w:t>
      </w:r>
      <w:r>
        <w:rPr>
          <w:lang w:val="zh-CN"/>
        </w:rPr>
        <w:t>做好因灾造成林木和自然保护区损失的评估工作；组织指导植树造林，负责重大林业生物灾害的监测防治；参与全县减灾救灾工作政策、规划的制定。</w:t>
      </w:r>
    </w:p>
    <w:p>
      <w:pPr>
        <w:ind w:firstLine="640"/>
        <w:rPr>
          <w:lang w:val="zh-CN"/>
        </w:rPr>
      </w:pPr>
      <w:r>
        <w:rPr>
          <w:lang w:val="zh-CN"/>
        </w:rPr>
        <w:t>县财政局：参与灾情会商和评估；负责安排县各项自然灾害救助资金预算，审查救灾资金的分配投向和效益；及时拨付中央、</w:t>
      </w:r>
      <w:r>
        <w:rPr>
          <w:rFonts w:hint="eastAsia"/>
          <w:lang w:val="zh-CN"/>
        </w:rPr>
        <w:t>自治区</w:t>
      </w:r>
      <w:r>
        <w:rPr>
          <w:lang w:val="zh-CN"/>
        </w:rPr>
        <w:t>和</w:t>
      </w:r>
      <w:r>
        <w:rPr>
          <w:rFonts w:hint="eastAsia"/>
          <w:lang w:val="zh-CN"/>
        </w:rPr>
        <w:t>市</w:t>
      </w:r>
      <w:r>
        <w:rPr>
          <w:lang w:val="zh-CN"/>
        </w:rPr>
        <w:t>级救灾资金，并对救灾资金的使用进行监督检查；参与全县减灾救灾工作政策、规划的制定。</w:t>
      </w:r>
    </w:p>
    <w:p>
      <w:pPr>
        <w:ind w:firstLine="640"/>
        <w:rPr>
          <w:lang w:val="zh-CN"/>
        </w:rPr>
        <w:sectPr>
          <w:headerReference w:type="default" r:id="rId20"/>
          <w:footerReference w:type="default" r:id="rId21"/>
          <w:type w:val="nextPage"/>
          <w:pgSz w:w="11906" w:h="16838"/>
          <w:pgMar w:top="1440" w:right="1800" w:bottom="1440" w:left="1800" w:header="851" w:footer="992" w:gutter="0"/>
          <w:pgNumType w:start="6"/>
          <w:cols w:num="1" w:space="425"/>
          <w:titlePg w:val="0"/>
          <w:docGrid w:type="lines" w:linePitch="312" w:charSpace="0"/>
        </w:sectPr>
      </w:pPr>
      <w:r>
        <w:rPr>
          <w:lang w:val="zh-CN"/>
        </w:rPr>
        <w:t>县</w:t>
      </w:r>
      <w:r>
        <w:rPr>
          <w:rFonts w:hint="eastAsia"/>
          <w:lang w:val="zh-CN"/>
        </w:rPr>
        <w:t>发展和改革局</w:t>
      </w:r>
    </w:p>
    <w:p>
      <w:pPr>
        <w:ind w:firstLine="640"/>
        <w:rPr>
          <w:lang w:val="zh-CN"/>
        </w:rPr>
      </w:pPr>
      <w:r>
        <w:rPr>
          <w:lang w:val="zh-CN"/>
        </w:rPr>
        <w:t>：参与自然灾害损失评估；安排灾后恢复重建项目，协调落实项目建设资金和以工代赈资金；参与全县减灾救灾工作政策、规划的制定；负责县减灾救灾项目审批和项目建设的指导监督工作。加强受灾地区重要商品和服务项目价格的监测分析，必要时实施临时价格干预措施或其他紧急措施；开展价格监督检查，打击价格违法行为，保持灾区</w:t>
      </w:r>
      <w:r>
        <w:rPr>
          <w:rFonts w:hint="eastAsia"/>
          <w:lang w:val="zh-CN"/>
        </w:rPr>
        <w:t>市</w:t>
      </w:r>
      <w:r>
        <w:rPr>
          <w:lang w:val="zh-CN"/>
        </w:rPr>
        <w:t>场价格基本稳定。</w:t>
      </w:r>
    </w:p>
    <w:p>
      <w:pPr>
        <w:ind w:firstLine="640"/>
        <w:rPr>
          <w:lang w:val="zh-CN"/>
        </w:rPr>
      </w:pPr>
      <w:r>
        <w:rPr>
          <w:rFonts w:hint="eastAsia"/>
          <w:lang w:val="zh-CN"/>
        </w:rPr>
        <w:t>县住房和城乡建设局</w:t>
      </w:r>
      <w:r>
        <w:rPr>
          <w:lang w:val="zh-CN"/>
        </w:rPr>
        <w:t>：协助制定灾后恢复重建规划，会同县有关部门指导开展灾区城乡居民灾后房屋建筑和</w:t>
      </w:r>
      <w:r>
        <w:rPr>
          <w:rFonts w:hint="eastAsia"/>
          <w:lang w:val="zh-CN"/>
        </w:rPr>
        <w:t>市</w:t>
      </w:r>
      <w:r>
        <w:rPr>
          <w:lang w:val="zh-CN"/>
        </w:rPr>
        <w:t>政基础设施工程的安全应急评估鉴定和修复、重建等工作，负责组织和指导有关防灾减灾工程建筑规划、设计与建设；参与全县减灾救灾工作政策、规划的制定。</w:t>
      </w:r>
    </w:p>
    <w:p>
      <w:pPr>
        <w:ind w:firstLine="640"/>
        <w:rPr>
          <w:lang w:val="zh-CN"/>
        </w:rPr>
      </w:pPr>
      <w:r>
        <w:rPr>
          <w:lang w:val="zh-CN"/>
        </w:rPr>
        <w:t>县公安局：参与灾区群众紧急转移和应急救援工作；负责灾区及安置点治安管理、消防安全和道路交通应急管理工作，维护灾区社会治安和交通秩序；加强灾区道路交通疏导管制，确保应急救灾物资运输道路畅通；预防和打击违法犯罪，确保救灾物资安全，做好</w:t>
      </w:r>
      <w:r>
        <w:rPr>
          <w:rFonts w:hint="eastAsia"/>
          <w:lang w:val="zh-CN"/>
        </w:rPr>
        <w:t>县、镇政府</w:t>
      </w:r>
      <w:r>
        <w:rPr>
          <w:lang w:val="zh-CN"/>
        </w:rPr>
        <w:t>、</w:t>
      </w:r>
      <w:r>
        <w:rPr>
          <w:rFonts w:hint="eastAsia"/>
          <w:lang w:val="zh-CN"/>
        </w:rPr>
        <w:t>机关单位、</w:t>
      </w:r>
      <w:r>
        <w:rPr>
          <w:lang w:val="zh-CN"/>
        </w:rPr>
        <w:t>新闻和</w:t>
      </w:r>
      <w:r>
        <w:rPr>
          <w:rFonts w:hint="eastAsia"/>
          <w:lang w:val="zh-CN"/>
        </w:rPr>
        <w:t>银行</w:t>
      </w:r>
      <w:r>
        <w:rPr>
          <w:lang w:val="zh-CN"/>
        </w:rPr>
        <w:t>等机构的安全保卫。</w:t>
      </w:r>
    </w:p>
    <w:p>
      <w:pPr>
        <w:ind w:firstLine="640"/>
        <w:rPr>
          <w:lang w:val="zh-CN"/>
        </w:rPr>
      </w:pPr>
      <w:r>
        <w:rPr>
          <w:lang w:val="zh-CN"/>
        </w:rPr>
        <w:t>县交通</w:t>
      </w:r>
      <w:r>
        <w:rPr>
          <w:rFonts w:hint="eastAsia"/>
          <w:lang w:val="zh-CN"/>
        </w:rPr>
        <w:t>运输</w:t>
      </w:r>
      <w:r>
        <w:rPr>
          <w:lang w:val="zh-CN"/>
        </w:rPr>
        <w:t>局：参与灾情会商和评估；修复因灾损毁公路、桥梁等基础设施，保障交通运输畅通；组织协调受灾群众转移疏散、调运救灾物资所需的交通工具，及时运送抢险救援人员、救灾物资和设备；做好因灾造成交通设施损失的评估工作；参与全县减灾救灾工作政策、规划的制定。</w:t>
      </w:r>
    </w:p>
    <w:p>
      <w:pPr>
        <w:ind w:firstLine="640"/>
        <w:rPr>
          <w:lang w:val="zh-CN"/>
        </w:rPr>
        <w:sectPr>
          <w:headerReference w:type="default" r:id="rId22"/>
          <w:footerReference w:type="default" r:id="rId23"/>
          <w:type w:val="nextPage"/>
          <w:pgSz w:w="11906" w:h="16838"/>
          <w:pgMar w:top="1440" w:right="1800" w:bottom="1440" w:left="1800" w:header="851" w:footer="992" w:gutter="0"/>
          <w:pgNumType w:start="7"/>
          <w:cols w:num="1" w:space="425"/>
          <w:titlePg w:val="0"/>
          <w:docGrid w:type="lines" w:linePitch="312" w:charSpace="0"/>
        </w:sectPr>
      </w:pPr>
      <w:r>
        <w:rPr>
          <w:lang w:val="zh-CN"/>
        </w:rPr>
        <w:t>县</w:t>
      </w:r>
      <w:r>
        <w:rPr>
          <w:rFonts w:hint="eastAsia"/>
          <w:lang w:val="zh-CN"/>
        </w:rPr>
        <w:t>卫生健康局</w:t>
      </w:r>
    </w:p>
    <w:p>
      <w:pPr>
        <w:ind w:firstLine="640"/>
        <w:rPr>
          <w:lang w:val="zh-CN"/>
        </w:rPr>
      </w:pPr>
      <w:r>
        <w:rPr>
          <w:lang w:val="zh-CN"/>
        </w:rPr>
        <w:t>：参与灾情会商和评估；负责调度卫生技术力量，指导做好灾后医疗救护和抢救伤病员工作；实施卫生防疫和应急处理措施，预防和控制传染病疫情的发生、扩散和蔓延；实施饮用水卫生监督，开展卫生防病知识宣传；组织心理卫生专家赴灾区开展心理救助；做好因灾造成卫生</w:t>
      </w:r>
      <w:r>
        <w:rPr>
          <w:rFonts w:hint="eastAsia"/>
          <w:lang w:val="zh-CN"/>
        </w:rPr>
        <w:t>健康</w:t>
      </w:r>
      <w:r>
        <w:rPr>
          <w:lang w:val="zh-CN"/>
        </w:rPr>
        <w:t>系统社会事业经济损失的评估工作；参与全县减灾救灾工作政策、规划的制定。</w:t>
      </w:r>
    </w:p>
    <w:p>
      <w:pPr>
        <w:ind w:firstLine="640"/>
        <w:rPr>
          <w:lang w:val="zh-CN"/>
        </w:rPr>
      </w:pPr>
      <w:r>
        <w:rPr>
          <w:rFonts w:hint="eastAsia"/>
          <w:lang w:val="zh-CN"/>
        </w:rPr>
        <w:t>县市场监督管理局</w:t>
      </w:r>
      <w:r>
        <w:rPr>
          <w:lang w:val="zh-CN"/>
        </w:rPr>
        <w:t>：负责做好向灾区调拨和捐赠的食品、药品、医疗器械的检验工作；负责灾区食品药品安全监管，做好灾区食品药品安全事故（事件）应急处置和调查处理</w:t>
      </w:r>
      <w:r>
        <w:rPr>
          <w:rFonts w:hint="eastAsia"/>
          <w:lang w:val="zh-CN"/>
        </w:rPr>
        <w:t>；</w:t>
      </w:r>
      <w:r>
        <w:rPr>
          <w:rFonts w:ascii="仿宋" w:hAnsi="仿宋" w:hint="eastAsia"/>
          <w:bCs/>
        </w:rPr>
        <w:t>负责药品器械的流通和供应。</w:t>
      </w:r>
    </w:p>
    <w:p>
      <w:pPr>
        <w:ind w:firstLine="640"/>
        <w:rPr>
          <w:lang w:val="zh-CN"/>
        </w:rPr>
      </w:pPr>
      <w:r>
        <w:rPr>
          <w:rFonts w:hint="eastAsia"/>
          <w:lang w:val="zh-CN"/>
        </w:rPr>
        <w:t>县民政局：</w:t>
      </w:r>
      <w:bookmarkStart w:id="20" w:name="_Hlk45036021"/>
      <w:r>
        <w:rPr>
          <w:rFonts w:ascii="仿宋" w:hAnsi="仿宋" w:hint="eastAsia"/>
          <w:szCs w:val="32"/>
        </w:rPr>
        <w:t>会同县应急管理局指导社会组织、志愿者等社会力量有序参与灾害救助工作</w:t>
      </w:r>
      <w:bookmarkEnd w:id="20"/>
      <w:r>
        <w:rPr>
          <w:lang w:val="zh-CN"/>
        </w:rPr>
        <w:t>；做好自然灾害造成的本系统损失评估工作；参与全县减灾救灾工作政策、规划的制定。</w:t>
      </w:r>
    </w:p>
    <w:p>
      <w:pPr>
        <w:ind w:firstLine="640"/>
        <w:rPr>
          <w:lang w:val="zh-CN"/>
        </w:rPr>
      </w:pPr>
      <w:r>
        <w:rPr>
          <w:lang w:val="zh-CN"/>
        </w:rPr>
        <w:t>县教育局：收集、汇总学校校舍因灾损毁情况；指导灾区学校恢复重建，恢复正常教学秩序；做好自然灾害造成的本系统损失评估工作；负责组织中小学、幼儿园等学校开展防灾减灾知识宣传教育活动；参与全县减灾救灾工作政策、规划的制定。</w:t>
      </w:r>
    </w:p>
    <w:p>
      <w:pPr>
        <w:ind w:firstLine="640"/>
        <w:rPr>
          <w:lang w:val="zh-CN"/>
        </w:rPr>
      </w:pPr>
      <w:r>
        <w:rPr>
          <w:rFonts w:hint="eastAsia"/>
          <w:lang w:val="zh-CN"/>
        </w:rPr>
        <w:t>县经济贸易和科学技术局：</w:t>
      </w:r>
      <w:r>
        <w:rPr>
          <w:lang w:val="zh-CN"/>
        </w:rPr>
        <w:t>参与灾情会商和评估；根据灾区需求实际，负责及时组织受灾群众生活必需品的县场供应；做好因灾造成商贸业损失的评估工作；参与全县减灾救灾工作政策、规划的制定。</w:t>
      </w:r>
    </w:p>
    <w:p>
      <w:pPr>
        <w:ind w:firstLine="640"/>
        <w:rPr>
          <w:lang w:val="zh-CN"/>
        </w:rPr>
        <w:sectPr>
          <w:headerReference w:type="default" r:id="rId24"/>
          <w:footerReference w:type="default" r:id="rId25"/>
          <w:type w:val="nextPage"/>
          <w:pgSz w:w="11906" w:h="16838"/>
          <w:pgMar w:top="1440" w:right="1800" w:bottom="1440" w:left="1800" w:header="851" w:footer="992" w:gutter="0"/>
          <w:pgNumType w:start="8"/>
          <w:cols w:num="1" w:space="425"/>
          <w:titlePg w:val="0"/>
          <w:docGrid w:type="lines" w:linePitch="312" w:charSpace="0"/>
        </w:sectPr>
      </w:pPr>
      <w:r>
        <w:rPr>
          <w:rFonts w:hint="eastAsia"/>
          <w:lang w:val="zh-CN"/>
        </w:rPr>
        <w:t>县文体广电和旅游局：</w:t>
      </w:r>
      <w:r>
        <w:rPr>
          <w:lang w:val="zh-CN"/>
        </w:rPr>
        <w:t>收集、汇总</w:t>
      </w:r>
      <w:r>
        <w:rPr>
          <w:rFonts w:hint="eastAsia"/>
          <w:lang w:val="zh-CN"/>
        </w:rPr>
        <w:t>景区</w:t>
      </w:r>
    </w:p>
    <w:p>
      <w:pPr>
        <w:ind w:firstLine="640"/>
        <w:rPr>
          <w:lang w:val="zh-CN"/>
        </w:rPr>
      </w:pPr>
      <w:r>
        <w:rPr>
          <w:lang w:val="zh-CN"/>
        </w:rPr>
        <w:t>因灾损毁情况；指导</w:t>
      </w:r>
      <w:r>
        <w:rPr>
          <w:rFonts w:hint="eastAsia"/>
          <w:lang w:val="zh-CN"/>
        </w:rPr>
        <w:t>景区</w:t>
      </w:r>
      <w:r>
        <w:rPr>
          <w:lang w:val="zh-CN"/>
        </w:rPr>
        <w:t>恢复重建，恢复正常秩序；做好自然灾害造成的本系统损失评估工作；参与全县减灾救灾工作政策、规划的制定。</w:t>
      </w:r>
    </w:p>
    <w:p>
      <w:pPr>
        <w:ind w:firstLine="640"/>
        <w:rPr>
          <w:lang w:val="zh-CN"/>
        </w:rPr>
      </w:pPr>
      <w:r>
        <w:rPr>
          <w:lang w:val="zh-CN"/>
        </w:rPr>
        <w:t>县气象局：负责气象灾害的监测预报预警，参与灾情会商评估；提出重大气象灾害防御对策建议，做好救灾应急气象保障；根据需要组织开展人工影响天气和气象防灾减灾科普宣传活动。</w:t>
      </w:r>
    </w:p>
    <w:p>
      <w:pPr>
        <w:ind w:firstLine="640"/>
        <w:rPr>
          <w:lang w:val="zh-CN"/>
        </w:rPr>
      </w:pPr>
      <w:r>
        <w:rPr>
          <w:rFonts w:hint="eastAsia"/>
          <w:lang w:val="zh-CN"/>
        </w:rPr>
        <w:t>容县水文中心站：</w:t>
      </w:r>
      <w:r>
        <w:rPr>
          <w:rFonts w:ascii="仿宋" w:hAnsi="仿宋" w:hint="eastAsia"/>
          <w:szCs w:val="32"/>
        </w:rPr>
        <w:t>负责水情</w:t>
      </w:r>
      <w:r>
        <w:rPr>
          <w:lang w:val="zh-CN"/>
        </w:rPr>
        <w:t>的监测预报预警，参与灾情会商评估；做好自然灾害造成的本系统损失评估工作；参与全县减灾救灾工作政策、规划的制定。</w:t>
      </w:r>
    </w:p>
    <w:p>
      <w:pPr>
        <w:ind w:firstLine="640"/>
        <w:rPr>
          <w:lang w:val="zh-CN"/>
        </w:rPr>
      </w:pPr>
      <w:r>
        <w:rPr>
          <w:rFonts w:ascii="仿宋" w:hAnsi="仿宋" w:cs="仿宋" w:hint="eastAsia"/>
          <w:kern w:val="0"/>
          <w:szCs w:val="32"/>
          <w:shd w:val="clear" w:color="auto" w:fill="FFFFFF"/>
        </w:rPr>
        <w:t>县地震监测服务中心</w:t>
      </w:r>
      <w:r>
        <w:rPr>
          <w:lang w:val="zh-CN"/>
        </w:rPr>
        <w:t>：负责地震速报、震情会商评估和趋势研判，提出抗震救灾应急响应、工作方案和措施建议；对震情进行跟踪监测，负责震情信息通报、公告和新闻发布内容的制定和实施；组织开展地震现场灾害、烈度调查和损失评估，协同组织抗震救灾指挥调度和地震应急行动；参与减灾救灾工作政策、规划的制定，负责组织开展防震减灾科普宣传工作。</w:t>
      </w:r>
    </w:p>
    <w:p>
      <w:pPr>
        <w:ind w:firstLine="640"/>
        <w:rPr>
          <w:lang w:val="zh-CN"/>
        </w:rPr>
      </w:pPr>
      <w:r>
        <w:rPr>
          <w:rFonts w:hint="eastAsia"/>
          <w:lang w:val="zh-CN"/>
        </w:rPr>
        <w:t>容县消防救援大队：</w:t>
      </w:r>
      <w:r>
        <w:rPr>
          <w:rFonts w:ascii="仿宋" w:hAnsi="仿宋" w:hint="eastAsia"/>
          <w:szCs w:val="32"/>
        </w:rPr>
        <w:t>根据县指挥部的要求，参加自然灾害救助应急工作。</w:t>
      </w:r>
    </w:p>
    <w:p>
      <w:pPr>
        <w:ind w:firstLine="640"/>
        <w:rPr>
          <w:lang w:val="zh-CN"/>
        </w:rPr>
        <w:sectPr>
          <w:headerReference w:type="default" r:id="rId26"/>
          <w:footerReference w:type="default" r:id="rId27"/>
          <w:type w:val="nextPage"/>
          <w:pgSz w:w="11906" w:h="16838"/>
          <w:pgMar w:top="1440" w:right="1800" w:bottom="1440" w:left="1800" w:header="851" w:footer="992" w:gutter="0"/>
          <w:pgNumType w:start="9"/>
          <w:cols w:num="1" w:space="425"/>
          <w:titlePg w:val="0"/>
          <w:docGrid w:type="lines" w:linePitch="312" w:charSpace="0"/>
        </w:sectPr>
      </w:pPr>
      <w:r>
        <w:rPr>
          <w:rFonts w:hint="eastAsia"/>
          <w:lang w:val="zh-CN"/>
        </w:rPr>
        <w:t>武警容县中队</w:t>
      </w:r>
      <w:r>
        <w:rPr>
          <w:lang w:val="zh-CN"/>
        </w:rPr>
        <w:t>：参加抢险救灾，协助当地公安部门维护灾区社会治安。</w:t>
      </w:r>
    </w:p>
    <w:p>
      <w:pPr>
        <w:ind w:firstLine="640"/>
        <w:rPr>
          <w:lang w:val="zh-CN"/>
        </w:rPr>
      </w:pPr>
      <w:r>
        <w:rPr>
          <w:rFonts w:hint="eastAsia"/>
          <w:lang w:val="zh-CN"/>
        </w:rPr>
        <w:t>中国移动容县分公司、中国联通容县分公司、中国电信股份有限公司容县分公司</w:t>
      </w:r>
      <w:r>
        <w:rPr>
          <w:lang w:val="zh-CN"/>
        </w:rPr>
        <w:t>：负责灾害预警信息和防灾减灾宣传信息手机群发；及时恢复因灾损坏的通信设施，及时调配应急通讯设施设备等，确保灾区通信畅通；收集、统计通信设施设备损失情况。</w:t>
      </w:r>
    </w:p>
    <w:p>
      <w:pPr>
        <w:ind w:firstLine="640"/>
        <w:rPr>
          <w:lang w:val="zh-CN"/>
        </w:rPr>
      </w:pPr>
      <w:r>
        <w:rPr>
          <w:rFonts w:hint="eastAsia"/>
          <w:lang w:val="zh-CN"/>
        </w:rPr>
        <w:t>人保财险容县支公司：</w:t>
      </w:r>
      <w:r>
        <w:rPr>
          <w:rFonts w:ascii="仿宋" w:eastAsia="仿宋" w:cs="仿宋" w:hint="eastAsia"/>
          <w:kern w:val="0"/>
          <w:szCs w:val="32"/>
        </w:rPr>
        <w:t>负责保险有关事宜，参与善后处理工作。</w:t>
      </w:r>
    </w:p>
    <w:p>
      <w:pPr>
        <w:ind w:firstLine="640"/>
        <w:rPr>
          <w:lang w:val="zh-CN"/>
        </w:rPr>
      </w:pPr>
      <w:r>
        <w:rPr>
          <w:rFonts w:hint="eastAsia"/>
          <w:lang w:val="zh-CN"/>
        </w:rPr>
        <w:t>广西容县电力有限公司</w:t>
      </w:r>
      <w:r>
        <w:rPr>
          <w:lang w:val="zh-CN"/>
        </w:rPr>
        <w:t>：负责组织抢修因灾损毁的各类电力设施，调配应急照明设施设备，保障灾区电力供应；做好因灾受损电力设施的损失评估统计，开展灾后电力设施恢复重建工作。</w:t>
      </w:r>
    </w:p>
    <w:p>
      <w:pPr>
        <w:ind w:firstLine="640"/>
        <w:rPr>
          <w:lang w:val="zh-CN"/>
        </w:rPr>
      </w:pPr>
      <w:r>
        <w:rPr>
          <w:lang w:val="zh-CN"/>
        </w:rPr>
        <w:t>县红十字会：负责组织管理与调配红十字会员和志愿工作者参加因灾伤病员的现场应急救护、心理疏导等工作；做好救灾捐赠款物的接收工作，参与灾后恢复重建工作。</w:t>
      </w:r>
    </w:p>
    <w:p>
      <w:pPr>
        <w:pStyle w:val="Heading3"/>
        <w:rPr>
          <w:rFonts w:ascii="Cambria" w:hAnsi="Cambria" w:cs="宋体"/>
        </w:rPr>
      </w:pPr>
      <w:r>
        <w:rPr>
          <w:rFonts w:hint="eastAsia"/>
        </w:rPr>
        <w:t>专家组</w:t>
      </w:r>
      <w:bookmarkEnd w:id="19"/>
    </w:p>
    <w:p>
      <w:pPr>
        <w:ind w:firstLine="640"/>
        <w:rPr>
          <w:rFonts w:ascii="仿宋" w:hAnsi="仿宋"/>
          <w:bCs/>
        </w:rPr>
      </w:pPr>
      <w:r>
        <w:rPr>
          <w:rFonts w:ascii="仿宋" w:hAnsi="仿宋" w:hint="eastAsia"/>
          <w:bCs/>
        </w:rPr>
        <w:t>指挥部成立自然灾害救助专家组，对自然灾害救助工作提供专业技术咨询和决策意见或建议。</w:t>
      </w:r>
    </w:p>
    <w:p>
      <w:pPr>
        <w:pStyle w:val="Heading2"/>
        <w:rPr>
          <w:rFonts w:ascii="Times New Roman" w:hAnsi="Times New Roman" w:cs="Times New Roman"/>
          <w:shd w:val="clear" w:color="auto" w:fill="FFFFFF"/>
        </w:rPr>
      </w:pPr>
      <w:bookmarkStart w:id="21" w:name="_Toc46048068"/>
      <w:r>
        <w:rPr>
          <w:rFonts w:hint="eastAsia"/>
          <w:shd w:val="clear" w:color="auto" w:fill="FFFFFF"/>
        </w:rPr>
        <w:t>镇组织指挥机构</w:t>
      </w:r>
      <w:bookmarkEnd w:id="21"/>
    </w:p>
    <w:p>
      <w:pPr>
        <w:ind w:right="3" w:firstLine="640" w:rightChars="1" w:firstLineChars="200"/>
        <w:rPr>
          <w:rFonts w:ascii="黑体" w:eastAsia="黑体" w:hAnsi="黑体" w:cs="黑体"/>
          <w:b/>
          <w:bCs/>
          <w:kern w:val="0"/>
          <w:sz w:val="36"/>
          <w:szCs w:val="36"/>
        </w:rPr>
        <w:sectPr>
          <w:headerReference w:type="default" r:id="rId28"/>
          <w:footerReference w:type="default" r:id="rId29"/>
          <w:type w:val="nextPage"/>
          <w:pgSz w:w="11906" w:h="16838"/>
          <w:pgMar w:top="1440" w:right="1800" w:bottom="1440" w:left="1800" w:header="851" w:footer="992" w:gutter="0"/>
          <w:pgNumType w:start="10"/>
          <w:cols w:num="1" w:space="425"/>
          <w:titlePg w:val="0"/>
          <w:docGrid w:type="lines" w:linePitch="312" w:charSpace="0"/>
        </w:sectPr>
      </w:pPr>
      <w:r>
        <w:rPr>
          <w:rFonts w:ascii="仿宋" w:hAnsi="仿宋" w:cs="仿宋" w:hint="eastAsia"/>
          <w:kern w:val="0"/>
          <w:szCs w:val="32"/>
          <w:shd w:val="clear" w:color="auto" w:fill="FFFFFF"/>
        </w:rPr>
        <w:t>各镇人民政府可以参照县防灾减灾委的组成和职责，结合本地实际情况成立相应的应急指挥机构。</w:t>
      </w:r>
    </w:p>
    <w:p>
      <w:pPr>
        <w:pStyle w:val="Heading1"/>
      </w:pPr>
      <w:bookmarkStart w:id="22" w:name="_Toc35098744"/>
      <w:bookmarkStart w:id="23" w:name="_Toc46048069"/>
      <w:r>
        <w:rPr>
          <w:rFonts w:hint="eastAsia"/>
        </w:rPr>
        <w:t>灾害救助准备</w:t>
      </w:r>
      <w:bookmarkEnd w:id="22"/>
      <w:bookmarkEnd w:id="23"/>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县气象、自然资源、农业农村等部门及时向</w:t>
      </w:r>
      <w:r>
        <w:rPr>
          <w:rFonts w:hint="eastAsia"/>
          <w:lang w:val="zh-CN"/>
        </w:rPr>
        <w:t>县防灾减灾委成员单位</w:t>
      </w:r>
      <w:r>
        <w:rPr>
          <w:rFonts w:ascii="仿宋" w:hAnsi="仿宋" w:cs="仿宋" w:hint="eastAsia"/>
          <w:kern w:val="0"/>
          <w:szCs w:val="32"/>
        </w:rPr>
        <w:t>通报自然灾害预警预报信息，自然资源部门根据需要及时提供地理信息数据。</w:t>
      </w:r>
      <w:r>
        <w:rPr>
          <w:rFonts w:hint="eastAsia"/>
          <w:lang w:val="zh-CN"/>
        </w:rPr>
        <w:t>县防灾减灾委</w:t>
      </w:r>
      <w:r>
        <w:rPr>
          <w:rFonts w:ascii="仿宋" w:hAnsi="仿宋" w:cs="仿宋" w:hint="eastAsia"/>
          <w:kern w:val="0"/>
          <w:szCs w:val="32"/>
        </w:rPr>
        <w:t>根据自然灾害预警预报信息，结合可能受影响镇、村的自然条件、人口和社会经济状况，对可能出现的灾情进行预评估，当可能威胁人民生命财产安全、影响基本生活、需要提前采取应对措施时，视情况采取以下一项或多项救助准备措施：</w:t>
      </w:r>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（1）向可能受影响的镇通报预警信息，提出灾害救助准备工作要求。</w:t>
      </w:r>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（2）加强应急值守，密切跟踪灾害风险变化和发展趋势，对灾害可能造成的损失进行动态评估，及时调整相关措施。</w:t>
      </w:r>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（3）协调县发展和改革局做好灾害救助物资调拨准备，紧急情况下提前调拨。</w:t>
      </w:r>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（4）实地了解灾害风险，负责指导各项救灾准备工作。</w:t>
      </w:r>
    </w:p>
    <w:p>
      <w:pPr>
        <w:adjustRightInd w:val="0"/>
        <w:snapToGrid w:val="0"/>
        <w:spacing w:line="590" w:lineRule="exact"/>
        <w:ind w:firstLine="640" w:firstLineChars="200"/>
        <w:rPr>
          <w:rFonts w:ascii="仿宋" w:hAnsi="仿宋" w:cs="仿宋"/>
          <w:kern w:val="0"/>
          <w:szCs w:val="32"/>
        </w:rPr>
        <w:sectPr>
          <w:headerReference w:type="default" r:id="rId30"/>
          <w:footerReference w:type="default" r:id="rId31"/>
          <w:type w:val="nextPage"/>
          <w:pgSz w:w="11906" w:h="16838"/>
          <w:pgMar w:top="1440" w:right="1800" w:bottom="1440" w:left="1800" w:header="851" w:footer="992" w:gutter="0"/>
          <w:pgNumType w:start="11"/>
          <w:cols w:num="1" w:space="425"/>
          <w:titlePg w:val="0"/>
          <w:docGrid w:type="lines" w:linePitch="312" w:charSpace="0"/>
        </w:sectPr>
      </w:pPr>
      <w:r>
        <w:rPr>
          <w:rFonts w:ascii="仿宋" w:hAnsi="仿宋" w:cs="仿宋" w:hint="eastAsia"/>
          <w:kern w:val="0"/>
          <w:szCs w:val="32"/>
        </w:rPr>
        <w:t>（5）及时向社会发布预警信息。</w:t>
      </w:r>
    </w:p>
    <w:p>
      <w:pPr>
        <w:pStyle w:val="Heading1"/>
      </w:pPr>
      <w:bookmarkStart w:id="24" w:name="_Toc35098745"/>
      <w:bookmarkStart w:id="25" w:name="_Toc46048070"/>
      <w:r>
        <w:rPr>
          <w:rFonts w:hint="eastAsia"/>
        </w:rPr>
        <w:t>信息报告与发布</w:t>
      </w:r>
      <w:bookmarkEnd w:id="24"/>
      <w:bookmarkEnd w:id="25"/>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镇人民政府和</w:t>
      </w:r>
      <w:r>
        <w:rPr>
          <w:rFonts w:hint="eastAsia"/>
          <w:lang w:val="zh-CN"/>
        </w:rPr>
        <w:t>县防灾减灾委</w:t>
      </w:r>
      <w:r>
        <w:rPr>
          <w:rFonts w:ascii="仿宋" w:hAnsi="仿宋" w:cs="仿宋" w:hint="eastAsia"/>
          <w:kern w:val="0"/>
          <w:szCs w:val="32"/>
        </w:rPr>
        <w:t>成员单位按照应急管理部《自然灾害情况统计制度》和《特别重大自然灾害损失统计制度》，做好灾情和救助信息收集、汇总、分析、上报和部门间共享工作。</w:t>
      </w:r>
    </w:p>
    <w:p>
      <w:pPr>
        <w:pStyle w:val="Heading2"/>
      </w:pPr>
      <w:bookmarkStart w:id="26" w:name="_Toc46048071"/>
      <w:bookmarkStart w:id="27" w:name="_Toc35098746"/>
      <w:r>
        <w:rPr>
          <w:rFonts w:hint="eastAsia"/>
        </w:rPr>
        <w:t>信息报告</w:t>
      </w:r>
      <w:bookmarkEnd w:id="26"/>
      <w:bookmarkEnd w:id="27"/>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对突发性自然灾害，镇人民政府或县防灾减灾委成员单位应在接到灾情信息半小时内汇总提交县减灾办；县减灾办应在灾害发生后</w:t>
      </w:r>
      <w:r>
        <w:rPr>
          <w:rFonts w:ascii="仿宋" w:hAnsi="仿宋" w:cs="仿宋"/>
          <w:kern w:val="0"/>
          <w:szCs w:val="32"/>
        </w:rPr>
        <w:t>2</w:t>
      </w:r>
      <w:r>
        <w:rPr>
          <w:rFonts w:ascii="仿宋" w:hAnsi="仿宋" w:cs="仿宋" w:hint="eastAsia"/>
          <w:kern w:val="0"/>
          <w:szCs w:val="32"/>
        </w:rPr>
        <w:t>小时内将本行政区域的灾情和救灾工作情况向县人民政府和市应急管理局报告。</w:t>
      </w:r>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对造成县级行政区域内1</w:t>
      </w:r>
      <w:r>
        <w:rPr>
          <w:rFonts w:ascii="仿宋" w:hAnsi="仿宋" w:cs="仿宋"/>
          <w:kern w:val="0"/>
          <w:szCs w:val="32"/>
        </w:rPr>
        <w:t>0</w:t>
      </w:r>
      <w:r>
        <w:rPr>
          <w:rFonts w:ascii="仿宋" w:hAnsi="仿宋" w:cs="仿宋" w:hint="eastAsia"/>
          <w:kern w:val="0"/>
          <w:szCs w:val="32"/>
        </w:rPr>
        <w:t>人以上死亡（含失踪）或社会高度关注、群众反映强烈、房屋大量倒塌、农田大面积受灾等严重损失的突发性自然灾害，县减灾办应在灾害发生后立即上报县人民政府及市应急管理局直至自治区、国家。</w:t>
      </w:r>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对于干旱灾害，县减灾办应在旱情初显、群众生产和生活受到一定影响时，初报灾情；在旱情发展过程中，持续报告灾情，直至灾情解除；灾情解除后及时核报。</w:t>
      </w:r>
    </w:p>
    <w:p>
      <w:pPr>
        <w:pStyle w:val="Heading2"/>
      </w:pPr>
      <w:bookmarkStart w:id="28" w:name="_Toc35098747"/>
      <w:bookmarkStart w:id="29" w:name="_Toc46048072"/>
      <w:r>
        <w:rPr>
          <w:rFonts w:hint="eastAsia"/>
        </w:rPr>
        <w:t>信息发布</w:t>
      </w:r>
      <w:bookmarkEnd w:id="28"/>
      <w:bookmarkEnd w:id="29"/>
    </w:p>
    <w:p>
      <w:pPr>
        <w:adjustRightInd w:val="0"/>
        <w:snapToGrid w:val="0"/>
        <w:spacing w:line="590" w:lineRule="exact"/>
        <w:ind w:firstLine="640" w:firstLineChars="200"/>
        <w:rPr>
          <w:rFonts w:ascii="仿宋" w:hAnsi="仿宋" w:cs="仿宋"/>
          <w:kern w:val="0"/>
          <w:szCs w:val="32"/>
        </w:rPr>
        <w:sectPr>
          <w:headerReference w:type="default" r:id="rId32"/>
          <w:footerReference w:type="default" r:id="rId33"/>
          <w:type w:val="nextPage"/>
          <w:pgSz w:w="11906" w:h="16838"/>
          <w:pgMar w:top="1440" w:right="1800" w:bottom="1440" w:left="1800" w:header="851" w:footer="992" w:gutter="0"/>
          <w:pgNumType w:start="12"/>
          <w:cols w:num="1" w:space="425"/>
          <w:titlePg w:val="0"/>
          <w:docGrid w:type="lines" w:linePitch="312" w:charSpace="0"/>
        </w:sectPr>
      </w:pPr>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1）信息发布坚持实事求是、及时准确、公开透明的原则。信息发布形式包括授权发布、组织报道、接受记者采访、举行新闻发布会等。要主动通过应急广播、重点新闻网站或政府网站、政务微博、政务微信、政务客户端等发布信息。广播电视行政管理部门等相关单位应配合做好预警、灾情等应急信息发布工作。</w:t>
      </w:r>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（2）灾情稳定前，</w:t>
      </w:r>
      <w:r>
        <w:rPr>
          <w:rFonts w:hint="eastAsia"/>
          <w:lang w:val="zh-CN"/>
        </w:rPr>
        <w:t>县防灾减灾委</w:t>
      </w:r>
      <w:r>
        <w:rPr>
          <w:rFonts w:ascii="仿宋" w:hAnsi="仿宋" w:cs="仿宋" w:hint="eastAsia"/>
          <w:kern w:val="0"/>
          <w:szCs w:val="32"/>
        </w:rPr>
        <w:t>应当及时向社会持续发布自然灾害造成的人员伤亡、财产损失以及自然灾害救助工作动态，下一步安排等信息，并向县防灾减灾委成员单位通报；灾情稳定后，应当及时评估、核定并按有关规定发布自然灾害损失情况，并向县防灾减灾委成员单位办公室通报。</w:t>
      </w:r>
    </w:p>
    <w:p>
      <w:pPr>
        <w:adjustRightInd w:val="0"/>
        <w:snapToGrid w:val="0"/>
        <w:spacing w:line="590" w:lineRule="exact"/>
        <w:ind w:firstLine="640" w:firstLineChars="200"/>
        <w:rPr>
          <w:rFonts w:ascii="仿宋" w:hAnsi="仿宋" w:cs="仿宋"/>
          <w:kern w:val="0"/>
          <w:szCs w:val="32"/>
        </w:rPr>
        <w:sectPr>
          <w:headerReference w:type="default" r:id="rId34"/>
          <w:footerReference w:type="default" r:id="rId35"/>
          <w:type w:val="nextPage"/>
          <w:pgSz w:w="11906" w:h="16838"/>
          <w:pgMar w:top="1440" w:right="1800" w:bottom="1440" w:left="1800" w:header="851" w:footer="992" w:gutter="0"/>
          <w:pgNumType w:start="13"/>
          <w:cols w:num="1" w:space="425"/>
          <w:titlePg w:val="0"/>
          <w:docGrid w:type="lines" w:linePitch="312" w:charSpace="0"/>
        </w:sectPr>
      </w:pPr>
      <w:r>
        <w:rPr>
          <w:rFonts w:ascii="仿宋" w:hAnsi="仿宋" w:cs="仿宋" w:hint="eastAsia"/>
          <w:kern w:val="0"/>
          <w:szCs w:val="32"/>
        </w:rPr>
        <w:t>（3）灾情核定和发布工作，法律法规另有规定的，从其规定。</w:t>
      </w:r>
    </w:p>
    <w:p>
      <w:pPr>
        <w:pStyle w:val="Heading1"/>
      </w:pPr>
      <w:bookmarkStart w:id="30" w:name="_Toc46048073"/>
      <w:bookmarkStart w:id="31" w:name="_Toc35098748"/>
      <w:r>
        <w:rPr>
          <w:rFonts w:hint="eastAsia"/>
        </w:rPr>
        <w:t>县应急响应</w:t>
      </w:r>
      <w:bookmarkEnd w:id="30"/>
      <w:bookmarkEnd w:id="31"/>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根据自然灾害的危害程度等因素，县自然灾害救助应急响应分为Ⅰ、Ⅱ、Ⅲ、Ⅳ四级。</w:t>
      </w:r>
    </w:p>
    <w:p>
      <w:pPr>
        <w:pStyle w:val="Heading2"/>
      </w:pPr>
      <w:bookmarkStart w:id="32" w:name="_Toc46048074"/>
      <w:bookmarkStart w:id="33" w:name="_Toc35098761"/>
      <w:r>
        <w:rPr>
          <w:rFonts w:hint="eastAsia"/>
        </w:rPr>
        <w:t>Ⅳ级响应</w:t>
      </w:r>
      <w:bookmarkEnd w:id="32"/>
      <w:bookmarkEnd w:id="33"/>
    </w:p>
    <w:p>
      <w:pPr>
        <w:pStyle w:val="Heading3"/>
      </w:pPr>
      <w:bookmarkStart w:id="34" w:name="_Toc35098762"/>
      <w:r>
        <w:rPr>
          <w:rFonts w:hint="eastAsia"/>
        </w:rPr>
        <w:t>启动条件</w:t>
      </w:r>
      <w:bookmarkEnd w:id="34"/>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在本县行政区域内，发生重大自然灾害，一次灾害过程出现下列情况之一的，启动Ⅳ级响应：</w:t>
      </w:r>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（1）死亡或可能死亡</w:t>
      </w:r>
      <w:r>
        <w:rPr>
          <w:rFonts w:ascii="仿宋" w:hAnsi="仿宋" w:cs="仿宋"/>
          <w:kern w:val="0"/>
          <w:szCs w:val="32"/>
        </w:rPr>
        <w:t>1</w:t>
      </w:r>
      <w:r>
        <w:rPr>
          <w:rFonts w:ascii="仿宋" w:hAnsi="仿宋" w:cs="仿宋" w:hint="eastAsia"/>
          <w:kern w:val="0"/>
          <w:szCs w:val="32"/>
        </w:rPr>
        <w:t>人以上、</w:t>
      </w:r>
      <w:r>
        <w:rPr>
          <w:rFonts w:ascii="仿宋" w:hAnsi="仿宋" w:cs="仿宋"/>
          <w:kern w:val="0"/>
          <w:szCs w:val="32"/>
        </w:rPr>
        <w:t>3</w:t>
      </w:r>
      <w:r>
        <w:rPr>
          <w:rFonts w:ascii="仿宋" w:hAnsi="仿宋" w:cs="仿宋" w:hint="eastAsia"/>
          <w:kern w:val="0"/>
          <w:szCs w:val="32"/>
        </w:rPr>
        <w:t>人以下；</w:t>
      </w:r>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（2）紧急转移安置或需紧急生活救助</w:t>
      </w:r>
      <w:r>
        <w:rPr>
          <w:rFonts w:ascii="仿宋" w:hAnsi="仿宋" w:cs="仿宋"/>
          <w:kern w:val="0"/>
          <w:szCs w:val="32"/>
        </w:rPr>
        <w:t>20</w:t>
      </w:r>
      <w:r>
        <w:rPr>
          <w:rFonts w:ascii="仿宋" w:hAnsi="仿宋" w:cs="仿宋" w:hint="eastAsia"/>
          <w:kern w:val="0"/>
          <w:szCs w:val="32"/>
        </w:rPr>
        <w:t>人以上、</w:t>
      </w:r>
      <w:r>
        <w:rPr>
          <w:rFonts w:ascii="仿宋" w:hAnsi="仿宋" w:cs="仿宋"/>
          <w:kern w:val="0"/>
          <w:szCs w:val="32"/>
        </w:rPr>
        <w:t>100</w:t>
      </w:r>
      <w:r>
        <w:rPr>
          <w:rFonts w:ascii="仿宋" w:hAnsi="仿宋" w:cs="仿宋" w:hint="eastAsia"/>
          <w:kern w:val="0"/>
          <w:szCs w:val="32"/>
        </w:rPr>
        <w:t>人以下；</w:t>
      </w:r>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（3）倒塌和严重损坏房屋</w:t>
      </w:r>
      <w:r>
        <w:rPr>
          <w:rFonts w:ascii="仿宋" w:hAnsi="仿宋" w:cs="仿宋"/>
          <w:kern w:val="0"/>
          <w:szCs w:val="32"/>
        </w:rPr>
        <w:t>10</w:t>
      </w:r>
      <w:r>
        <w:rPr>
          <w:rFonts w:ascii="仿宋" w:hAnsi="仿宋" w:cs="仿宋" w:hint="eastAsia"/>
          <w:kern w:val="0"/>
          <w:szCs w:val="32"/>
        </w:rPr>
        <w:t>间以上，</w:t>
      </w:r>
      <w:r>
        <w:rPr>
          <w:rFonts w:ascii="仿宋" w:hAnsi="仿宋" w:cs="仿宋"/>
          <w:kern w:val="0"/>
          <w:szCs w:val="32"/>
        </w:rPr>
        <w:t>30</w:t>
      </w:r>
      <w:r>
        <w:rPr>
          <w:rFonts w:ascii="仿宋" w:hAnsi="仿宋" w:cs="仿宋" w:hint="eastAsia"/>
          <w:kern w:val="0"/>
          <w:szCs w:val="32"/>
        </w:rPr>
        <w:t>间以下；</w:t>
      </w:r>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（4）干旱灾害造成缺粮或缺水等生活困难，需政府救助</w:t>
      </w:r>
      <w:r>
        <w:rPr>
          <w:rFonts w:ascii="仿宋" w:hAnsi="仿宋" w:cs="仿宋"/>
          <w:kern w:val="0"/>
          <w:szCs w:val="32"/>
        </w:rPr>
        <w:t>1000</w:t>
      </w:r>
      <w:r>
        <w:rPr>
          <w:rFonts w:ascii="仿宋" w:hAnsi="仿宋" w:cs="仿宋" w:hint="eastAsia"/>
          <w:kern w:val="0"/>
          <w:szCs w:val="32"/>
        </w:rPr>
        <w:t>人以上、</w:t>
      </w:r>
      <w:r>
        <w:rPr>
          <w:rFonts w:ascii="仿宋" w:hAnsi="仿宋" w:cs="仿宋"/>
          <w:kern w:val="0"/>
          <w:szCs w:val="32"/>
        </w:rPr>
        <w:t>2000</w:t>
      </w:r>
      <w:r>
        <w:rPr>
          <w:rFonts w:ascii="仿宋" w:hAnsi="仿宋" w:cs="仿宋" w:hint="eastAsia"/>
          <w:kern w:val="0"/>
          <w:szCs w:val="32"/>
        </w:rPr>
        <w:t>人以下；</w:t>
      </w:r>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（5）灾害造成群众生产生活资料遭受较大损失、短期内失去收入来源，或社会高度关注、群众反映强烈；</w:t>
      </w:r>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（6）</w:t>
      </w:r>
      <w:r>
        <w:rPr>
          <w:rFonts w:ascii="仿宋" w:hAnsi="仿宋" w:hint="eastAsia"/>
          <w:bCs/>
        </w:rPr>
        <w:t>有必要启动Ⅳ级应急响应的其他情形；</w:t>
      </w:r>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w:t>
      </w:r>
      <w:r>
        <w:rPr>
          <w:rFonts w:ascii="仿宋" w:hAnsi="仿宋" w:cs="仿宋"/>
          <w:kern w:val="0"/>
          <w:szCs w:val="32"/>
        </w:rPr>
        <w:t>7</w:t>
      </w:r>
      <w:r>
        <w:rPr>
          <w:rFonts w:ascii="仿宋" w:hAnsi="仿宋" w:cs="仿宋" w:hint="eastAsia"/>
          <w:kern w:val="0"/>
          <w:szCs w:val="32"/>
        </w:rPr>
        <w:t>）其他自然灾害专项预案Ⅳ级响应启动后视情启动。</w:t>
      </w:r>
    </w:p>
    <w:p>
      <w:pPr>
        <w:pStyle w:val="Heading3"/>
      </w:pPr>
      <w:bookmarkStart w:id="35" w:name="_Toc35098763"/>
      <w:r>
        <w:rPr>
          <w:rFonts w:hint="eastAsia"/>
        </w:rPr>
        <w:t>启动程序</w:t>
      </w:r>
      <w:bookmarkEnd w:id="35"/>
    </w:p>
    <w:p>
      <w:pPr>
        <w:adjustRightInd w:val="0"/>
        <w:snapToGrid w:val="0"/>
        <w:spacing w:line="590" w:lineRule="exact"/>
        <w:ind w:firstLine="640" w:firstLineChars="200"/>
        <w:rPr>
          <w:rFonts w:ascii="仿宋" w:hAnsi="仿宋" w:cs="仿宋"/>
          <w:kern w:val="0"/>
          <w:szCs w:val="32"/>
        </w:rPr>
      </w:pPr>
      <w:r>
        <w:rPr>
          <w:rFonts w:ascii="仿宋" w:hAnsi="仿宋" w:cs="仿宋" w:hint="eastAsia"/>
          <w:kern w:val="0"/>
          <w:szCs w:val="32"/>
        </w:rPr>
        <w:t>灾害发生后，</w:t>
      </w:r>
      <w:r>
        <w:rPr>
          <w:rFonts w:hint="eastAsia"/>
          <w:lang w:val="zh-CN"/>
        </w:rPr>
        <w:t>县减灾办</w:t>
      </w:r>
      <w:r>
        <w:rPr>
          <w:rFonts w:ascii="仿宋" w:hAnsi="仿宋" w:cs="仿宋"/>
          <w:kern w:val="0"/>
          <w:szCs w:val="32"/>
        </w:rPr>
        <w:br/>
      </w:r>
      <w:r>
        <w:rPr>
          <w:rFonts w:ascii="仿宋" w:hAnsi="仿宋" w:cs="仿宋"/>
          <w:kern w:val="0"/>
          <w:szCs w:val="32"/>
        </w:rPr>
        <w:br/>
      </w:r>
    </w:p>
    <w:p>
      <w:pPr>
        <w:widowControl/>
        <w:spacing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https://d.book118.com/635212221132011112</w:t>
        </w:r>
      </w:hyperlink>
    </w:p>
    <w:p>
      <w:pPr>
        <w:adjustRightInd w:val="0"/>
        <w:snapToGrid w:val="0"/>
        <w:spacing w:line="590" w:lineRule="exact"/>
        <w:ind w:firstLine="640" w:firstLineChars="200"/>
        <w:rPr>
          <w:rFonts w:ascii="仿宋" w:hAnsi="仿宋" w:cs="仿宋"/>
          <w:kern w:val="0"/>
          <w:szCs w:val="32"/>
        </w:rPr>
      </w:pPr>
    </w:p>
    <w:sectPr>
      <w:headerReference w:type="default" r:id="rId37"/>
      <w:footerReference w:type="default" r:id="rId38"/>
      <w:type w:val="nextPage"/>
      <w:pgSz w:w="11906" w:h="16838"/>
      <w:pgMar w:top="1440" w:right="1800" w:bottom="1440" w:left="1800" w:header="851" w:footer="992" w:gutter="0"/>
      <w:pgNumType w:start="1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Light">
    <w:altName w:val="宋体"/>
    <w:panose1 w:val="02010600030101010101"/>
    <w:charset w:val="86"/>
    <w:family w:val="auto"/>
    <w:pitch w:val="default"/>
    <w:sig w:usb0="00000000" w:usb1="00000000" w:usb2="00000016" w:usb3="00000000" w:csb0="0004000F" w:csb1="00000000"/>
  </w:font>
  <w:font w:name="方正小标宋_GBK">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15231061"/>
      <w:docPartObj>
        <w:docPartGallery w:val="AutoText"/>
      </w:docPartObj>
    </w:sdtPr>
    <w:sdtContent>
      <w:p>
        <w:pPr>
          <w:pStyle w:val="Footer"/>
          <w:jc w:val="center"/>
        </w:pPr>
        <w:r>
          <w:fldChar w:fldCharType="begin"/>
        </w:r>
        <w:r>
          <w:instrText>PAGE   \* MERGEFORMAT</w:instrText>
        </w:r>
        <w:r>
          <w:fldChar w:fldCharType="separate"/>
        </w:r>
        <w:r>
          <w:rPr>
            <w:lang w:val="zh-CN"/>
          </w:rP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6772639"/>
      <w:docPartObj>
        <w:docPartGallery w:val="AutoText"/>
      </w:docPartObj>
    </w:sdtPr>
    <w:sdtContent>
      <w:p>
        <w:pPr>
          <w:pStyle w:val="Footer"/>
          <w:jc w:val="center"/>
        </w:pPr>
        <w:r>
          <w:fldChar w:fldCharType="begin"/>
        </w:r>
        <w:r>
          <w:instrText>PAGE   \* MERGEFORMAT</w:instrText>
        </w:r>
        <w:r>
          <w:fldChar w:fldCharType="separate"/>
        </w:r>
        <w:r>
          <w:rPr>
            <w:lang w:val="zh-CN"/>
          </w:rPr>
          <w:t>2</w:t>
        </w:r>
        <w:r>
          <w:fldChar w:fldCharType="end"/>
        </w:r>
      </w:p>
    </w:sdtContent>
  </w:sdt>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58835291"/>
      <w:docPartObj>
        <w:docPartGallery w:val="AutoText"/>
      </w:docPartObj>
    </w:sdtPr>
    <w:sdtContent>
      <w:p>
        <w:pPr>
          <w:pStyle w:val="Footer"/>
          <w:jc w:val="center"/>
        </w:pPr>
        <w:r>
          <w:fldChar w:fldCharType="begin"/>
        </w:r>
        <w:r>
          <w:instrText>PAGE   \* MERGEFORMAT</w:instrText>
        </w:r>
        <w:r>
          <w:fldChar w:fldCharType="separate"/>
        </w:r>
        <w:r>
          <w:rPr>
            <w:lang w:val="zh-CN"/>
          </w:rPr>
          <w:t>3</w:t>
        </w:r>
        <w:r>
          <w:fldChar w:fldCharType="end"/>
        </w:r>
      </w:p>
    </w:sdtContent>
  </w:sdt>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32892650"/>
      <w:docPartObj>
        <w:docPartGallery w:val="AutoText"/>
      </w:docPartObj>
    </w:sdtPr>
    <w:sdtContent>
      <w:p>
        <w:pPr>
          <w:pStyle w:val="Footer"/>
          <w:jc w:val="center"/>
        </w:pPr>
        <w:r>
          <w:fldChar w:fldCharType="begin"/>
        </w:r>
        <w:r>
          <w:instrText>PAGE   \* MERGEFORMAT</w:instrText>
        </w:r>
        <w:r>
          <w:fldChar w:fldCharType="separate"/>
        </w:r>
        <w:r>
          <w:rPr>
            <w:lang w:val="zh-CN"/>
          </w:rPr>
          <w:t>5</w:t>
        </w:r>
        <w:r>
          <w:fldChar w:fldCharType="end"/>
        </w:r>
      </w:p>
    </w:sdtContent>
  </w:sdt>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32341296"/>
      <w:docPartObj>
        <w:docPartGallery w:val="AutoText"/>
      </w:docPartObj>
    </w:sdtPr>
    <w:sdtContent>
      <w:p>
        <w:pPr>
          <w:pStyle w:val="Footer"/>
          <w:jc w:val="center"/>
        </w:pPr>
        <w:r>
          <w:fldChar w:fldCharType="begin"/>
        </w:r>
        <w:r>
          <w:instrText>PAGE   \* MERGEFORMAT</w:instrText>
        </w:r>
        <w:r>
          <w:fldChar w:fldCharType="separate"/>
        </w:r>
        <w:r>
          <w:rPr>
            <w:lang w:val="zh-CN"/>
          </w:rPr>
          <w:t>5</w:t>
        </w:r>
        <w:r>
          <w:fldChar w:fldCharType="end"/>
        </w:r>
      </w:p>
    </w:sdtContent>
  </w:sdt>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26628389"/>
      <w:docPartObj>
        <w:docPartGallery w:val="AutoText"/>
      </w:docPartObj>
    </w:sdtPr>
    <w:sdtContent>
      <w:p>
        <w:pPr>
          <w:pStyle w:val="Footer"/>
          <w:jc w:val="center"/>
        </w:pPr>
        <w:r>
          <w:fldChar w:fldCharType="begin"/>
        </w:r>
        <w:r>
          <w:instrText>PAGE   \* MERGEFORMAT</w:instrText>
        </w:r>
        <w:r>
          <w:fldChar w:fldCharType="separate"/>
        </w:r>
        <w:r>
          <w:rPr>
            <w:lang w:val="zh-CN"/>
          </w:rPr>
          <w:t>6</w:t>
        </w:r>
        <w:r>
          <w:fldChar w:fldCharType="end"/>
        </w:r>
      </w:p>
    </w:sdtContent>
  </w:sdt>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98374258"/>
      <w:docPartObj>
        <w:docPartGallery w:val="AutoText"/>
      </w:docPartObj>
    </w:sdtPr>
    <w:sdtContent>
      <w:p>
        <w:pPr>
          <w:pStyle w:val="Footer"/>
          <w:jc w:val="center"/>
        </w:pPr>
        <w:r>
          <w:fldChar w:fldCharType="begin"/>
        </w:r>
        <w:r>
          <w:instrText>PAGE   \* MERGEFORMAT</w:instrText>
        </w:r>
        <w:r>
          <w:fldChar w:fldCharType="separate"/>
        </w:r>
        <w:r>
          <w:rPr>
            <w:lang w:val="zh-CN"/>
          </w:rPr>
          <w:t>8</w:t>
        </w:r>
        <w:r>
          <w:fldChar w:fldCharType="end"/>
        </w:r>
      </w:p>
    </w:sdtContent>
  </w:sdt>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04937706"/>
      <w:docPartObj>
        <w:docPartGallery w:val="AutoText"/>
      </w:docPartObj>
    </w:sdtPr>
    <w:sdtContent>
      <w:p>
        <w:pPr>
          <w:pStyle w:val="Footer"/>
          <w:jc w:val="center"/>
        </w:pPr>
        <w:r>
          <w:fldChar w:fldCharType="begin"/>
        </w:r>
        <w:r>
          <w:instrText>PAGE   \* MERGEFORMAT</w:instrText>
        </w:r>
        <w:r>
          <w:fldChar w:fldCharType="separate"/>
        </w:r>
        <w:r>
          <w:rPr>
            <w:lang w:val="zh-CN"/>
          </w:rPr>
          <w:t>9</w:t>
        </w:r>
        <w:r>
          <w:fldChar w:fldCharType="end"/>
        </w:r>
      </w:p>
    </w:sdtContent>
  </w:sdt>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90744558"/>
      <w:docPartObj>
        <w:docPartGallery w:val="AutoText"/>
      </w:docPartObj>
    </w:sdtPr>
    <w:sdtContent>
      <w:p>
        <w:pPr>
          <w:pStyle w:val="Footer"/>
          <w:jc w:val="center"/>
        </w:pPr>
        <w:r>
          <w:fldChar w:fldCharType="begin"/>
        </w:r>
        <w:r>
          <w:instrText>PAGE   \* MERGEFORMAT</w:instrText>
        </w:r>
        <w:r>
          <w:fldChar w:fldCharType="separate"/>
        </w:r>
        <w:r>
          <w:rPr>
            <w:lang w:val="zh-CN"/>
          </w:rPr>
          <w:t>9</w:t>
        </w:r>
        <w:r>
          <w:fldChar w:fldCharType="end"/>
        </w:r>
      </w:p>
    </w:sdtContent>
  </w:sdt>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40136459"/>
      <w:docPartObj>
        <w:docPartGallery w:val="AutoText"/>
      </w:docPartObj>
    </w:sdtPr>
    <w:sdtContent>
      <w:p>
        <w:pPr>
          <w:pStyle w:val="Footer"/>
          <w:jc w:val="center"/>
        </w:pPr>
        <w:r>
          <w:fldChar w:fldCharType="begin"/>
        </w:r>
        <w:r>
          <w:instrText>PAGE   \* MERGEFORMAT</w:instrText>
        </w:r>
        <w:r>
          <w:fldChar w:fldCharType="separate"/>
        </w:r>
        <w:r>
          <w:rPr>
            <w:lang w:val="zh-CN"/>
          </w:rPr>
          <w:t>10</w:t>
        </w:r>
        <w:r>
          <w:fldChar w:fldCharType="end"/>
        </w:r>
      </w:p>
    </w:sdtContent>
  </w:sdt>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85669291"/>
      <w:docPartObj>
        <w:docPartGallery w:val="AutoText"/>
      </w:docPartObj>
    </w:sdtPr>
    <w:sdtContent>
      <w:p>
        <w:pPr>
          <w:pStyle w:val="Footer"/>
          <w:jc w:val="center"/>
        </w:pPr>
        <w:r>
          <w:fldChar w:fldCharType="begin"/>
        </w:r>
        <w:r>
          <w:instrText>PAGE   \* MERGEFORMAT</w:instrText>
        </w:r>
        <w:r>
          <w:fldChar w:fldCharType="separate"/>
        </w:r>
        <w:r>
          <w:rPr>
            <w:lang w:val="zh-CN"/>
          </w:rPr>
          <w:t>11</w:t>
        </w:r>
        <w:r>
          <w:fldChar w:fldCharType="end"/>
        </w:r>
      </w:p>
    </w:sdtContent>
  </w:sdt>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3958754"/>
      <w:docPartObj>
        <w:docPartGallery w:val="AutoText"/>
      </w:docPartObj>
    </w:sdtPr>
    <w:sdtContent>
      <w:p>
        <w:pPr>
          <w:pStyle w:val="Footer"/>
          <w:jc w:val="center"/>
        </w:pPr>
        <w:r>
          <w:fldChar w:fldCharType="begin"/>
        </w:r>
        <w:r>
          <w:instrText>PAGE   \* MERGEFORMAT</w:instrText>
        </w:r>
        <w:r>
          <w:fldChar w:fldCharType="separate"/>
        </w:r>
        <w:r>
          <w:rPr>
            <w:lang w:val="zh-CN"/>
          </w:rPr>
          <w:t>12</w:t>
        </w:r>
        <w:r>
          <w:fldChar w:fldCharType="end"/>
        </w:r>
      </w:p>
    </w:sdtContent>
  </w:sdt>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77470131"/>
      <w:docPartObj>
        <w:docPartGallery w:val="AutoText"/>
      </w:docPartObj>
    </w:sdtPr>
    <w:sdtContent>
      <w:p>
        <w:pPr>
          <w:pStyle w:val="Footer"/>
          <w:jc w:val="center"/>
        </w:pPr>
        <w:r>
          <w:fldChar w:fldCharType="begin"/>
        </w:r>
        <w:r>
          <w:instrText>PAGE   \* MERGEFORMAT</w:instrText>
        </w:r>
        <w:r>
          <w:fldChar w:fldCharType="separate"/>
        </w:r>
        <w:r>
          <w:rPr>
            <w:lang w:val="zh-CN"/>
          </w:rPr>
          <w:t>13</w:t>
        </w:r>
        <w:r>
          <w:fldChar w:fldCharType="end"/>
        </w:r>
      </w:p>
    </w:sdtContent>
  </w:sdt>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70156604"/>
      <w:docPartObj>
        <w:docPartGallery w:val="AutoText"/>
      </w:docPartObj>
    </w:sdtPr>
    <w:sdtContent>
      <w:p>
        <w:pPr>
          <w:pStyle w:val="Footer"/>
          <w:jc w:val="center"/>
        </w:pPr>
        <w:r>
          <w:fldChar w:fldCharType="begin"/>
        </w:r>
        <w:r>
          <w:instrText>PAGE   \* MERGEFORMAT</w:instrText>
        </w:r>
        <w:r>
          <w:fldChar w:fldCharType="separate"/>
        </w:r>
        <w:r>
          <w:rPr>
            <w:lang w:val="zh-CN"/>
          </w:rPr>
          <w:t>14</w:t>
        </w:r>
        <w:r>
          <w:fldChar w:fldCharType="end"/>
        </w:r>
      </w:p>
    </w:sdtContent>
  </w:sdt>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06C1FCE"/>
    <w:multiLevelType w:val="multilevel"/>
    <w:tmpl w:val="106C1FCE"/>
    <w:lvl w:ilvl="0">
      <w:start w:val="1"/>
      <w:numFmt w:val="decimal"/>
      <w:lvlText w:val="（%1）"/>
      <w:lvlJc w:val="left"/>
      <w:pPr>
        <w:ind w:left="1060" w:hanging="420"/>
      </w:pPr>
      <w:rPr>
        <w:rFonts w:hint="eastAsia"/>
        <w:lang w:val="en-US"/>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nsid w:val="32452B55"/>
    <w:multiLevelType w:val="multilevel"/>
    <w:tmpl w:val="32452B55"/>
    <w:lvl w:ilvl="0">
      <w:start w:val="4"/>
      <w:numFmt w:val="decimal"/>
      <w:suff w:val="space"/>
      <w:lvlText w:val="（%1）"/>
      <w:lvlJc w:val="left"/>
      <w:pPr>
        <w:tabs>
          <w:tab w:val="left" w:pos="0"/>
        </w:tabs>
        <w:ind w:left="0" w:firstLine="0"/>
      </w:pPr>
      <w:rPr>
        <w:rFonts w:ascii="Times New Roman" w:hAnsi="Times New Roman" w:cs="Times New Roman" w:hint="default"/>
      </w:rPr>
    </w:lvl>
    <w:lvl w:ilvl="1">
      <w:start w:val="1"/>
      <w:numFmt w:val="decimal"/>
      <w:lvlText w:val="%2."/>
      <w:lvlJc w:val="left"/>
      <w:pPr>
        <w:tabs>
          <w:tab w:val="left" w:pos="1440"/>
        </w:tabs>
        <w:ind w:left="1440" w:hanging="360"/>
      </w:pPr>
      <w:rPr>
        <w:rFonts w:ascii="Times New Roman" w:hAnsi="Times New Roman" w:cs="Times New Roman" w:hint="default"/>
      </w:rPr>
    </w:lvl>
    <w:lvl w:ilvl="2">
      <w:start w:val="1"/>
      <w:numFmt w:val="decimal"/>
      <w:lvlText w:val="%3."/>
      <w:lvlJc w:val="left"/>
      <w:pPr>
        <w:tabs>
          <w:tab w:val="left" w:pos="2160"/>
        </w:tabs>
        <w:ind w:left="2160" w:hanging="360"/>
      </w:pPr>
      <w:rPr>
        <w:rFonts w:ascii="Times New Roman" w:hAnsi="Times New Roman" w:cs="Times New Roman" w:hint="default"/>
      </w:rPr>
    </w:lvl>
    <w:lvl w:ilvl="3">
      <w:start w:val="1"/>
      <w:numFmt w:val="decimal"/>
      <w:lvlText w:val="%4."/>
      <w:lvlJc w:val="left"/>
      <w:pPr>
        <w:tabs>
          <w:tab w:val="left" w:pos="2880"/>
        </w:tabs>
        <w:ind w:left="2880" w:hanging="360"/>
      </w:pPr>
      <w:rPr>
        <w:rFonts w:ascii="Times New Roman" w:hAnsi="Times New Roman" w:cs="Times New Roman" w:hint="default"/>
      </w:rPr>
    </w:lvl>
    <w:lvl w:ilvl="4">
      <w:start w:val="1"/>
      <w:numFmt w:val="decimal"/>
      <w:lvlText w:val="%5."/>
      <w:lvlJc w:val="left"/>
      <w:pPr>
        <w:tabs>
          <w:tab w:val="left" w:pos="3600"/>
        </w:tabs>
        <w:ind w:left="3600" w:hanging="360"/>
      </w:pPr>
      <w:rPr>
        <w:rFonts w:ascii="Times New Roman" w:hAnsi="Times New Roman" w:cs="Times New Roman" w:hint="default"/>
      </w:rPr>
    </w:lvl>
    <w:lvl w:ilvl="5">
      <w:start w:val="1"/>
      <w:numFmt w:val="decimal"/>
      <w:lvlText w:val="%6."/>
      <w:lvlJc w:val="left"/>
      <w:pPr>
        <w:tabs>
          <w:tab w:val="left" w:pos="4320"/>
        </w:tabs>
        <w:ind w:left="4320" w:hanging="360"/>
      </w:pPr>
      <w:rPr>
        <w:rFonts w:ascii="Times New Roman" w:hAnsi="Times New Roman" w:cs="Times New Roman" w:hint="default"/>
      </w:rPr>
    </w:lvl>
    <w:lvl w:ilvl="6">
      <w:start w:val="1"/>
      <w:numFmt w:val="decimal"/>
      <w:lvlText w:val="%7."/>
      <w:lvlJc w:val="left"/>
      <w:pPr>
        <w:tabs>
          <w:tab w:val="left" w:pos="5040"/>
        </w:tabs>
        <w:ind w:left="5040" w:hanging="360"/>
      </w:pPr>
      <w:rPr>
        <w:rFonts w:ascii="Times New Roman" w:hAnsi="Times New Roman" w:cs="Times New Roman" w:hint="default"/>
      </w:rPr>
    </w:lvl>
    <w:lvl w:ilvl="7">
      <w:start w:val="1"/>
      <w:numFmt w:val="decimal"/>
      <w:lvlText w:val="%8."/>
      <w:lvlJc w:val="left"/>
      <w:pPr>
        <w:tabs>
          <w:tab w:val="left" w:pos="5760"/>
        </w:tabs>
        <w:ind w:left="5760" w:hanging="360"/>
      </w:pPr>
      <w:rPr>
        <w:rFonts w:ascii="Times New Roman" w:hAnsi="Times New Roman" w:cs="Times New Roman" w:hint="default"/>
      </w:rPr>
    </w:lvl>
    <w:lvl w:ilvl="8">
      <w:start w:val="1"/>
      <w:numFmt w:val="decimal"/>
      <w:lvlText w:val="%9."/>
      <w:lvlJc w:val="left"/>
      <w:pPr>
        <w:tabs>
          <w:tab w:val="left" w:pos="6480"/>
        </w:tabs>
        <w:ind w:left="6480" w:hanging="360"/>
      </w:pPr>
      <w:rPr>
        <w:rFonts w:ascii="Times New Roman" w:hAnsi="Times New Roman" w:cs="Times New Roman" w:hint="default"/>
      </w:rPr>
    </w:lvl>
  </w:abstractNum>
  <w:abstractNum w:abstractNumId="2">
    <w:nsid w:val="7225F42F"/>
    <w:multiLevelType w:val="multilevel"/>
    <w:tmpl w:val="106C1FCE"/>
    <w:lvl w:ilvl="0">
      <w:start w:val="1"/>
      <w:numFmt w:val="decimal"/>
      <w:lvlText w:val="（%1）"/>
      <w:lvlJc w:val="left"/>
      <w:pPr>
        <w:ind w:left="1060" w:hanging="420"/>
      </w:pPr>
      <w:rPr>
        <w:rFonts w:hint="eastAsia"/>
        <w:lang w:val="en-US"/>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3">
    <w:nsid w:val="7C5D3D83"/>
    <w:multiLevelType w:val="multilevel"/>
    <w:tmpl w:val="7C5D3D83"/>
    <w:lvl w:ilvl="0">
      <w:start w:val="1"/>
      <w:numFmt w:val="decimal"/>
      <w:pStyle w:val="Heading1"/>
      <w:lvlText w:val="%1"/>
      <w:lvlJc w:val="left"/>
      <w:pPr>
        <w:ind w:left="425" w:hanging="425"/>
      </w:pPr>
      <w:rPr>
        <w:rFonts w:ascii="宋体" w:eastAsia="宋体" w:hAnsi="宋体" w:hint="eastAsia"/>
      </w:rPr>
    </w:lvl>
    <w:lvl w:ilvl="1">
      <w:start w:val="1"/>
      <w:numFmt w:val="decimal"/>
      <w:pStyle w:val="Heading2"/>
      <w:lvlText w:val="%1.%2"/>
      <w:lvlJc w:val="left"/>
      <w:pPr>
        <w:ind w:left="992" w:hanging="567"/>
      </w:pPr>
      <w:rPr>
        <w:rFonts w:hint="eastAsia"/>
      </w:rPr>
    </w:lvl>
    <w:lvl w:ilvl="2">
      <w:start w:val="1"/>
      <w:numFmt w:val="decimal"/>
      <w:pStyle w:val="Heading3"/>
      <w:lvlText w:val="%1.%2.%3"/>
      <w:lvlJc w:val="left"/>
      <w:pPr>
        <w:ind w:left="1418" w:hanging="567"/>
      </w:pPr>
      <w:rPr>
        <w:rFonts w:hint="eastAsia"/>
      </w:rPr>
    </w:lvl>
    <w:lvl w:ilvl="3">
      <w:start w:val="1"/>
      <w:numFmt w:val="decimal"/>
      <w:pStyle w:val="Heading4"/>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3"/>
  </w:num>
  <w:num w:numId="2">
    <w:abstractNumId w:val="0"/>
  </w:num>
  <w:num w:numId="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4A1"/>
    <w:rsid w:val="000006CE"/>
    <w:rsid w:val="00001309"/>
    <w:rsid w:val="00002078"/>
    <w:rsid w:val="00002447"/>
    <w:rsid w:val="000035D9"/>
    <w:rsid w:val="0001351D"/>
    <w:rsid w:val="0001456C"/>
    <w:rsid w:val="0001462A"/>
    <w:rsid w:val="00014D32"/>
    <w:rsid w:val="00015EAE"/>
    <w:rsid w:val="00017606"/>
    <w:rsid w:val="000217E0"/>
    <w:rsid w:val="000223F7"/>
    <w:rsid w:val="00025ABD"/>
    <w:rsid w:val="00026163"/>
    <w:rsid w:val="00026E2D"/>
    <w:rsid w:val="0003188E"/>
    <w:rsid w:val="00032EFC"/>
    <w:rsid w:val="0003567E"/>
    <w:rsid w:val="00042404"/>
    <w:rsid w:val="00050555"/>
    <w:rsid w:val="00050769"/>
    <w:rsid w:val="000509D1"/>
    <w:rsid w:val="0005269A"/>
    <w:rsid w:val="000569FF"/>
    <w:rsid w:val="00060CD0"/>
    <w:rsid w:val="00065317"/>
    <w:rsid w:val="00065CA0"/>
    <w:rsid w:val="00066575"/>
    <w:rsid w:val="00066652"/>
    <w:rsid w:val="00070348"/>
    <w:rsid w:val="00070A61"/>
    <w:rsid w:val="00070E9D"/>
    <w:rsid w:val="0007256E"/>
    <w:rsid w:val="00073B59"/>
    <w:rsid w:val="000745D8"/>
    <w:rsid w:val="00074ABA"/>
    <w:rsid w:val="00075428"/>
    <w:rsid w:val="00082529"/>
    <w:rsid w:val="000838AE"/>
    <w:rsid w:val="00083D0B"/>
    <w:rsid w:val="0009178D"/>
    <w:rsid w:val="00092365"/>
    <w:rsid w:val="000A1699"/>
    <w:rsid w:val="000A2633"/>
    <w:rsid w:val="000A3CFE"/>
    <w:rsid w:val="000A4440"/>
    <w:rsid w:val="000B4045"/>
    <w:rsid w:val="000C0A7F"/>
    <w:rsid w:val="000C3A6F"/>
    <w:rsid w:val="000C577C"/>
    <w:rsid w:val="000C76D0"/>
    <w:rsid w:val="000D1307"/>
    <w:rsid w:val="000D3E1F"/>
    <w:rsid w:val="000D5F6C"/>
    <w:rsid w:val="000E06DD"/>
    <w:rsid w:val="000F35BA"/>
    <w:rsid w:val="000F6C4E"/>
    <w:rsid w:val="0010181E"/>
    <w:rsid w:val="00101943"/>
    <w:rsid w:val="00101CFC"/>
    <w:rsid w:val="0010274D"/>
    <w:rsid w:val="0010340E"/>
    <w:rsid w:val="001038DE"/>
    <w:rsid w:val="00103DE7"/>
    <w:rsid w:val="001052E1"/>
    <w:rsid w:val="00107297"/>
    <w:rsid w:val="00107681"/>
    <w:rsid w:val="00112935"/>
    <w:rsid w:val="00116B81"/>
    <w:rsid w:val="00117C01"/>
    <w:rsid w:val="00122123"/>
    <w:rsid w:val="0012359A"/>
    <w:rsid w:val="00124475"/>
    <w:rsid w:val="00124DD8"/>
    <w:rsid w:val="00125DB7"/>
    <w:rsid w:val="00134F26"/>
    <w:rsid w:val="001352F2"/>
    <w:rsid w:val="00135BCD"/>
    <w:rsid w:val="00141C59"/>
    <w:rsid w:val="00143976"/>
    <w:rsid w:val="001445AA"/>
    <w:rsid w:val="00144724"/>
    <w:rsid w:val="00144CC2"/>
    <w:rsid w:val="0015198D"/>
    <w:rsid w:val="001559B1"/>
    <w:rsid w:val="00155D40"/>
    <w:rsid w:val="00162D59"/>
    <w:rsid w:val="00163017"/>
    <w:rsid w:val="00163CFD"/>
    <w:rsid w:val="00165203"/>
    <w:rsid w:val="0016617B"/>
    <w:rsid w:val="001711AE"/>
    <w:rsid w:val="001713EE"/>
    <w:rsid w:val="0017155C"/>
    <w:rsid w:val="00173B5C"/>
    <w:rsid w:val="00173EAA"/>
    <w:rsid w:val="00175038"/>
    <w:rsid w:val="00176E65"/>
    <w:rsid w:val="0018133A"/>
    <w:rsid w:val="0018173B"/>
    <w:rsid w:val="001826AD"/>
    <w:rsid w:val="00182863"/>
    <w:rsid w:val="0018405F"/>
    <w:rsid w:val="00190770"/>
    <w:rsid w:val="00190C2D"/>
    <w:rsid w:val="00191FAF"/>
    <w:rsid w:val="0019451D"/>
    <w:rsid w:val="001A1BDA"/>
    <w:rsid w:val="001A3154"/>
    <w:rsid w:val="001A3E73"/>
    <w:rsid w:val="001A4636"/>
    <w:rsid w:val="001A5D02"/>
    <w:rsid w:val="001A7037"/>
    <w:rsid w:val="001B1A03"/>
    <w:rsid w:val="001B1CD3"/>
    <w:rsid w:val="001B223A"/>
    <w:rsid w:val="001B2736"/>
    <w:rsid w:val="001B2A74"/>
    <w:rsid w:val="001B36EB"/>
    <w:rsid w:val="001C1B3B"/>
    <w:rsid w:val="001C5052"/>
    <w:rsid w:val="001C672E"/>
    <w:rsid w:val="001C73E1"/>
    <w:rsid w:val="001D07B8"/>
    <w:rsid w:val="001D2DD4"/>
    <w:rsid w:val="001D3740"/>
    <w:rsid w:val="001D7554"/>
    <w:rsid w:val="001D7D54"/>
    <w:rsid w:val="001E2AA5"/>
    <w:rsid w:val="001E356D"/>
    <w:rsid w:val="001E3F51"/>
    <w:rsid w:val="001E641C"/>
    <w:rsid w:val="001F01A2"/>
    <w:rsid w:val="001F0401"/>
    <w:rsid w:val="001F04F3"/>
    <w:rsid w:val="001F228F"/>
    <w:rsid w:val="001F2E8E"/>
    <w:rsid w:val="001F5AD6"/>
    <w:rsid w:val="001F614B"/>
    <w:rsid w:val="001F75F9"/>
    <w:rsid w:val="00206497"/>
    <w:rsid w:val="00210046"/>
    <w:rsid w:val="00210E7A"/>
    <w:rsid w:val="00211982"/>
    <w:rsid w:val="002130F4"/>
    <w:rsid w:val="002144A8"/>
    <w:rsid w:val="00214548"/>
    <w:rsid w:val="00216123"/>
    <w:rsid w:val="00216AC5"/>
    <w:rsid w:val="00217094"/>
    <w:rsid w:val="002207AB"/>
    <w:rsid w:val="002231A5"/>
    <w:rsid w:val="00224C75"/>
    <w:rsid w:val="0022706F"/>
    <w:rsid w:val="0022746B"/>
    <w:rsid w:val="00233263"/>
    <w:rsid w:val="00233A44"/>
    <w:rsid w:val="00233A89"/>
    <w:rsid w:val="00233E9B"/>
    <w:rsid w:val="00234DEA"/>
    <w:rsid w:val="00234EC1"/>
    <w:rsid w:val="00235883"/>
    <w:rsid w:val="00235E5C"/>
    <w:rsid w:val="0023756A"/>
    <w:rsid w:val="00240240"/>
    <w:rsid w:val="00240FC0"/>
    <w:rsid w:val="00243F18"/>
    <w:rsid w:val="002459E6"/>
    <w:rsid w:val="00247C9C"/>
    <w:rsid w:val="00250452"/>
    <w:rsid w:val="002511EB"/>
    <w:rsid w:val="0025200B"/>
    <w:rsid w:val="0025241D"/>
    <w:rsid w:val="002525D8"/>
    <w:rsid w:val="00253452"/>
    <w:rsid w:val="00253C80"/>
    <w:rsid w:val="00260AEA"/>
    <w:rsid w:val="00263E0E"/>
    <w:rsid w:val="00265C39"/>
    <w:rsid w:val="00265C59"/>
    <w:rsid w:val="0026694F"/>
    <w:rsid w:val="00267EFE"/>
    <w:rsid w:val="00272BD7"/>
    <w:rsid w:val="002742A0"/>
    <w:rsid w:val="00274B72"/>
    <w:rsid w:val="00277F34"/>
    <w:rsid w:val="002806BB"/>
    <w:rsid w:val="002829D0"/>
    <w:rsid w:val="00284AA6"/>
    <w:rsid w:val="00284AD0"/>
    <w:rsid w:val="00285712"/>
    <w:rsid w:val="00286F8C"/>
    <w:rsid w:val="002900B8"/>
    <w:rsid w:val="002906D7"/>
    <w:rsid w:val="00295302"/>
    <w:rsid w:val="00296622"/>
    <w:rsid w:val="002A2009"/>
    <w:rsid w:val="002A2688"/>
    <w:rsid w:val="002A319E"/>
    <w:rsid w:val="002A617A"/>
    <w:rsid w:val="002B1459"/>
    <w:rsid w:val="002B1C7F"/>
    <w:rsid w:val="002B1E94"/>
    <w:rsid w:val="002B7551"/>
    <w:rsid w:val="002C0FEE"/>
    <w:rsid w:val="002C43ED"/>
    <w:rsid w:val="002C447A"/>
    <w:rsid w:val="002C6292"/>
    <w:rsid w:val="002D1B6E"/>
    <w:rsid w:val="002D1DF8"/>
    <w:rsid w:val="002D274A"/>
    <w:rsid w:val="002D2B5D"/>
    <w:rsid w:val="002D4D54"/>
    <w:rsid w:val="002D5D26"/>
    <w:rsid w:val="002D6BC9"/>
    <w:rsid w:val="002D73E2"/>
    <w:rsid w:val="002D797E"/>
    <w:rsid w:val="002E0578"/>
    <w:rsid w:val="002E0B98"/>
    <w:rsid w:val="002E1104"/>
    <w:rsid w:val="002E3B75"/>
    <w:rsid w:val="002F010C"/>
    <w:rsid w:val="002F0FC3"/>
    <w:rsid w:val="002F22F4"/>
    <w:rsid w:val="002F619F"/>
    <w:rsid w:val="0030003D"/>
    <w:rsid w:val="00300E86"/>
    <w:rsid w:val="003043EA"/>
    <w:rsid w:val="0030487E"/>
    <w:rsid w:val="00304C99"/>
    <w:rsid w:val="00304D9B"/>
    <w:rsid w:val="00306AEF"/>
    <w:rsid w:val="0031009B"/>
    <w:rsid w:val="00310E6C"/>
    <w:rsid w:val="00312AFA"/>
    <w:rsid w:val="003132CA"/>
    <w:rsid w:val="00313715"/>
    <w:rsid w:val="00316752"/>
    <w:rsid w:val="00322093"/>
    <w:rsid w:val="00323CA9"/>
    <w:rsid w:val="00324EA0"/>
    <w:rsid w:val="003256E6"/>
    <w:rsid w:val="00330A64"/>
    <w:rsid w:val="003349A8"/>
    <w:rsid w:val="00340ECE"/>
    <w:rsid w:val="00341779"/>
    <w:rsid w:val="00344462"/>
    <w:rsid w:val="0034513B"/>
    <w:rsid w:val="003478B2"/>
    <w:rsid w:val="0035179D"/>
    <w:rsid w:val="00351A32"/>
    <w:rsid w:val="00352E57"/>
    <w:rsid w:val="00352FA2"/>
    <w:rsid w:val="00354BA2"/>
    <w:rsid w:val="00356B24"/>
    <w:rsid w:val="00357721"/>
    <w:rsid w:val="0035788D"/>
    <w:rsid w:val="00361D21"/>
    <w:rsid w:val="00362CA9"/>
    <w:rsid w:val="00364305"/>
    <w:rsid w:val="00367799"/>
    <w:rsid w:val="00367DE3"/>
    <w:rsid w:val="00370631"/>
    <w:rsid w:val="00371560"/>
    <w:rsid w:val="003759EA"/>
    <w:rsid w:val="00377331"/>
    <w:rsid w:val="00380C38"/>
    <w:rsid w:val="00382341"/>
    <w:rsid w:val="003862DB"/>
    <w:rsid w:val="00387585"/>
    <w:rsid w:val="003916D5"/>
    <w:rsid w:val="003920A5"/>
    <w:rsid w:val="00394E7C"/>
    <w:rsid w:val="00395937"/>
    <w:rsid w:val="003960E2"/>
    <w:rsid w:val="00396306"/>
    <w:rsid w:val="00396DF4"/>
    <w:rsid w:val="003A09BA"/>
    <w:rsid w:val="003A6FD7"/>
    <w:rsid w:val="003B11A7"/>
    <w:rsid w:val="003B24AA"/>
    <w:rsid w:val="003B2AF5"/>
    <w:rsid w:val="003B3AFD"/>
    <w:rsid w:val="003B6D80"/>
    <w:rsid w:val="003C4892"/>
    <w:rsid w:val="003C5C64"/>
    <w:rsid w:val="003C6818"/>
    <w:rsid w:val="003D2890"/>
    <w:rsid w:val="003D37BD"/>
    <w:rsid w:val="003D40DB"/>
    <w:rsid w:val="003D7142"/>
    <w:rsid w:val="003E1A61"/>
    <w:rsid w:val="003E5600"/>
    <w:rsid w:val="003E70BB"/>
    <w:rsid w:val="003F14D9"/>
    <w:rsid w:val="003F20DD"/>
    <w:rsid w:val="003F3F09"/>
    <w:rsid w:val="003F6F54"/>
    <w:rsid w:val="00400672"/>
    <w:rsid w:val="00401245"/>
    <w:rsid w:val="004016EC"/>
    <w:rsid w:val="004032C7"/>
    <w:rsid w:val="004119C5"/>
    <w:rsid w:val="004150DE"/>
    <w:rsid w:val="00416976"/>
    <w:rsid w:val="00417083"/>
    <w:rsid w:val="004170E0"/>
    <w:rsid w:val="00420937"/>
    <w:rsid w:val="00420FB7"/>
    <w:rsid w:val="00422DD7"/>
    <w:rsid w:val="00422E09"/>
    <w:rsid w:val="00425169"/>
    <w:rsid w:val="00425DB0"/>
    <w:rsid w:val="00430932"/>
    <w:rsid w:val="00432EE3"/>
    <w:rsid w:val="0043344F"/>
    <w:rsid w:val="0043365A"/>
    <w:rsid w:val="004339C6"/>
    <w:rsid w:val="00434A0B"/>
    <w:rsid w:val="0043672B"/>
    <w:rsid w:val="00437106"/>
    <w:rsid w:val="00437A15"/>
    <w:rsid w:val="00441535"/>
    <w:rsid w:val="0044351A"/>
    <w:rsid w:val="004454D4"/>
    <w:rsid w:val="00445F87"/>
    <w:rsid w:val="0045135D"/>
    <w:rsid w:val="00453789"/>
    <w:rsid w:val="0045395F"/>
    <w:rsid w:val="00457659"/>
    <w:rsid w:val="0046506F"/>
    <w:rsid w:val="004652B8"/>
    <w:rsid w:val="0046746F"/>
    <w:rsid w:val="00471D8B"/>
    <w:rsid w:val="00472094"/>
    <w:rsid w:val="00472138"/>
    <w:rsid w:val="0047331D"/>
    <w:rsid w:val="00473B05"/>
    <w:rsid w:val="00474199"/>
    <w:rsid w:val="004751E0"/>
    <w:rsid w:val="00477EAC"/>
    <w:rsid w:val="004813B6"/>
    <w:rsid w:val="00483179"/>
    <w:rsid w:val="00486C6F"/>
    <w:rsid w:val="004878BC"/>
    <w:rsid w:val="00490470"/>
    <w:rsid w:val="00490C68"/>
    <w:rsid w:val="00491F3D"/>
    <w:rsid w:val="00494331"/>
    <w:rsid w:val="00494852"/>
    <w:rsid w:val="00494EB1"/>
    <w:rsid w:val="00497CE1"/>
    <w:rsid w:val="004A2DD5"/>
    <w:rsid w:val="004A64AD"/>
    <w:rsid w:val="004A6A7E"/>
    <w:rsid w:val="004A6FB5"/>
    <w:rsid w:val="004B058C"/>
    <w:rsid w:val="004B5072"/>
    <w:rsid w:val="004B5DC7"/>
    <w:rsid w:val="004B60A1"/>
    <w:rsid w:val="004B6F91"/>
    <w:rsid w:val="004B7657"/>
    <w:rsid w:val="004B7F73"/>
    <w:rsid w:val="004C08D6"/>
    <w:rsid w:val="004C0BAF"/>
    <w:rsid w:val="004C1044"/>
    <w:rsid w:val="004C2D24"/>
    <w:rsid w:val="004C3EEA"/>
    <w:rsid w:val="004C5182"/>
    <w:rsid w:val="004D407C"/>
    <w:rsid w:val="004D75FE"/>
    <w:rsid w:val="004E02B0"/>
    <w:rsid w:val="004F1345"/>
    <w:rsid w:val="004F5A68"/>
    <w:rsid w:val="004F7D6E"/>
    <w:rsid w:val="005003DC"/>
    <w:rsid w:val="00500648"/>
    <w:rsid w:val="005037E8"/>
    <w:rsid w:val="00507BF1"/>
    <w:rsid w:val="0051048D"/>
    <w:rsid w:val="005141C9"/>
    <w:rsid w:val="00514B87"/>
    <w:rsid w:val="00515552"/>
    <w:rsid w:val="0051586D"/>
    <w:rsid w:val="005163C6"/>
    <w:rsid w:val="00522319"/>
    <w:rsid w:val="00522F7E"/>
    <w:rsid w:val="0052386B"/>
    <w:rsid w:val="00525E66"/>
    <w:rsid w:val="005265D4"/>
    <w:rsid w:val="0053076A"/>
    <w:rsid w:val="00530B8F"/>
    <w:rsid w:val="00530DCF"/>
    <w:rsid w:val="005345A0"/>
    <w:rsid w:val="00534F87"/>
    <w:rsid w:val="00536067"/>
    <w:rsid w:val="00540B39"/>
    <w:rsid w:val="00541705"/>
    <w:rsid w:val="0054207A"/>
    <w:rsid w:val="00542263"/>
    <w:rsid w:val="0054338E"/>
    <w:rsid w:val="00543D15"/>
    <w:rsid w:val="005442C7"/>
    <w:rsid w:val="0054477E"/>
    <w:rsid w:val="00544BB5"/>
    <w:rsid w:val="00545DF5"/>
    <w:rsid w:val="00547226"/>
    <w:rsid w:val="005476F4"/>
    <w:rsid w:val="0055118A"/>
    <w:rsid w:val="005517F7"/>
    <w:rsid w:val="00551A12"/>
    <w:rsid w:val="0055535F"/>
    <w:rsid w:val="0056558C"/>
    <w:rsid w:val="00565718"/>
    <w:rsid w:val="00571F15"/>
    <w:rsid w:val="00576F7C"/>
    <w:rsid w:val="00577439"/>
    <w:rsid w:val="00580CBE"/>
    <w:rsid w:val="0058238C"/>
    <w:rsid w:val="0058753F"/>
    <w:rsid w:val="00590AE1"/>
    <w:rsid w:val="00593737"/>
    <w:rsid w:val="005A012B"/>
    <w:rsid w:val="005A0A63"/>
    <w:rsid w:val="005A337C"/>
    <w:rsid w:val="005A796A"/>
    <w:rsid w:val="005B69D7"/>
    <w:rsid w:val="005B6D02"/>
    <w:rsid w:val="005C2022"/>
    <w:rsid w:val="005C6510"/>
    <w:rsid w:val="005D6678"/>
    <w:rsid w:val="005D7069"/>
    <w:rsid w:val="005D7C40"/>
    <w:rsid w:val="005E0335"/>
    <w:rsid w:val="005E3A5A"/>
    <w:rsid w:val="005E411F"/>
    <w:rsid w:val="005F0B00"/>
    <w:rsid w:val="005F1D50"/>
    <w:rsid w:val="005F3DB4"/>
    <w:rsid w:val="005F5CD2"/>
    <w:rsid w:val="005F6C23"/>
    <w:rsid w:val="005F6CB4"/>
    <w:rsid w:val="00603032"/>
    <w:rsid w:val="00604B88"/>
    <w:rsid w:val="006077FB"/>
    <w:rsid w:val="00610706"/>
    <w:rsid w:val="0061075A"/>
    <w:rsid w:val="006112B7"/>
    <w:rsid w:val="006162DA"/>
    <w:rsid w:val="0061712D"/>
    <w:rsid w:val="00617A73"/>
    <w:rsid w:val="00620918"/>
    <w:rsid w:val="00623772"/>
    <w:rsid w:val="00625781"/>
    <w:rsid w:val="00627EF0"/>
    <w:rsid w:val="006300FC"/>
    <w:rsid w:val="006316B0"/>
    <w:rsid w:val="00633A91"/>
    <w:rsid w:val="006344CB"/>
    <w:rsid w:val="00635053"/>
    <w:rsid w:val="006353A3"/>
    <w:rsid w:val="00636D35"/>
    <w:rsid w:val="00643009"/>
    <w:rsid w:val="00645444"/>
    <w:rsid w:val="006461AC"/>
    <w:rsid w:val="0064644D"/>
    <w:rsid w:val="006528FD"/>
    <w:rsid w:val="00654E01"/>
    <w:rsid w:val="0065594F"/>
    <w:rsid w:val="00655A21"/>
    <w:rsid w:val="00655B4F"/>
    <w:rsid w:val="00660E73"/>
    <w:rsid w:val="00661ADE"/>
    <w:rsid w:val="00663857"/>
    <w:rsid w:val="00671A8C"/>
    <w:rsid w:val="00671B89"/>
    <w:rsid w:val="0067375A"/>
    <w:rsid w:val="006744A0"/>
    <w:rsid w:val="00675389"/>
    <w:rsid w:val="006761AD"/>
    <w:rsid w:val="006768DB"/>
    <w:rsid w:val="00677668"/>
    <w:rsid w:val="00677C58"/>
    <w:rsid w:val="0068008A"/>
    <w:rsid w:val="00681A77"/>
    <w:rsid w:val="006838DB"/>
    <w:rsid w:val="00683B05"/>
    <w:rsid w:val="00686B2F"/>
    <w:rsid w:val="00687E1B"/>
    <w:rsid w:val="00691A95"/>
    <w:rsid w:val="00692E59"/>
    <w:rsid w:val="00694F7B"/>
    <w:rsid w:val="00696028"/>
    <w:rsid w:val="006A063E"/>
    <w:rsid w:val="006A1023"/>
    <w:rsid w:val="006A10FB"/>
    <w:rsid w:val="006A1675"/>
    <w:rsid w:val="006A4E76"/>
    <w:rsid w:val="006A7BF6"/>
    <w:rsid w:val="006B04D8"/>
    <w:rsid w:val="006B1798"/>
    <w:rsid w:val="006B2545"/>
    <w:rsid w:val="006B37DC"/>
    <w:rsid w:val="006B4597"/>
    <w:rsid w:val="006B4A7E"/>
    <w:rsid w:val="006C310E"/>
    <w:rsid w:val="006C3CAD"/>
    <w:rsid w:val="006C3F56"/>
    <w:rsid w:val="006C6ECD"/>
    <w:rsid w:val="006C7D2D"/>
    <w:rsid w:val="006D069A"/>
    <w:rsid w:val="006D25FD"/>
    <w:rsid w:val="006D64B0"/>
    <w:rsid w:val="006E2D81"/>
    <w:rsid w:val="006E359E"/>
    <w:rsid w:val="006E57AF"/>
    <w:rsid w:val="006E7463"/>
    <w:rsid w:val="006F0086"/>
    <w:rsid w:val="006F0C24"/>
    <w:rsid w:val="006F665B"/>
    <w:rsid w:val="006F74AF"/>
    <w:rsid w:val="0070557A"/>
    <w:rsid w:val="00707F21"/>
    <w:rsid w:val="0071051D"/>
    <w:rsid w:val="0071082E"/>
    <w:rsid w:val="007122A3"/>
    <w:rsid w:val="00713A79"/>
    <w:rsid w:val="007157A0"/>
    <w:rsid w:val="00715E44"/>
    <w:rsid w:val="0072087F"/>
    <w:rsid w:val="0072542D"/>
    <w:rsid w:val="0072664B"/>
    <w:rsid w:val="007307E4"/>
    <w:rsid w:val="00730D5A"/>
    <w:rsid w:val="0073138D"/>
    <w:rsid w:val="00734679"/>
    <w:rsid w:val="007346FE"/>
    <w:rsid w:val="00734876"/>
    <w:rsid w:val="00734EF1"/>
    <w:rsid w:val="007359E1"/>
    <w:rsid w:val="00745492"/>
    <w:rsid w:val="00750BC7"/>
    <w:rsid w:val="007514E8"/>
    <w:rsid w:val="007610D2"/>
    <w:rsid w:val="0076312C"/>
    <w:rsid w:val="00765CCB"/>
    <w:rsid w:val="00766CAB"/>
    <w:rsid w:val="00766ECD"/>
    <w:rsid w:val="0076709B"/>
    <w:rsid w:val="00770ED0"/>
    <w:rsid w:val="00771CEC"/>
    <w:rsid w:val="007742C2"/>
    <w:rsid w:val="00776F39"/>
    <w:rsid w:val="00780550"/>
    <w:rsid w:val="00780779"/>
    <w:rsid w:val="00780D90"/>
    <w:rsid w:val="00782DF3"/>
    <w:rsid w:val="00783559"/>
    <w:rsid w:val="00783695"/>
    <w:rsid w:val="007848A0"/>
    <w:rsid w:val="007855CF"/>
    <w:rsid w:val="007855E8"/>
    <w:rsid w:val="00787313"/>
    <w:rsid w:val="00787375"/>
    <w:rsid w:val="00791C28"/>
    <w:rsid w:val="00792682"/>
    <w:rsid w:val="00796B6B"/>
    <w:rsid w:val="00796C2D"/>
    <w:rsid w:val="007A1A58"/>
    <w:rsid w:val="007A2795"/>
    <w:rsid w:val="007A298C"/>
    <w:rsid w:val="007A4696"/>
    <w:rsid w:val="007A5491"/>
    <w:rsid w:val="007A574D"/>
    <w:rsid w:val="007B118F"/>
    <w:rsid w:val="007B472A"/>
    <w:rsid w:val="007B4ED3"/>
    <w:rsid w:val="007B7124"/>
    <w:rsid w:val="007C0163"/>
    <w:rsid w:val="007C2C34"/>
    <w:rsid w:val="007C2DCC"/>
    <w:rsid w:val="007C4019"/>
    <w:rsid w:val="007C4F9F"/>
    <w:rsid w:val="007C5AEE"/>
    <w:rsid w:val="007C625E"/>
    <w:rsid w:val="007C62ED"/>
    <w:rsid w:val="007C6DA7"/>
    <w:rsid w:val="007C6E56"/>
    <w:rsid w:val="007C778E"/>
    <w:rsid w:val="007D02DC"/>
    <w:rsid w:val="007D0D94"/>
    <w:rsid w:val="007E0A51"/>
    <w:rsid w:val="007E394A"/>
    <w:rsid w:val="007E421B"/>
    <w:rsid w:val="007E5A93"/>
    <w:rsid w:val="007E5BD8"/>
    <w:rsid w:val="007E67BB"/>
    <w:rsid w:val="007F1858"/>
    <w:rsid w:val="007F3640"/>
    <w:rsid w:val="007F441E"/>
    <w:rsid w:val="008028E3"/>
    <w:rsid w:val="0080357F"/>
    <w:rsid w:val="00804D09"/>
    <w:rsid w:val="00810AF4"/>
    <w:rsid w:val="00817ECA"/>
    <w:rsid w:val="008209C3"/>
    <w:rsid w:val="00821247"/>
    <w:rsid w:val="00822A15"/>
    <w:rsid w:val="0082322C"/>
    <w:rsid w:val="008237E7"/>
    <w:rsid w:val="00823CDA"/>
    <w:rsid w:val="00825533"/>
    <w:rsid w:val="008261AE"/>
    <w:rsid w:val="0083782A"/>
    <w:rsid w:val="00842F89"/>
    <w:rsid w:val="00852C2D"/>
    <w:rsid w:val="00855B6D"/>
    <w:rsid w:val="00860168"/>
    <w:rsid w:val="008618E7"/>
    <w:rsid w:val="00862B42"/>
    <w:rsid w:val="008672E5"/>
    <w:rsid w:val="00867856"/>
    <w:rsid w:val="00867E9D"/>
    <w:rsid w:val="0087094D"/>
    <w:rsid w:val="0087113A"/>
    <w:rsid w:val="00872D71"/>
    <w:rsid w:val="008734E3"/>
    <w:rsid w:val="0087355C"/>
    <w:rsid w:val="00875D52"/>
    <w:rsid w:val="0087713B"/>
    <w:rsid w:val="00877597"/>
    <w:rsid w:val="00877D47"/>
    <w:rsid w:val="008802BC"/>
    <w:rsid w:val="00880F0F"/>
    <w:rsid w:val="008810D8"/>
    <w:rsid w:val="008851F0"/>
    <w:rsid w:val="00886662"/>
    <w:rsid w:val="00886B37"/>
    <w:rsid w:val="00887F62"/>
    <w:rsid w:val="0089054A"/>
    <w:rsid w:val="00891891"/>
    <w:rsid w:val="008950B0"/>
    <w:rsid w:val="008955B8"/>
    <w:rsid w:val="008A0CE3"/>
    <w:rsid w:val="008A2AC3"/>
    <w:rsid w:val="008A2C40"/>
    <w:rsid w:val="008A30DC"/>
    <w:rsid w:val="008A4E41"/>
    <w:rsid w:val="008A55EC"/>
    <w:rsid w:val="008B0E90"/>
    <w:rsid w:val="008B38B6"/>
    <w:rsid w:val="008B7BB9"/>
    <w:rsid w:val="008C3C6D"/>
    <w:rsid w:val="008C3EE6"/>
    <w:rsid w:val="008C4558"/>
    <w:rsid w:val="008C4BE6"/>
    <w:rsid w:val="008C54F1"/>
    <w:rsid w:val="008C7F67"/>
    <w:rsid w:val="008D088B"/>
    <w:rsid w:val="008D0BD0"/>
    <w:rsid w:val="008D388D"/>
    <w:rsid w:val="008D7A42"/>
    <w:rsid w:val="008E2A97"/>
    <w:rsid w:val="008E2B47"/>
    <w:rsid w:val="008E3567"/>
    <w:rsid w:val="008E37E8"/>
    <w:rsid w:val="008E4A5E"/>
    <w:rsid w:val="008E5C71"/>
    <w:rsid w:val="008E7537"/>
    <w:rsid w:val="008E7953"/>
    <w:rsid w:val="008E7D33"/>
    <w:rsid w:val="008E7DE7"/>
    <w:rsid w:val="008F25B8"/>
    <w:rsid w:val="008F348A"/>
    <w:rsid w:val="009021E6"/>
    <w:rsid w:val="009032D5"/>
    <w:rsid w:val="009117CD"/>
    <w:rsid w:val="0091278D"/>
    <w:rsid w:val="00916D3B"/>
    <w:rsid w:val="009203A0"/>
    <w:rsid w:val="009207F8"/>
    <w:rsid w:val="009241E5"/>
    <w:rsid w:val="009257F8"/>
    <w:rsid w:val="0092597E"/>
    <w:rsid w:val="00926123"/>
    <w:rsid w:val="00927459"/>
    <w:rsid w:val="00930001"/>
    <w:rsid w:val="00931DDC"/>
    <w:rsid w:val="00936857"/>
    <w:rsid w:val="00937341"/>
    <w:rsid w:val="00937CEB"/>
    <w:rsid w:val="009410E4"/>
    <w:rsid w:val="00941C89"/>
    <w:rsid w:val="009426C6"/>
    <w:rsid w:val="0094329D"/>
    <w:rsid w:val="00944249"/>
    <w:rsid w:val="00945167"/>
    <w:rsid w:val="0094522A"/>
    <w:rsid w:val="0094560E"/>
    <w:rsid w:val="0094777F"/>
    <w:rsid w:val="0096420C"/>
    <w:rsid w:val="00965098"/>
    <w:rsid w:val="00965989"/>
    <w:rsid w:val="00966270"/>
    <w:rsid w:val="0096715D"/>
    <w:rsid w:val="0096762A"/>
    <w:rsid w:val="00970409"/>
    <w:rsid w:val="00972FC6"/>
    <w:rsid w:val="009735FB"/>
    <w:rsid w:val="0097466A"/>
    <w:rsid w:val="00975463"/>
    <w:rsid w:val="00976CC8"/>
    <w:rsid w:val="00980BD5"/>
    <w:rsid w:val="00981B87"/>
    <w:rsid w:val="00983F3A"/>
    <w:rsid w:val="009864F5"/>
    <w:rsid w:val="0099197F"/>
    <w:rsid w:val="009934B5"/>
    <w:rsid w:val="009961CF"/>
    <w:rsid w:val="0099725B"/>
    <w:rsid w:val="00997482"/>
    <w:rsid w:val="009A256A"/>
    <w:rsid w:val="009A594E"/>
    <w:rsid w:val="009A5A1A"/>
    <w:rsid w:val="009A5FA3"/>
    <w:rsid w:val="009B01A5"/>
    <w:rsid w:val="009B3173"/>
    <w:rsid w:val="009B4152"/>
    <w:rsid w:val="009B45C1"/>
    <w:rsid w:val="009B47AF"/>
    <w:rsid w:val="009B4C44"/>
    <w:rsid w:val="009C187E"/>
    <w:rsid w:val="009C1E5F"/>
    <w:rsid w:val="009C2109"/>
    <w:rsid w:val="009C2D2D"/>
    <w:rsid w:val="009C5A39"/>
    <w:rsid w:val="009C6184"/>
    <w:rsid w:val="009C72C5"/>
    <w:rsid w:val="009D1E91"/>
    <w:rsid w:val="009D32A3"/>
    <w:rsid w:val="009D3F89"/>
    <w:rsid w:val="009D57B2"/>
    <w:rsid w:val="009D6716"/>
    <w:rsid w:val="009D6F36"/>
    <w:rsid w:val="009D7068"/>
    <w:rsid w:val="009E12F7"/>
    <w:rsid w:val="009E426A"/>
    <w:rsid w:val="009E7504"/>
    <w:rsid w:val="009E78A9"/>
    <w:rsid w:val="009F5F25"/>
    <w:rsid w:val="00A008CA"/>
    <w:rsid w:val="00A01EEC"/>
    <w:rsid w:val="00A03B85"/>
    <w:rsid w:val="00A04706"/>
    <w:rsid w:val="00A04E45"/>
    <w:rsid w:val="00A05868"/>
    <w:rsid w:val="00A06CFB"/>
    <w:rsid w:val="00A070BB"/>
    <w:rsid w:val="00A1355F"/>
    <w:rsid w:val="00A149B7"/>
    <w:rsid w:val="00A1747B"/>
    <w:rsid w:val="00A17867"/>
    <w:rsid w:val="00A201D6"/>
    <w:rsid w:val="00A2223D"/>
    <w:rsid w:val="00A22C8A"/>
    <w:rsid w:val="00A23136"/>
    <w:rsid w:val="00A24604"/>
    <w:rsid w:val="00A24845"/>
    <w:rsid w:val="00A24E16"/>
    <w:rsid w:val="00A335AE"/>
    <w:rsid w:val="00A368EC"/>
    <w:rsid w:val="00A37EA2"/>
    <w:rsid w:val="00A404C0"/>
    <w:rsid w:val="00A410AA"/>
    <w:rsid w:val="00A51F16"/>
    <w:rsid w:val="00A52A10"/>
    <w:rsid w:val="00A61018"/>
    <w:rsid w:val="00A63A0E"/>
    <w:rsid w:val="00A65D09"/>
    <w:rsid w:val="00A65D9E"/>
    <w:rsid w:val="00A66C8B"/>
    <w:rsid w:val="00A66DDD"/>
    <w:rsid w:val="00A72AC7"/>
    <w:rsid w:val="00A74C71"/>
    <w:rsid w:val="00A76BB4"/>
    <w:rsid w:val="00A772C1"/>
    <w:rsid w:val="00A774D4"/>
    <w:rsid w:val="00A83E48"/>
    <w:rsid w:val="00A84755"/>
    <w:rsid w:val="00A8496B"/>
    <w:rsid w:val="00A85446"/>
    <w:rsid w:val="00A864BA"/>
    <w:rsid w:val="00A92568"/>
    <w:rsid w:val="00A944D3"/>
    <w:rsid w:val="00A94F6B"/>
    <w:rsid w:val="00A953DB"/>
    <w:rsid w:val="00A95B8D"/>
    <w:rsid w:val="00AA155F"/>
    <w:rsid w:val="00AA159A"/>
    <w:rsid w:val="00AA1641"/>
    <w:rsid w:val="00AA1E79"/>
    <w:rsid w:val="00AA1FF9"/>
    <w:rsid w:val="00AA2824"/>
    <w:rsid w:val="00AA4066"/>
    <w:rsid w:val="00AA54AB"/>
    <w:rsid w:val="00AB168E"/>
    <w:rsid w:val="00AB1DE6"/>
    <w:rsid w:val="00AB29CA"/>
    <w:rsid w:val="00AB5A34"/>
    <w:rsid w:val="00AB5F79"/>
    <w:rsid w:val="00AB6A6D"/>
    <w:rsid w:val="00AB7585"/>
    <w:rsid w:val="00AB7A68"/>
    <w:rsid w:val="00AC07C7"/>
    <w:rsid w:val="00AC3244"/>
    <w:rsid w:val="00AC5F0E"/>
    <w:rsid w:val="00AD08A9"/>
    <w:rsid w:val="00AD2B5E"/>
    <w:rsid w:val="00AD3312"/>
    <w:rsid w:val="00AD3AA6"/>
    <w:rsid w:val="00AE19BC"/>
    <w:rsid w:val="00AE2CC8"/>
    <w:rsid w:val="00AE4D03"/>
    <w:rsid w:val="00AE58D5"/>
    <w:rsid w:val="00AE695C"/>
    <w:rsid w:val="00AE7FCF"/>
    <w:rsid w:val="00AF07E0"/>
    <w:rsid w:val="00AF10CD"/>
    <w:rsid w:val="00AF3F48"/>
    <w:rsid w:val="00AF5613"/>
    <w:rsid w:val="00AF601D"/>
    <w:rsid w:val="00AF7337"/>
    <w:rsid w:val="00AF7437"/>
    <w:rsid w:val="00B0231D"/>
    <w:rsid w:val="00B04B8D"/>
    <w:rsid w:val="00B057BE"/>
    <w:rsid w:val="00B06E1E"/>
    <w:rsid w:val="00B158FB"/>
    <w:rsid w:val="00B17980"/>
    <w:rsid w:val="00B23A72"/>
    <w:rsid w:val="00B25D52"/>
    <w:rsid w:val="00B266FF"/>
    <w:rsid w:val="00B2694B"/>
    <w:rsid w:val="00B27B2F"/>
    <w:rsid w:val="00B3315A"/>
    <w:rsid w:val="00B357F0"/>
    <w:rsid w:val="00B35D6B"/>
    <w:rsid w:val="00B3637C"/>
    <w:rsid w:val="00B36794"/>
    <w:rsid w:val="00B369FE"/>
    <w:rsid w:val="00B37F5F"/>
    <w:rsid w:val="00B44EBF"/>
    <w:rsid w:val="00B45C9D"/>
    <w:rsid w:val="00B4667C"/>
    <w:rsid w:val="00B47654"/>
    <w:rsid w:val="00B520AE"/>
    <w:rsid w:val="00B55CFA"/>
    <w:rsid w:val="00B60C56"/>
    <w:rsid w:val="00B6294A"/>
    <w:rsid w:val="00B6314A"/>
    <w:rsid w:val="00B63AC1"/>
    <w:rsid w:val="00B6620D"/>
    <w:rsid w:val="00B66C5C"/>
    <w:rsid w:val="00B67BA5"/>
    <w:rsid w:val="00B7080E"/>
    <w:rsid w:val="00B73AB7"/>
    <w:rsid w:val="00B7513A"/>
    <w:rsid w:val="00B757A6"/>
    <w:rsid w:val="00B779D5"/>
    <w:rsid w:val="00B8200D"/>
    <w:rsid w:val="00B8627D"/>
    <w:rsid w:val="00B8691E"/>
    <w:rsid w:val="00B91C9C"/>
    <w:rsid w:val="00B92F95"/>
    <w:rsid w:val="00B93742"/>
    <w:rsid w:val="00B97BCD"/>
    <w:rsid w:val="00BA0441"/>
    <w:rsid w:val="00BA0A20"/>
    <w:rsid w:val="00BA14C7"/>
    <w:rsid w:val="00BA4078"/>
    <w:rsid w:val="00BA4F14"/>
    <w:rsid w:val="00BA660C"/>
    <w:rsid w:val="00BB201D"/>
    <w:rsid w:val="00BB2FAC"/>
    <w:rsid w:val="00BB40C9"/>
    <w:rsid w:val="00BB4EBC"/>
    <w:rsid w:val="00BB6574"/>
    <w:rsid w:val="00BB6A54"/>
    <w:rsid w:val="00BB6EEC"/>
    <w:rsid w:val="00BB7299"/>
    <w:rsid w:val="00BB7C6C"/>
    <w:rsid w:val="00BB7E05"/>
    <w:rsid w:val="00BC18D9"/>
    <w:rsid w:val="00BC3684"/>
    <w:rsid w:val="00BC3C8D"/>
    <w:rsid w:val="00BC5894"/>
    <w:rsid w:val="00BC7F79"/>
    <w:rsid w:val="00BD058C"/>
    <w:rsid w:val="00BD481B"/>
    <w:rsid w:val="00BD4D99"/>
    <w:rsid w:val="00BD6C71"/>
    <w:rsid w:val="00BD7993"/>
    <w:rsid w:val="00BE05C1"/>
    <w:rsid w:val="00BE295B"/>
    <w:rsid w:val="00BE3623"/>
    <w:rsid w:val="00BE3846"/>
    <w:rsid w:val="00BE7CE0"/>
    <w:rsid w:val="00BF0992"/>
    <w:rsid w:val="00BF1403"/>
    <w:rsid w:val="00BF15C4"/>
    <w:rsid w:val="00BF30E7"/>
    <w:rsid w:val="00BF6AC7"/>
    <w:rsid w:val="00BF6E25"/>
    <w:rsid w:val="00C00362"/>
    <w:rsid w:val="00C010A7"/>
    <w:rsid w:val="00C0303F"/>
    <w:rsid w:val="00C03774"/>
    <w:rsid w:val="00C05BEF"/>
    <w:rsid w:val="00C15239"/>
    <w:rsid w:val="00C17057"/>
    <w:rsid w:val="00C172D2"/>
    <w:rsid w:val="00C172DF"/>
    <w:rsid w:val="00C173C4"/>
    <w:rsid w:val="00C22590"/>
    <w:rsid w:val="00C25F25"/>
    <w:rsid w:val="00C2643A"/>
    <w:rsid w:val="00C319DC"/>
    <w:rsid w:val="00C328C6"/>
    <w:rsid w:val="00C372D9"/>
    <w:rsid w:val="00C410E3"/>
    <w:rsid w:val="00C42723"/>
    <w:rsid w:val="00C42AFF"/>
    <w:rsid w:val="00C4376E"/>
    <w:rsid w:val="00C450D0"/>
    <w:rsid w:val="00C53578"/>
    <w:rsid w:val="00C537D4"/>
    <w:rsid w:val="00C5388D"/>
    <w:rsid w:val="00C53A17"/>
    <w:rsid w:val="00C53DE2"/>
    <w:rsid w:val="00C55F66"/>
    <w:rsid w:val="00C57EDF"/>
    <w:rsid w:val="00C60441"/>
    <w:rsid w:val="00C61D61"/>
    <w:rsid w:val="00C65566"/>
    <w:rsid w:val="00C65917"/>
    <w:rsid w:val="00C67C22"/>
    <w:rsid w:val="00C73FBB"/>
    <w:rsid w:val="00C743EC"/>
    <w:rsid w:val="00C745A5"/>
    <w:rsid w:val="00C7490B"/>
    <w:rsid w:val="00C74AC9"/>
    <w:rsid w:val="00C74E09"/>
    <w:rsid w:val="00C74EF5"/>
    <w:rsid w:val="00C80047"/>
    <w:rsid w:val="00C821E4"/>
    <w:rsid w:val="00C83C8E"/>
    <w:rsid w:val="00C8416A"/>
    <w:rsid w:val="00C87E90"/>
    <w:rsid w:val="00C90B1A"/>
    <w:rsid w:val="00C91A34"/>
    <w:rsid w:val="00C92961"/>
    <w:rsid w:val="00CA00B4"/>
    <w:rsid w:val="00CA2BE8"/>
    <w:rsid w:val="00CA2FB8"/>
    <w:rsid w:val="00CB01BE"/>
    <w:rsid w:val="00CB1302"/>
    <w:rsid w:val="00CB3179"/>
    <w:rsid w:val="00CB48D7"/>
    <w:rsid w:val="00CC23B6"/>
    <w:rsid w:val="00CC5F7E"/>
    <w:rsid w:val="00CD0676"/>
    <w:rsid w:val="00CD389A"/>
    <w:rsid w:val="00CD3DBC"/>
    <w:rsid w:val="00CD43D4"/>
    <w:rsid w:val="00CD79EA"/>
    <w:rsid w:val="00CD7EF3"/>
    <w:rsid w:val="00CE0A21"/>
    <w:rsid w:val="00CE0BB4"/>
    <w:rsid w:val="00CE5DF0"/>
    <w:rsid w:val="00CE73CE"/>
    <w:rsid w:val="00CF3D4C"/>
    <w:rsid w:val="00D030E0"/>
    <w:rsid w:val="00D031AE"/>
    <w:rsid w:val="00D0636A"/>
    <w:rsid w:val="00D13870"/>
    <w:rsid w:val="00D14321"/>
    <w:rsid w:val="00D20F52"/>
    <w:rsid w:val="00D2763B"/>
    <w:rsid w:val="00D30AAF"/>
    <w:rsid w:val="00D35066"/>
    <w:rsid w:val="00D355AB"/>
    <w:rsid w:val="00D35994"/>
    <w:rsid w:val="00D36099"/>
    <w:rsid w:val="00D41DCE"/>
    <w:rsid w:val="00D50FF1"/>
    <w:rsid w:val="00D51817"/>
    <w:rsid w:val="00D5787C"/>
    <w:rsid w:val="00D60C88"/>
    <w:rsid w:val="00D61F3E"/>
    <w:rsid w:val="00D62AA5"/>
    <w:rsid w:val="00D6550F"/>
    <w:rsid w:val="00D65BF2"/>
    <w:rsid w:val="00D66244"/>
    <w:rsid w:val="00D67D4A"/>
    <w:rsid w:val="00D67FBF"/>
    <w:rsid w:val="00D80118"/>
    <w:rsid w:val="00D91EA7"/>
    <w:rsid w:val="00D9413E"/>
    <w:rsid w:val="00D94394"/>
    <w:rsid w:val="00D9472C"/>
    <w:rsid w:val="00D94911"/>
    <w:rsid w:val="00D94A79"/>
    <w:rsid w:val="00D95CCC"/>
    <w:rsid w:val="00D96311"/>
    <w:rsid w:val="00D974F4"/>
    <w:rsid w:val="00DA0B1A"/>
    <w:rsid w:val="00DA245C"/>
    <w:rsid w:val="00DB01CD"/>
    <w:rsid w:val="00DB31B0"/>
    <w:rsid w:val="00DC2731"/>
    <w:rsid w:val="00DC628D"/>
    <w:rsid w:val="00DC792C"/>
    <w:rsid w:val="00DD2055"/>
    <w:rsid w:val="00DD26F0"/>
    <w:rsid w:val="00DD2B0E"/>
    <w:rsid w:val="00DD2CF5"/>
    <w:rsid w:val="00DD51A5"/>
    <w:rsid w:val="00DD699D"/>
    <w:rsid w:val="00DD7A88"/>
    <w:rsid w:val="00DD7C8D"/>
    <w:rsid w:val="00DE0A9F"/>
    <w:rsid w:val="00DE0D77"/>
    <w:rsid w:val="00DE101C"/>
    <w:rsid w:val="00DE30A1"/>
    <w:rsid w:val="00DE6257"/>
    <w:rsid w:val="00DE69AA"/>
    <w:rsid w:val="00DF101C"/>
    <w:rsid w:val="00DF1219"/>
    <w:rsid w:val="00DF19A6"/>
    <w:rsid w:val="00DF3CDF"/>
    <w:rsid w:val="00DF497A"/>
    <w:rsid w:val="00DF4B85"/>
    <w:rsid w:val="00DF581D"/>
    <w:rsid w:val="00DF6A7B"/>
    <w:rsid w:val="00DF6D70"/>
    <w:rsid w:val="00DF7D02"/>
    <w:rsid w:val="00E013E1"/>
    <w:rsid w:val="00E01B77"/>
    <w:rsid w:val="00E05E62"/>
    <w:rsid w:val="00E103C1"/>
    <w:rsid w:val="00E1181D"/>
    <w:rsid w:val="00E14BD1"/>
    <w:rsid w:val="00E17E2F"/>
    <w:rsid w:val="00E319F4"/>
    <w:rsid w:val="00E350DC"/>
    <w:rsid w:val="00E37104"/>
    <w:rsid w:val="00E37C64"/>
    <w:rsid w:val="00E41685"/>
    <w:rsid w:val="00E44090"/>
    <w:rsid w:val="00E519D9"/>
    <w:rsid w:val="00E522E7"/>
    <w:rsid w:val="00E53AD5"/>
    <w:rsid w:val="00E5488F"/>
    <w:rsid w:val="00E54EAE"/>
    <w:rsid w:val="00E560E8"/>
    <w:rsid w:val="00E624A1"/>
    <w:rsid w:val="00E6354B"/>
    <w:rsid w:val="00E63C71"/>
    <w:rsid w:val="00E65C13"/>
    <w:rsid w:val="00E66DC3"/>
    <w:rsid w:val="00E700F0"/>
    <w:rsid w:val="00E76F22"/>
    <w:rsid w:val="00E82642"/>
    <w:rsid w:val="00E83960"/>
    <w:rsid w:val="00E83C28"/>
    <w:rsid w:val="00E83FAD"/>
    <w:rsid w:val="00E853F0"/>
    <w:rsid w:val="00E92B08"/>
    <w:rsid w:val="00E95AF3"/>
    <w:rsid w:val="00EA0B1C"/>
    <w:rsid w:val="00EA2968"/>
    <w:rsid w:val="00EA3822"/>
    <w:rsid w:val="00EA3A0A"/>
    <w:rsid w:val="00EA3FD1"/>
    <w:rsid w:val="00EA4465"/>
    <w:rsid w:val="00EA49D8"/>
    <w:rsid w:val="00EA797D"/>
    <w:rsid w:val="00EB01A0"/>
    <w:rsid w:val="00EB25C9"/>
    <w:rsid w:val="00EB2A9C"/>
    <w:rsid w:val="00EB7AE9"/>
    <w:rsid w:val="00EC1B57"/>
    <w:rsid w:val="00EC43CB"/>
    <w:rsid w:val="00EC4736"/>
    <w:rsid w:val="00EC4CF0"/>
    <w:rsid w:val="00EC53A9"/>
    <w:rsid w:val="00ED0382"/>
    <w:rsid w:val="00ED11C0"/>
    <w:rsid w:val="00ED1707"/>
    <w:rsid w:val="00ED2D1D"/>
    <w:rsid w:val="00ED6F46"/>
    <w:rsid w:val="00EE23F5"/>
    <w:rsid w:val="00EE2D9B"/>
    <w:rsid w:val="00EE3114"/>
    <w:rsid w:val="00EE507A"/>
    <w:rsid w:val="00EE6591"/>
    <w:rsid w:val="00EF17EE"/>
    <w:rsid w:val="00EF1C91"/>
    <w:rsid w:val="00EF2E1A"/>
    <w:rsid w:val="00EF36BA"/>
    <w:rsid w:val="00EF3920"/>
    <w:rsid w:val="00EF6F30"/>
    <w:rsid w:val="00F004A4"/>
    <w:rsid w:val="00F00B07"/>
    <w:rsid w:val="00F022EC"/>
    <w:rsid w:val="00F05B52"/>
    <w:rsid w:val="00F11411"/>
    <w:rsid w:val="00F11FAE"/>
    <w:rsid w:val="00F1453C"/>
    <w:rsid w:val="00F15A26"/>
    <w:rsid w:val="00F20B9E"/>
    <w:rsid w:val="00F21163"/>
    <w:rsid w:val="00F23E36"/>
    <w:rsid w:val="00F300BE"/>
    <w:rsid w:val="00F30543"/>
    <w:rsid w:val="00F30E9D"/>
    <w:rsid w:val="00F40E1A"/>
    <w:rsid w:val="00F429CD"/>
    <w:rsid w:val="00F44D8B"/>
    <w:rsid w:val="00F45362"/>
    <w:rsid w:val="00F46449"/>
    <w:rsid w:val="00F47B04"/>
    <w:rsid w:val="00F5001D"/>
    <w:rsid w:val="00F520A6"/>
    <w:rsid w:val="00F57A21"/>
    <w:rsid w:val="00F57AF8"/>
    <w:rsid w:val="00F610DB"/>
    <w:rsid w:val="00F64249"/>
    <w:rsid w:val="00F66758"/>
    <w:rsid w:val="00F66E09"/>
    <w:rsid w:val="00F70E2E"/>
    <w:rsid w:val="00F71081"/>
    <w:rsid w:val="00F73CCD"/>
    <w:rsid w:val="00F74CC9"/>
    <w:rsid w:val="00F7515A"/>
    <w:rsid w:val="00F75D48"/>
    <w:rsid w:val="00F769DB"/>
    <w:rsid w:val="00F8053E"/>
    <w:rsid w:val="00F8366E"/>
    <w:rsid w:val="00F846B3"/>
    <w:rsid w:val="00F85B4E"/>
    <w:rsid w:val="00F871DF"/>
    <w:rsid w:val="00F911B6"/>
    <w:rsid w:val="00F9213B"/>
    <w:rsid w:val="00F92A2D"/>
    <w:rsid w:val="00F93FB1"/>
    <w:rsid w:val="00F94F71"/>
    <w:rsid w:val="00FA0E28"/>
    <w:rsid w:val="00FA10DE"/>
    <w:rsid w:val="00FA10F4"/>
    <w:rsid w:val="00FA129B"/>
    <w:rsid w:val="00FA5E7D"/>
    <w:rsid w:val="00FB0D8C"/>
    <w:rsid w:val="00FB302E"/>
    <w:rsid w:val="00FB32F7"/>
    <w:rsid w:val="00FB37B7"/>
    <w:rsid w:val="00FB4E67"/>
    <w:rsid w:val="00FB4FE5"/>
    <w:rsid w:val="00FB51DC"/>
    <w:rsid w:val="00FB71CB"/>
    <w:rsid w:val="00FC3085"/>
    <w:rsid w:val="00FC3D70"/>
    <w:rsid w:val="00FC5800"/>
    <w:rsid w:val="00FC59AB"/>
    <w:rsid w:val="00FC62AE"/>
    <w:rsid w:val="00FC649C"/>
    <w:rsid w:val="00FC64DE"/>
    <w:rsid w:val="00FD01D9"/>
    <w:rsid w:val="00FD045F"/>
    <w:rsid w:val="00FD09A6"/>
    <w:rsid w:val="00FD33C2"/>
    <w:rsid w:val="00FD3503"/>
    <w:rsid w:val="00FD5912"/>
    <w:rsid w:val="00FD5BB6"/>
    <w:rsid w:val="00FD7F28"/>
    <w:rsid w:val="00FE02AE"/>
    <w:rsid w:val="00FE1CC3"/>
    <w:rsid w:val="00FE2DB2"/>
    <w:rsid w:val="00FE337B"/>
    <w:rsid w:val="00FE35C0"/>
    <w:rsid w:val="00FE3AF4"/>
    <w:rsid w:val="00FE4320"/>
    <w:rsid w:val="00FE5182"/>
    <w:rsid w:val="00FE64C7"/>
    <w:rsid w:val="00FE6DC6"/>
    <w:rsid w:val="00FF0B39"/>
    <w:rsid w:val="00FF0E43"/>
    <w:rsid w:val="00FF2B52"/>
    <w:rsid w:val="00FF6286"/>
    <w:rsid w:val="00FF781E"/>
    <w:rsid w:val="6A3E09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仿宋"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line="360" w:lineRule="auto"/>
      <w:jc w:val="both"/>
    </w:pPr>
    <w:rPr>
      <w:rFonts w:eastAsia="仿宋" w:asciiTheme="minorHAnsi" w:hAnsiTheme="minorHAnsi" w:cstheme="minorBidi"/>
      <w:kern w:val="2"/>
      <w:sz w:val="32"/>
      <w:szCs w:val="22"/>
      <w:lang w:val="en-US" w:eastAsia="zh-CN" w:bidi="ar-SA"/>
    </w:rPr>
  </w:style>
  <w:style w:type="paragraph" w:styleId="Heading1">
    <w:name w:val="heading 1"/>
    <w:basedOn w:val="Normal"/>
    <w:next w:val="Normal"/>
    <w:link w:val="1"/>
    <w:uiPriority w:val="9"/>
    <w:qFormat/>
    <w:pPr>
      <w:keepNext/>
      <w:keepLines/>
      <w:numPr>
        <w:ilvl w:val="0"/>
        <w:numId w:val="1"/>
      </w:numPr>
      <w:spacing w:before="340" w:after="330" w:line="578" w:lineRule="auto"/>
      <w:jc w:val="center"/>
      <w:outlineLvl w:val="0"/>
    </w:pPr>
    <w:rPr>
      <w:rFonts w:eastAsia="宋体"/>
      <w:b/>
      <w:bCs/>
      <w:kern w:val="44"/>
      <w:sz w:val="44"/>
      <w:szCs w:val="44"/>
    </w:rPr>
  </w:style>
  <w:style w:type="paragraph" w:styleId="Heading2">
    <w:name w:val="heading 2"/>
    <w:basedOn w:val="Normal"/>
    <w:next w:val="Normal"/>
    <w:link w:val="2"/>
    <w:uiPriority w:val="9"/>
    <w:unhideWhenUsed/>
    <w:qFormat/>
    <w:pPr>
      <w:keepNext/>
      <w:keepLines/>
      <w:numPr>
        <w:ilvl w:val="1"/>
        <w:numId w:val="1"/>
      </w:numPr>
      <w:spacing w:before="260" w:after="260" w:line="416" w:lineRule="auto"/>
      <w:outlineLvl w:val="1"/>
    </w:pPr>
    <w:rPr>
      <w:rFonts w:asciiTheme="majorHAnsi" w:hAnsiTheme="majorHAnsi" w:cstheme="majorBidi"/>
      <w:b/>
      <w:bCs/>
      <w:szCs w:val="32"/>
    </w:rPr>
  </w:style>
  <w:style w:type="paragraph" w:styleId="Heading3">
    <w:name w:val="heading 3"/>
    <w:basedOn w:val="Normal"/>
    <w:next w:val="Normal"/>
    <w:link w:val="3"/>
    <w:uiPriority w:val="9"/>
    <w:unhideWhenUsed/>
    <w:qFormat/>
    <w:pPr>
      <w:keepNext/>
      <w:keepLines/>
      <w:numPr>
        <w:ilvl w:val="2"/>
        <w:numId w:val="1"/>
      </w:numPr>
      <w:spacing w:before="260" w:after="260" w:line="416" w:lineRule="auto"/>
      <w:outlineLvl w:val="2"/>
    </w:pPr>
    <w:rPr>
      <w:b/>
      <w:bCs/>
      <w:szCs w:val="32"/>
    </w:rPr>
  </w:style>
  <w:style w:type="paragraph" w:styleId="Heading4">
    <w:name w:val="heading 4"/>
    <w:basedOn w:val="Normal"/>
    <w:next w:val="Normal"/>
    <w:link w:val="4"/>
    <w:uiPriority w:val="9"/>
    <w:unhideWhenUsed/>
    <w:qFormat/>
    <w:pPr>
      <w:keepNext/>
      <w:keepLines/>
      <w:numPr>
        <w:ilvl w:val="3"/>
        <w:numId w:val="1"/>
      </w:numPr>
      <w:spacing w:before="280" w:after="290" w:line="376" w:lineRule="auto"/>
      <w:outlineLvl w:val="3"/>
    </w:pPr>
    <w:rPr>
      <w:rFonts w:eastAsia="仿宋" w:asciiTheme="majorHAnsi" w:hAnsiTheme="majorHAnsi" w:cstheme="maj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TOC3">
    <w:name w:val="toc 3"/>
    <w:basedOn w:val="Normal"/>
    <w:next w:val="Normal"/>
    <w:uiPriority w:val="39"/>
    <w:unhideWhenUsed/>
    <w:qFormat/>
    <w:pPr>
      <w:ind w:left="840" w:leftChars="400"/>
    </w:pPr>
    <w:rPr>
      <w:i/>
      <w:sz w:val="28"/>
    </w:rPr>
  </w:style>
  <w:style w:type="paragraph" w:styleId="Footer">
    <w:name w:val="footer"/>
    <w:basedOn w:val="Normal"/>
    <w:link w:val="a0"/>
    <w:uiPriority w:val="99"/>
    <w:unhideWhenUsed/>
    <w:qFormat/>
    <w:pPr>
      <w:tabs>
        <w:tab w:val="center" w:pos="4153"/>
        <w:tab w:val="right" w:pos="8306"/>
      </w:tabs>
      <w:snapToGrid w:val="0"/>
      <w:spacing w:line="240" w:lineRule="auto"/>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TOC1">
    <w:name w:val="toc 1"/>
    <w:basedOn w:val="Normal"/>
    <w:next w:val="Normal"/>
    <w:uiPriority w:val="39"/>
    <w:unhideWhenUsed/>
    <w:qFormat/>
    <w:rPr>
      <w:rFonts w:eastAsia="宋体"/>
      <w:b/>
      <w:sz w:val="28"/>
    </w:rPr>
  </w:style>
  <w:style w:type="paragraph" w:styleId="TOC2">
    <w:name w:val="toc 2"/>
    <w:basedOn w:val="Normal"/>
    <w:next w:val="Normal"/>
    <w:uiPriority w:val="39"/>
    <w:unhideWhenUsed/>
    <w:qFormat/>
    <w:pPr>
      <w:ind w:left="420" w:leftChars="200"/>
    </w:pPr>
    <w:rPr>
      <w:sz w:val="28"/>
    </w:rPr>
  </w:style>
  <w:style w:type="paragraph" w:styleId="NormalWeb">
    <w:name w:val="Normal (Web)"/>
    <w:basedOn w:val="Normal"/>
    <w:uiPriority w:val="99"/>
    <w:unhideWhenUsed/>
    <w:qFormat/>
    <w:pPr>
      <w:widowControl/>
      <w:spacing w:before="100" w:beforeAutospacing="1" w:after="100" w:afterAutospacing="1" w:line="240" w:lineRule="auto"/>
      <w:jc w:val="left"/>
    </w:pPr>
    <w:rPr>
      <w:rFonts w:ascii="宋体" w:eastAsia="宋体" w:hAnsi="宋体" w:cs="宋体"/>
      <w:kern w:val="0"/>
      <w:sz w:val="24"/>
      <w:szCs w:val="24"/>
    </w:rPr>
  </w:style>
  <w:style w:type="character" w:styleId="Hyperlink">
    <w:name w:val="Hyperlink"/>
    <w:basedOn w:val="DefaultParagraphFont"/>
    <w:uiPriority w:val="99"/>
    <w:unhideWhenUsed/>
    <w:qFormat/>
    <w:rPr>
      <w:color w:val="0563C1" w:themeColor="hyperlink"/>
      <w:u w:val="single"/>
      <w14:textFill>
        <w14:solidFill>
          <w14:schemeClr w14:val="hlink"/>
        </w14:solidFill>
      </w14:textFill>
    </w:rPr>
  </w:style>
  <w:style w:type="character" w:customStyle="1" w:styleId="1">
    <w:name w:val="标题 1 字符"/>
    <w:basedOn w:val="DefaultParagraphFont"/>
    <w:link w:val="Heading1"/>
    <w:uiPriority w:val="9"/>
    <w:qFormat/>
    <w:rPr>
      <w:rFonts w:eastAsia="宋体"/>
      <w:b/>
      <w:bCs/>
      <w:kern w:val="44"/>
      <w:sz w:val="44"/>
      <w:szCs w:val="44"/>
    </w:rPr>
  </w:style>
  <w:style w:type="character" w:customStyle="1" w:styleId="2">
    <w:name w:val="标题 2 字符"/>
    <w:basedOn w:val="DefaultParagraphFont"/>
    <w:link w:val="Heading2"/>
    <w:uiPriority w:val="9"/>
    <w:qFormat/>
    <w:rPr>
      <w:rFonts w:asciiTheme="majorHAnsi" w:hAnsiTheme="majorHAnsi" w:cstheme="majorBidi"/>
      <w:b/>
      <w:bCs/>
      <w:szCs w:val="32"/>
    </w:rPr>
  </w:style>
  <w:style w:type="character" w:customStyle="1" w:styleId="3">
    <w:name w:val="标题 3 字符"/>
    <w:basedOn w:val="DefaultParagraphFont"/>
    <w:link w:val="Heading3"/>
    <w:uiPriority w:val="9"/>
    <w:qFormat/>
    <w:rPr>
      <w:rFonts w:asciiTheme="minorHAnsi" w:hAnsiTheme="minorHAnsi" w:cstheme="minorBidi"/>
      <w:b/>
      <w:bCs/>
      <w:szCs w:val="32"/>
    </w:rPr>
  </w:style>
  <w:style w:type="character" w:customStyle="1" w:styleId="4">
    <w:name w:val="标题 4 字符"/>
    <w:basedOn w:val="DefaultParagraphFont"/>
    <w:link w:val="Heading4"/>
    <w:uiPriority w:val="9"/>
    <w:qFormat/>
    <w:rPr>
      <w:rFonts w:eastAsia="仿宋" w:asciiTheme="majorHAnsi" w:hAnsiTheme="majorHAnsi" w:cstheme="majorBidi"/>
      <w:b/>
      <w:bCs/>
      <w:szCs w:val="28"/>
    </w:rPr>
  </w:style>
  <w:style w:type="paragraph" w:styleId="ListParagraph">
    <w:name w:val="List Paragraph"/>
    <w:basedOn w:val="Normal"/>
    <w:uiPriority w:val="34"/>
    <w:qFormat/>
    <w:pPr>
      <w:ind w:firstLine="420" w:firstLineChars="200"/>
    </w:pPr>
  </w:style>
  <w:style w:type="character" w:customStyle="1" w:styleId="a">
    <w:name w:val="页眉 字符"/>
    <w:basedOn w:val="DefaultParagraphFont"/>
    <w:link w:val="Header"/>
    <w:uiPriority w:val="99"/>
    <w:qFormat/>
    <w:rPr>
      <w:rFonts w:asciiTheme="minorHAnsi" w:hAnsiTheme="minorHAnsi" w:cstheme="minorBidi"/>
      <w:sz w:val="18"/>
      <w:szCs w:val="18"/>
    </w:rPr>
  </w:style>
  <w:style w:type="character" w:customStyle="1" w:styleId="a0">
    <w:name w:val="页脚 字符"/>
    <w:basedOn w:val="DefaultParagraphFont"/>
    <w:link w:val="Footer"/>
    <w:uiPriority w:val="99"/>
    <w:qFormat/>
    <w:rPr>
      <w:rFonts w:asciiTheme="minorHAnsi" w:hAnsiTheme="minorHAnsi" w:cstheme="min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hyperlink" Target="http://www.gov.cn/flfg/2010-07/14/content_1661409.htm" TargetMode="External" /><Relationship Id="rId12" Type="http://schemas.openxmlformats.org/officeDocument/2006/relationships/header" Target="header2.xml" /><Relationship Id="rId13" Type="http://schemas.openxmlformats.org/officeDocument/2006/relationships/footer" Target="footer6.xml" /><Relationship Id="rId14" Type="http://schemas.openxmlformats.org/officeDocument/2006/relationships/header" Target="header3.xml" /><Relationship Id="rId15" Type="http://schemas.openxmlformats.org/officeDocument/2006/relationships/footer" Target="footer7.xml" /><Relationship Id="rId16" Type="http://schemas.openxmlformats.org/officeDocument/2006/relationships/header" Target="header4.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0.xml" /><Relationship Id="rId22" Type="http://schemas.openxmlformats.org/officeDocument/2006/relationships/header" Target="header7.xml" /><Relationship Id="rId23" Type="http://schemas.openxmlformats.org/officeDocument/2006/relationships/footer" Target="footer11.xml" /><Relationship Id="rId24" Type="http://schemas.openxmlformats.org/officeDocument/2006/relationships/header" Target="header8.xml" /><Relationship Id="rId25" Type="http://schemas.openxmlformats.org/officeDocument/2006/relationships/footer" Target="footer12.xml" /><Relationship Id="rId26" Type="http://schemas.openxmlformats.org/officeDocument/2006/relationships/header" Target="header9.xml" /><Relationship Id="rId27" Type="http://schemas.openxmlformats.org/officeDocument/2006/relationships/footer" Target="footer13.xml" /><Relationship Id="rId28" Type="http://schemas.openxmlformats.org/officeDocument/2006/relationships/header" Target="header10.xml" /><Relationship Id="rId29" Type="http://schemas.openxmlformats.org/officeDocument/2006/relationships/footer" Target="footer14.xml" /><Relationship Id="rId3" Type="http://schemas.openxmlformats.org/officeDocument/2006/relationships/fontTable" Target="fontTable.xml" /><Relationship Id="rId30" Type="http://schemas.openxmlformats.org/officeDocument/2006/relationships/header" Target="header11.xml" /><Relationship Id="rId31" Type="http://schemas.openxmlformats.org/officeDocument/2006/relationships/footer" Target="footer15.xml" /><Relationship Id="rId32" Type="http://schemas.openxmlformats.org/officeDocument/2006/relationships/header" Target="header12.xml" /><Relationship Id="rId33" Type="http://schemas.openxmlformats.org/officeDocument/2006/relationships/footer" Target="footer16.xml" /><Relationship Id="rId34" Type="http://schemas.openxmlformats.org/officeDocument/2006/relationships/header" Target="header13.xml" /><Relationship Id="rId35" Type="http://schemas.openxmlformats.org/officeDocument/2006/relationships/footer" Target="footer17.xml" /><Relationship Id="rId36" Type="http://schemas.openxmlformats.org/officeDocument/2006/relationships/hyperlink" Target="https://d.book118.com/635212221132011112" TargetMode="External" /><Relationship Id="rId37" Type="http://schemas.openxmlformats.org/officeDocument/2006/relationships/header" Target="header14.xml" /><Relationship Id="rId38" Type="http://schemas.openxmlformats.org/officeDocument/2006/relationships/footer" Target="footer18.xml" /><Relationship Id="rId39" Type="http://schemas.openxmlformats.org/officeDocument/2006/relationships/theme" Target="theme/theme1.xml" /><Relationship Id="rId4" Type="http://schemas.openxmlformats.org/officeDocument/2006/relationships/customXml" Target="../customXml/item1.xml" /><Relationship Id="rId40" Type="http://schemas.openxmlformats.org/officeDocument/2006/relationships/numbering" Target="numbering.xml" /><Relationship Id="rId41"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header" Target="head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1717D-1C64-462E-BEE0-3BFBA9B7B891}">
  <ds:schemaRefs/>
</ds:datastoreItem>
</file>

<file path=docProps/app.xml><?xml version="1.0" encoding="utf-8"?>
<Properties xmlns="http://schemas.openxmlformats.org/officeDocument/2006/extended-properties" xmlns:vt="http://schemas.openxmlformats.org/officeDocument/2006/docPropsVTypes">
  <Template>Normal.dotm</Template>
  <TotalTime>5382</TotalTime>
  <Pages>21</Pages>
  <Words>2512</Words>
  <Characters>14324</Characters>
  <Application>Microsoft Office Word</Application>
  <DocSecurity>0</DocSecurity>
  <Lines>119</Lines>
  <Paragraphs>33</Paragraphs>
  <ScaleCrop>false</ScaleCrop>
  <Company/>
  <LinksUpToDate>false</LinksUpToDate>
  <CharactersWithSpaces>16803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 黄</dc:creator>
  <cp:lastModifiedBy>lenovo</cp:lastModifiedBy>
  <cp:revision>1329</cp:revision>
  <cp:lastPrinted>2020-09-03T08:13:00Z</cp:lastPrinted>
  <dcterms:created xsi:type="dcterms:W3CDTF">2020-02-26T07:41:00Z</dcterms:created>
  <dcterms:modified xsi:type="dcterms:W3CDTF">2023-07-20T01:46:45Z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BC3280D0D04E46FF8AFCCA17F761CA44</vt:lpwstr>
  </property>
  <property fmtid="{D5CDD505-2E9C-101B-9397-08002B2CF9AE}" pid="3" name="KSOProductBuildVer">
    <vt:lpwstr>2052-11.8.2.11019</vt:lpwstr>
  </property>
</Properties>
</file>