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90" w:lineRule="auto"/>
        <w:rPr>
          <w:rFonts w:ascii="Arial"/>
          <w:sz w:val="21"/>
        </w:rPr>
      </w:pPr>
    </w:p>
    <w:p>
      <w:pPr>
        <w:spacing w:line="291" w:lineRule="auto"/>
        <w:rPr>
          <w:rFonts w:ascii="Arial"/>
          <w:sz w:val="21"/>
        </w:rPr>
      </w:pPr>
    </w:p>
    <w:p>
      <w:pPr>
        <w:spacing w:line="291" w:lineRule="auto"/>
        <w:rPr>
          <w:rFonts w:ascii="Arial"/>
          <w:sz w:val="21"/>
        </w:rPr>
      </w:pPr>
    </w:p>
    <w:p>
      <w:pPr>
        <w:pStyle w:val="BodyText"/>
        <w:spacing w:before="188" w:line="221" w:lineRule="auto"/>
        <w:ind w:left="4577"/>
        <w:outlineLvl w:val="0"/>
        <w:rPr>
          <w:rFonts w:ascii="SimHei" w:eastAsia="SimHei" w:hAnsi="SimHei" w:cs="SimHei"/>
          <w:sz w:val="58"/>
          <w:szCs w:val="58"/>
        </w:rPr>
      </w:pPr>
      <w:bookmarkStart w:id="0" w:name="bookmark1"/>
      <w:bookmarkEnd w:id="0"/>
      <w:r>
        <w:rPr>
          <w:rFonts w:ascii="SimHei" w:eastAsia="SimHei" w:hAnsi="SimHei" w:cs="SimHei"/>
          <w:spacing w:val="9"/>
          <w:sz w:val="58"/>
          <w:szCs w:val="58"/>
        </w:rPr>
        <w:t>绝缘电阻表</w:t>
      </w:r>
      <w:r>
        <w:rPr>
          <w:rFonts w:ascii="SimHei" w:eastAsia="SimHei" w:hAnsi="SimHei" w:cs="SimHei"/>
          <w:spacing w:val="9"/>
          <w:sz w:val="58"/>
          <w:szCs w:val="58"/>
        </w:rPr>
        <w:t xml:space="preserve"> </w:t>
      </w:r>
      <w:r>
        <w:rPr>
          <w:spacing w:val="9"/>
          <w:sz w:val="58"/>
          <w:szCs w:val="58"/>
        </w:rPr>
        <w:t>(兆欧表)</w:t>
      </w:r>
      <w:r>
        <w:rPr>
          <w:spacing w:val="-87"/>
          <w:sz w:val="58"/>
          <w:szCs w:val="58"/>
        </w:rPr>
        <w:t xml:space="preserve"> </w:t>
      </w:r>
      <w:r>
        <w:rPr>
          <w:rFonts w:ascii="SimHei" w:eastAsia="SimHei" w:hAnsi="SimHei" w:cs="SimHei"/>
          <w:spacing w:val="9"/>
          <w:sz w:val="58"/>
          <w:szCs w:val="58"/>
        </w:rPr>
        <w:t>检定规程</w:t>
      </w:r>
    </w:p>
    <w:p>
      <w:pPr>
        <w:spacing w:line="301" w:lineRule="auto"/>
        <w:rPr>
          <w:rFonts w:ascii="Arial"/>
          <w:sz w:val="21"/>
        </w:rPr>
      </w:pPr>
    </w:p>
    <w:p>
      <w:pPr>
        <w:spacing w:line="302" w:lineRule="auto"/>
        <w:rPr>
          <w:rFonts w:ascii="Arial"/>
          <w:sz w:val="21"/>
        </w:rPr>
      </w:pPr>
    </w:p>
    <w:p>
      <w:pPr>
        <w:pStyle w:val="BodyText"/>
        <w:spacing w:before="140" w:line="287" w:lineRule="auto"/>
        <w:ind w:left="67" w:firstLine="911"/>
        <w:jc w:val="both"/>
      </w:pPr>
      <w:r>
        <w:rPr>
          <w:spacing w:val="33"/>
        </w:rPr>
        <w:t>本规程仅适用于测量绝缘电阻的直接作用模拟指示的绝缘电阻表(包括新制造的、</w:t>
      </w:r>
      <w:r>
        <w:rPr>
          <w:spacing w:val="13"/>
        </w:rPr>
        <w:t xml:space="preserve"> </w:t>
      </w:r>
      <w:r>
        <w:rPr>
          <w:spacing w:val="28"/>
        </w:rPr>
        <w:t>使用中的及修理后的绝缘电阻表)的检定。不适用于数字式及特殊用途，而其技术要求</w:t>
      </w:r>
    </w:p>
    <w:p>
      <w:pPr>
        <w:pStyle w:val="BodyText"/>
        <w:spacing w:before="1" w:line="219" w:lineRule="auto"/>
        <w:ind w:left="94"/>
      </w:pPr>
      <w:r>
        <w:rPr>
          <w:spacing w:val="17"/>
        </w:rPr>
        <w:t>与本规程规定不同的测量绝缘电阻用的仪表。</w:t>
      </w:r>
    </w:p>
    <w:p>
      <w:pPr>
        <w:spacing w:line="333" w:lineRule="auto"/>
        <w:rPr>
          <w:rFonts w:ascii="Arial"/>
          <w:sz w:val="21"/>
        </w:rPr>
      </w:pPr>
    </w:p>
    <w:p>
      <w:pPr>
        <w:spacing w:line="333" w:lineRule="auto"/>
        <w:rPr>
          <w:rFonts w:ascii="Arial"/>
          <w:sz w:val="21"/>
        </w:rPr>
      </w:pPr>
    </w:p>
    <w:p>
      <w:pPr>
        <w:spacing w:before="156" w:line="223" w:lineRule="auto"/>
        <w:ind w:left="7103"/>
        <w:rPr>
          <w:rFonts w:ascii="SimHei" w:eastAsia="SimHei" w:hAnsi="SimHei" w:cs="SimHei"/>
          <w:sz w:val="48"/>
          <w:szCs w:val="48"/>
        </w:rPr>
      </w:pPr>
      <w:r>
        <w:rPr>
          <w:rFonts w:ascii="SimHei" w:eastAsia="SimHei" w:hAnsi="SimHei" w:cs="SimHei"/>
          <w:spacing w:val="-10"/>
          <w:sz w:val="48"/>
          <w:szCs w:val="48"/>
        </w:rPr>
        <w:t>一</w:t>
      </w:r>
      <w:r>
        <w:rPr>
          <w:rFonts w:ascii="SimHei" w:eastAsia="SimHei" w:hAnsi="SimHei" w:cs="SimHei"/>
          <w:spacing w:val="23"/>
          <w:sz w:val="48"/>
          <w:szCs w:val="48"/>
        </w:rPr>
        <w:t xml:space="preserve">  </w:t>
      </w:r>
      <w:r>
        <w:rPr>
          <w:rFonts w:ascii="SimHei" w:eastAsia="SimHei" w:hAnsi="SimHei" w:cs="SimHei"/>
          <w:spacing w:val="-10"/>
          <w:sz w:val="48"/>
          <w:szCs w:val="48"/>
        </w:rPr>
        <w:t>概</w:t>
      </w:r>
      <w:r>
        <w:rPr>
          <w:rFonts w:ascii="SimHei" w:eastAsia="SimHei" w:hAnsi="SimHei" w:cs="SimHei"/>
          <w:spacing w:val="42"/>
          <w:sz w:val="48"/>
          <w:szCs w:val="48"/>
        </w:rPr>
        <w:t xml:space="preserve">    </w:t>
      </w:r>
      <w:r>
        <w:rPr>
          <w:rFonts w:ascii="SimHei" w:eastAsia="SimHei" w:hAnsi="SimHei" w:cs="SimHei"/>
          <w:spacing w:val="-10"/>
          <w:sz w:val="48"/>
          <w:szCs w:val="48"/>
        </w:rPr>
        <w:t>述</w:t>
      </w:r>
    </w:p>
    <w:p>
      <w:pPr>
        <w:spacing w:line="327" w:lineRule="auto"/>
        <w:rPr>
          <w:rFonts w:ascii="Arial"/>
          <w:sz w:val="21"/>
        </w:rPr>
      </w:pPr>
    </w:p>
    <w:p>
      <w:pPr>
        <w:spacing w:line="327" w:lineRule="auto"/>
        <w:rPr>
          <w:rFonts w:ascii="Arial"/>
          <w:sz w:val="21"/>
        </w:rPr>
      </w:pPr>
    </w:p>
    <w:p>
      <w:pPr>
        <w:pStyle w:val="BodyText"/>
        <w:spacing w:before="140" w:line="220" w:lineRule="auto"/>
        <w:ind w:left="40"/>
      </w:pPr>
      <w:r>
        <w:rPr>
          <w:spacing w:val="-2"/>
        </w:rPr>
        <w:t>1</w:t>
      </w:r>
      <w:r>
        <w:rPr>
          <w:spacing w:val="25"/>
        </w:rPr>
        <w:t xml:space="preserve">  </w:t>
      </w:r>
      <w:r>
        <w:rPr>
          <w:spacing w:val="-2"/>
        </w:rPr>
        <w:t>规格</w:t>
      </w:r>
    </w:p>
    <w:p>
      <w:pPr>
        <w:pStyle w:val="BodyText"/>
        <w:spacing w:before="169" w:line="244" w:lineRule="auto"/>
        <w:ind w:left="40" w:right="89"/>
      </w:pPr>
      <w:r>
        <w:rPr>
          <w:spacing w:val="50"/>
          <w:w w:val="108"/>
        </w:rPr>
        <w:t>1.1</w:t>
      </w:r>
      <w:r>
        <w:rPr>
          <w:spacing w:val="44"/>
        </w:rPr>
        <w:t xml:space="preserve">  </w:t>
      </w:r>
      <w:r>
        <w:rPr>
          <w:spacing w:val="50"/>
          <w:w w:val="108"/>
        </w:rPr>
        <w:t>绝缘电阻表按额定电压分为9种：50,100,250,500,1000,2000,2500,</w:t>
      </w:r>
      <w:r>
        <w:rPr>
          <w:spacing w:val="1"/>
        </w:rPr>
        <w:t xml:space="preserve"> </w:t>
      </w:r>
      <w:r>
        <w:rPr>
          <w:rFonts w:ascii="Times New Roman" w:eastAsia="Times New Roman" w:hAnsi="Times New Roman" w:cs="Times New Roman"/>
          <w:spacing w:val="-1"/>
        </w:rPr>
        <w:t>5000,10000         V</w:t>
      </w:r>
      <w:r>
        <w:rPr>
          <w:spacing w:val="-1"/>
        </w:rPr>
        <w:t>。</w:t>
      </w:r>
    </w:p>
    <w:p>
      <w:pPr>
        <w:pStyle w:val="BodyText"/>
        <w:spacing w:before="228" w:line="217" w:lineRule="auto"/>
        <w:ind w:left="47"/>
      </w:pPr>
      <w:r>
        <w:rPr>
          <w:spacing w:val="42"/>
        </w:rPr>
        <w:t>1.2</w:t>
      </w:r>
      <w:r>
        <w:rPr>
          <w:spacing w:val="30"/>
        </w:rPr>
        <w:t xml:space="preserve">  </w:t>
      </w:r>
      <w:r>
        <w:rPr>
          <w:spacing w:val="42"/>
        </w:rPr>
        <w:t>绝缘电阻表按准确度等级分为5级：1.0,2.0,5.0,10.0,20.0。</w:t>
      </w:r>
    </w:p>
    <w:p>
      <w:pPr>
        <w:pStyle w:val="BodyText"/>
        <w:spacing w:before="176" w:line="220" w:lineRule="auto"/>
        <w:ind w:left="67"/>
      </w:pPr>
      <w:r>
        <w:rPr>
          <w:spacing w:val="26"/>
        </w:rPr>
        <w:t>1.3  绝缘电阻表检定环境的参考温度为23</w:t>
      </w:r>
      <w:r>
        <w:rPr>
          <w:spacing w:val="25"/>
        </w:rPr>
        <w:t>℃。</w:t>
      </w:r>
    </w:p>
    <w:p>
      <w:pPr>
        <w:pStyle w:val="BodyText"/>
        <w:spacing w:before="146" w:line="220" w:lineRule="auto"/>
        <w:ind w:left="60"/>
      </w:pPr>
      <w:r>
        <w:rPr>
          <w:spacing w:val="22"/>
        </w:rPr>
        <w:t>1.4  绝缘电阻表的原理图见附录1。它的主要组成部分是直流电源装</w:t>
      </w:r>
      <w:r>
        <w:rPr>
          <w:spacing w:val="21"/>
        </w:rPr>
        <w:t>置和指示仪表。</w:t>
      </w:r>
    </w:p>
    <w:p>
      <w:pPr>
        <w:pStyle w:val="BodyText"/>
        <w:spacing w:before="167" w:line="221" w:lineRule="auto"/>
        <w:ind w:left="60"/>
      </w:pPr>
      <w:r>
        <w:rPr>
          <w:spacing w:val="7"/>
        </w:rPr>
        <w:t>1.4.1</w:t>
      </w:r>
      <w:r>
        <w:rPr>
          <w:spacing w:val="45"/>
        </w:rPr>
        <w:t xml:space="preserve">  </w:t>
      </w:r>
      <w:r>
        <w:rPr>
          <w:spacing w:val="7"/>
        </w:rPr>
        <w:t>直流电源装置可分为：</w:t>
      </w:r>
    </w:p>
    <w:p>
      <w:pPr>
        <w:pStyle w:val="BodyText"/>
        <w:spacing w:before="156" w:line="220" w:lineRule="auto"/>
        <w:ind w:left="1640"/>
      </w:pPr>
      <w:r>
        <w:rPr>
          <w:rFonts w:ascii="Times New Roman" w:eastAsia="Times New Roman" w:hAnsi="Times New Roman" w:cs="Times New Roman"/>
          <w:spacing w:val="6"/>
        </w:rPr>
        <w:t>a.</w:t>
      </w:r>
      <w:r>
        <w:rPr>
          <w:rFonts w:ascii="Times New Roman" w:eastAsia="Times New Roman" w:hAnsi="Times New Roman" w:cs="Times New Roman"/>
          <w:spacing w:val="34"/>
        </w:rPr>
        <w:t xml:space="preserve">  </w:t>
      </w:r>
      <w:r>
        <w:rPr>
          <w:spacing w:val="6"/>
        </w:rPr>
        <w:t>内附手摇发电机；</w:t>
      </w:r>
    </w:p>
    <w:p>
      <w:pPr>
        <w:pStyle w:val="BodyText"/>
        <w:spacing w:before="163" w:line="220" w:lineRule="auto"/>
        <w:ind w:left="1647"/>
      </w:pPr>
      <w:r>
        <w:rPr>
          <w:spacing w:val="38"/>
        </w:rPr>
        <w:t>b.</w:t>
      </w:r>
      <w:r>
        <w:rPr>
          <w:spacing w:val="-91"/>
        </w:rPr>
        <w:t xml:space="preserve"> </w:t>
      </w:r>
      <w:r>
        <w:rPr>
          <w:spacing w:val="38"/>
        </w:rPr>
        <w:t>化学电源(如干电池);</w:t>
      </w:r>
    </w:p>
    <w:p>
      <w:pPr>
        <w:pStyle w:val="BodyText"/>
        <w:spacing w:before="193" w:line="220" w:lineRule="auto"/>
        <w:ind w:left="1654"/>
      </w:pPr>
      <w:r>
        <w:rPr>
          <w:spacing w:val="15"/>
        </w:rPr>
        <w:t>c.</w:t>
      </w:r>
      <w:r>
        <w:rPr>
          <w:spacing w:val="-108"/>
        </w:rPr>
        <w:t xml:space="preserve"> </w:t>
      </w:r>
      <w:r>
        <w:rPr>
          <w:spacing w:val="15"/>
        </w:rPr>
        <w:t>交流电网和整流电路配合的装置。</w:t>
      </w:r>
    </w:p>
    <w:p>
      <w:pPr>
        <w:pStyle w:val="BodyText"/>
        <w:spacing w:before="163" w:line="220" w:lineRule="auto"/>
        <w:ind w:left="67"/>
      </w:pPr>
      <w:r>
        <w:rPr>
          <w:spacing w:val="4"/>
        </w:rPr>
        <w:t>1.4.2</w:t>
      </w:r>
      <w:r>
        <w:rPr>
          <w:spacing w:val="40"/>
        </w:rPr>
        <w:t xml:space="preserve">  </w:t>
      </w:r>
      <w:r>
        <w:rPr>
          <w:spacing w:val="4"/>
        </w:rPr>
        <w:t>指示仪表分为：</w:t>
      </w:r>
    </w:p>
    <w:p>
      <w:pPr>
        <w:pStyle w:val="BodyText"/>
        <w:spacing w:before="162" w:line="220" w:lineRule="auto"/>
        <w:ind w:left="1647"/>
      </w:pPr>
      <w:r>
        <w:rPr>
          <w:spacing w:val="15"/>
        </w:rPr>
        <w:t>磁电系电流表及磁电系比率表。</w:t>
      </w:r>
    </w:p>
    <w:p>
      <w:pPr>
        <w:spacing w:line="308" w:lineRule="auto"/>
        <w:rPr>
          <w:rFonts w:ascii="Arial"/>
          <w:sz w:val="21"/>
        </w:rPr>
      </w:pPr>
    </w:p>
    <w:p>
      <w:pPr>
        <w:spacing w:line="309" w:lineRule="auto"/>
        <w:rPr>
          <w:rFonts w:ascii="Arial"/>
          <w:sz w:val="21"/>
        </w:rPr>
      </w:pPr>
    </w:p>
    <w:p>
      <w:pPr>
        <w:spacing w:before="160" w:line="223" w:lineRule="auto"/>
        <w:ind w:left="6319"/>
        <w:rPr>
          <w:rFonts w:ascii="SimHei" w:eastAsia="SimHei" w:hAnsi="SimHei" w:cs="SimHei"/>
          <w:sz w:val="49"/>
          <w:szCs w:val="49"/>
        </w:rPr>
      </w:pPr>
      <w:r>
        <w:rPr>
          <w:rFonts w:ascii="SimHei" w:eastAsia="SimHei" w:hAnsi="SimHei" w:cs="SimHei"/>
          <w:spacing w:val="-14"/>
          <w:sz w:val="49"/>
          <w:szCs w:val="49"/>
        </w:rPr>
        <w:t>二</w:t>
      </w:r>
      <w:r>
        <w:rPr>
          <w:rFonts w:ascii="SimHei" w:eastAsia="SimHei" w:hAnsi="SimHei" w:cs="SimHei"/>
          <w:spacing w:val="15"/>
          <w:sz w:val="49"/>
          <w:szCs w:val="49"/>
        </w:rPr>
        <w:t xml:space="preserve">  </w:t>
      </w:r>
      <w:r>
        <w:rPr>
          <w:rFonts w:ascii="SimHei" w:eastAsia="SimHei" w:hAnsi="SimHei" w:cs="SimHei"/>
          <w:spacing w:val="-14"/>
          <w:sz w:val="49"/>
          <w:szCs w:val="49"/>
        </w:rPr>
        <w:t>技</w:t>
      </w:r>
      <w:r>
        <w:rPr>
          <w:rFonts w:ascii="SimHei" w:eastAsia="SimHei" w:hAnsi="SimHei" w:cs="SimHei"/>
          <w:spacing w:val="52"/>
          <w:sz w:val="49"/>
          <w:szCs w:val="49"/>
        </w:rPr>
        <w:t xml:space="preserve">  </w:t>
      </w:r>
      <w:r>
        <w:rPr>
          <w:rFonts w:ascii="SimHei" w:eastAsia="SimHei" w:hAnsi="SimHei" w:cs="SimHei"/>
          <w:spacing w:val="-14"/>
          <w:sz w:val="49"/>
          <w:szCs w:val="49"/>
        </w:rPr>
        <w:t>术</w:t>
      </w:r>
      <w:r>
        <w:rPr>
          <w:rFonts w:ascii="SimHei" w:eastAsia="SimHei" w:hAnsi="SimHei" w:cs="SimHei"/>
          <w:spacing w:val="40"/>
          <w:sz w:val="49"/>
          <w:szCs w:val="49"/>
        </w:rPr>
        <w:t xml:space="preserve">  </w:t>
      </w:r>
      <w:r>
        <w:rPr>
          <w:rFonts w:ascii="SimHei" w:eastAsia="SimHei" w:hAnsi="SimHei" w:cs="SimHei"/>
          <w:spacing w:val="-14"/>
          <w:sz w:val="49"/>
          <w:szCs w:val="49"/>
        </w:rPr>
        <w:t>要</w:t>
      </w:r>
      <w:r>
        <w:rPr>
          <w:rFonts w:ascii="SimHei" w:eastAsia="SimHei" w:hAnsi="SimHei" w:cs="SimHei"/>
          <w:spacing w:val="40"/>
          <w:sz w:val="49"/>
          <w:szCs w:val="49"/>
        </w:rPr>
        <w:t xml:space="preserve">  </w:t>
      </w:r>
      <w:r>
        <w:rPr>
          <w:rFonts w:ascii="SimHei" w:eastAsia="SimHei" w:hAnsi="SimHei" w:cs="SimHei"/>
          <w:spacing w:val="-14"/>
          <w:sz w:val="49"/>
          <w:szCs w:val="49"/>
        </w:rPr>
        <w:t>求</w:t>
      </w:r>
    </w:p>
    <w:p>
      <w:pPr>
        <w:spacing w:line="328" w:lineRule="auto"/>
        <w:rPr>
          <w:rFonts w:ascii="Arial"/>
          <w:sz w:val="21"/>
        </w:rPr>
      </w:pPr>
    </w:p>
    <w:p>
      <w:pPr>
        <w:spacing w:line="328" w:lineRule="auto"/>
        <w:rPr>
          <w:rFonts w:ascii="Arial"/>
          <w:sz w:val="21"/>
        </w:rPr>
      </w:pPr>
    </w:p>
    <w:p>
      <w:pPr>
        <w:pStyle w:val="BodyText"/>
        <w:spacing w:before="140" w:line="220" w:lineRule="auto"/>
        <w:ind w:left="13"/>
      </w:pPr>
      <w:r>
        <w:rPr>
          <w:spacing w:val="17"/>
        </w:rPr>
        <w:t>2  基本误差</w:t>
      </w:r>
    </w:p>
    <w:p>
      <w:pPr>
        <w:pStyle w:val="BodyText"/>
        <w:spacing w:before="189" w:line="220" w:lineRule="auto"/>
        <w:ind w:left="40"/>
      </w:pPr>
      <w:r>
        <w:rPr>
          <w:spacing w:val="57"/>
        </w:rPr>
        <w:t>2.1</w:t>
      </w:r>
      <w:r>
        <w:rPr>
          <w:spacing w:val="22"/>
        </w:rPr>
        <w:t xml:space="preserve">  </w:t>
      </w:r>
      <w:r>
        <w:rPr>
          <w:spacing w:val="57"/>
        </w:rPr>
        <w:t>绝缘电阻表的基本误差按公式(1)进行计算。在标度</w:t>
      </w:r>
      <w:r>
        <w:rPr>
          <w:spacing w:val="56"/>
        </w:rPr>
        <w:t>尺测量范围(有效范围)</w:t>
      </w:r>
    </w:p>
    <w:sdt>
      <w:sdtPr>
        <w:rPr>
          <w:rFonts w:ascii="SimSun" w:eastAsia="SimSun" w:hAnsi="SimSun" w:cs="SimSun"/>
          <w:sz w:val="43"/>
          <w:szCs w:val="43"/>
        </w:rPr>
        <w:id w:val="1802914029"/>
        <w:docPartObj>
          <w:docPartGallery w:val="Table of Contents"/>
          <w:docPartUnique/>
        </w:docPartObj>
      </w:sdtPr>
      <w:sdtEndPr>
        <w:rPr>
          <w:rFonts w:ascii="SimSun" w:eastAsia="SimSun" w:hAnsi="SimSun" w:cs="SimSun"/>
          <w:sz w:val="43"/>
          <w:szCs w:val="43"/>
        </w:rPr>
      </w:sdtEndPr>
      <w:sdtContent>
        <w:p>
          <w:pPr>
            <w:pStyle w:val="BodyText"/>
            <w:spacing w:before="150" w:line="220" w:lineRule="auto"/>
            <w:ind w:left="94"/>
          </w:pPr>
          <w:r>
            <w:rPr>
              <w:spacing w:val="26"/>
            </w:rPr>
            <w:t>内，每条选定分度线的基本误差极限值应不超</w:t>
          </w:r>
          <w:r>
            <w:rPr>
              <w:spacing w:val="25"/>
            </w:rPr>
            <w:t>过表1的规定。</w:t>
          </w:r>
        </w:p>
        <w:p>
          <w:pPr>
            <w:pStyle w:val="BodyText"/>
            <w:spacing w:before="214"/>
            <w:ind w:left="6191"/>
          </w:pPr>
          <w:r>
            <w:rPr>
              <w:position w:val="-36"/>
            </w:rPr>
            <w:drawing>
              <wp:inline distT="0" distB="0" distL="0" distR="0">
                <wp:extent cx="3057005" cy="656757"/>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3057005" cy="656757"/>
                        </a:xfrm>
                        <a:prstGeom prst="rect">
                          <a:avLst/>
                        </a:prstGeom>
                      </pic:spPr>
                    </pic:pic>
                  </a:graphicData>
                </a:graphic>
              </wp:inline>
            </w:drawing>
          </w:r>
          <w:r>
            <w:rPr>
              <w:spacing w:val="7"/>
            </w:rPr>
            <w:t xml:space="preserve">                         </w:t>
          </w:r>
          <w:r>
            <w:rPr>
              <w:spacing w:val="-23"/>
            </w:rPr>
            <w:t>(</w:t>
          </w:r>
          <w:hyperlink w:anchor="bookmark1" w:history="1">
            <w:r>
              <w:rPr>
                <w:spacing w:val="-23"/>
              </w:rPr>
              <w:t>1)</w:t>
            </w:r>
          </w:hyperlink>
        </w:p>
      </w:sdtContent>
    </w:sdt>
    <w:p>
      <w:pPr>
        <w:pStyle w:val="BodyText"/>
        <w:spacing w:before="273" w:line="654" w:lineRule="exact"/>
        <w:ind w:left="67"/>
      </w:pPr>
      <w:r>
        <w:rPr>
          <w:spacing w:val="12"/>
          <w:position w:val="16"/>
        </w:rPr>
        <w:t>式中</w:t>
      </w:r>
      <w:r>
        <w:rPr>
          <w:spacing w:val="212"/>
          <w:position w:val="16"/>
        </w:rPr>
        <w:t xml:space="preserve"> </w:t>
      </w:r>
      <w:r>
        <w:rPr>
          <w:rFonts w:ascii="Times New Roman" w:eastAsia="Times New Roman" w:hAnsi="Times New Roman" w:cs="Times New Roman"/>
          <w:position w:val="16"/>
        </w:rPr>
        <w:t>Bp</w:t>
      </w:r>
      <w:r>
        <w:rPr>
          <w:rFonts w:ascii="Times New Roman" w:eastAsia="Times New Roman" w:hAnsi="Times New Roman" w:cs="Times New Roman"/>
          <w:spacing w:val="12"/>
          <w:position w:val="16"/>
        </w:rPr>
        <w:t xml:space="preserve">—— </w:t>
      </w:r>
      <w:r>
        <w:rPr>
          <w:spacing w:val="12"/>
          <w:position w:val="16"/>
        </w:rPr>
        <w:t>绝缘电阻表指示器标称值；</w:t>
      </w:r>
    </w:p>
    <w:p>
      <w:pPr>
        <w:pStyle w:val="BodyText"/>
        <w:spacing w:line="213" w:lineRule="auto"/>
        <w:ind w:left="1384"/>
      </w:pPr>
      <w:r>
        <w:rPr>
          <w:rFonts w:ascii="Times New Roman" w:eastAsia="Times New Roman" w:hAnsi="Times New Roman" w:cs="Times New Roman"/>
        </w:rPr>
        <w:t>Bg</w:t>
      </w:r>
      <w:r>
        <w:rPr>
          <w:rFonts w:ascii="Times New Roman" w:eastAsia="Times New Roman" w:hAnsi="Times New Roman" w:cs="Times New Roman"/>
          <w:spacing w:val="11"/>
        </w:rPr>
        <w:t xml:space="preserve">—— </w:t>
      </w:r>
      <w:r>
        <w:rPr>
          <w:spacing w:val="11"/>
        </w:rPr>
        <w:t>标准高压高阻箱示值；</w:t>
      </w:r>
    </w:p>
    <w:p>
      <w:pPr>
        <w:pStyle w:val="BodyText"/>
        <w:spacing w:before="220" w:line="213" w:lineRule="auto"/>
        <w:ind w:left="1323"/>
      </w:pPr>
      <w:r>
        <w:rPr>
          <w:rFonts w:ascii="Times New Roman" w:eastAsia="Times New Roman" w:hAnsi="Times New Roman" w:cs="Times New Roman"/>
        </w:rPr>
        <w:t xml:space="preserve">Ap—— </w:t>
      </w:r>
      <w:r>
        <w:t>基准值。</w:t>
      </w:r>
    </w:p>
    <w:p>
      <w:pPr>
        <w:pStyle w:val="BodyText"/>
        <w:spacing w:before="245" w:line="220" w:lineRule="auto"/>
        <w:sectPr>
          <w:headerReference w:type="default" r:id="rId5"/>
          <w:footerReference w:type="default" r:id="rId6"/>
          <w:pgSz w:w="21566" w:h="31680"/>
          <w:pgMar w:top="3477" w:right="1782" w:bottom="2467" w:left="2336" w:header="3027" w:footer="2206" w:gutter="0"/>
          <w:cols w:space="708"/>
        </w:sectPr>
      </w:pPr>
      <w:r>
        <w:rPr>
          <w:spacing w:val="20"/>
        </w:rPr>
        <w:t>2.2  对非线性标尺的绝缘电阻表的基准值规定为测量</w:t>
      </w:r>
      <w:r>
        <w:rPr>
          <w:spacing w:val="19"/>
        </w:rPr>
        <w:t>指示值。</w:t>
      </w:r>
    </w:p>
    <w:p>
      <w:pPr>
        <w:pStyle w:val="BodyText"/>
        <w:spacing w:before="160" w:line="217" w:lineRule="auto"/>
        <w:ind w:left="6"/>
      </w:pPr>
      <w:r>
        <w:rPr>
          <w:spacing w:val="18"/>
        </w:rPr>
        <w:t>2.3  对非线性标尺的绝缘电阻表的量程划分为三个区段 (I,Ⅱ,Ⅲ)</w:t>
      </w:r>
      <w:r>
        <w:rPr>
          <w:spacing w:val="17"/>
        </w:rPr>
        <w:t>,     如图1所示。</w:t>
      </w:r>
    </w:p>
    <w:p>
      <w:pPr>
        <w:pStyle w:val="BodyText"/>
        <w:spacing w:before="176" w:line="255" w:lineRule="auto"/>
        <w:ind w:left="46" w:right="268" w:hanging="6"/>
      </w:pPr>
      <w:r>
        <w:rPr>
          <w:spacing w:val="23"/>
        </w:rPr>
        <w:t>2.4  Ⅱ区段长度由厂家提出，但不得小于标</w:t>
      </w:r>
      <w:r>
        <w:rPr>
          <w:spacing w:val="22"/>
        </w:rPr>
        <w:t>尺全长的50%。</w:t>
      </w:r>
      <w:r>
        <w:rPr>
          <w:spacing w:val="129"/>
        </w:rPr>
        <w:t xml:space="preserve"> </w:t>
      </w:r>
      <w:r>
        <w:rPr>
          <w:rFonts w:ascii="Times New Roman" w:eastAsia="Times New Roman" w:hAnsi="Times New Roman" w:cs="Times New Roman"/>
          <w:spacing w:val="22"/>
        </w:rPr>
        <w:t>I</w:t>
      </w:r>
      <w:r>
        <w:rPr>
          <w:rFonts w:ascii="Times New Roman" w:eastAsia="Times New Roman" w:hAnsi="Times New Roman" w:cs="Times New Roman"/>
          <w:spacing w:val="15"/>
        </w:rPr>
        <w:t xml:space="preserve">  </w:t>
      </w:r>
      <w:r>
        <w:rPr>
          <w:spacing w:val="22"/>
        </w:rPr>
        <w:t>区段为起始刻度点到Ⅱ</w:t>
      </w:r>
      <w:r>
        <w:t xml:space="preserve"> </w:t>
      </w:r>
      <w:r>
        <w:rPr>
          <w:spacing w:val="19"/>
        </w:rPr>
        <w:t>区段起始点，Ⅲ区段为Ⅱ区段终点到最大有效量程点。</w:t>
      </w:r>
    </w:p>
    <w:p>
      <w:pPr>
        <w:pStyle w:val="BodyText"/>
        <w:spacing w:before="162" w:line="220" w:lineRule="auto"/>
        <w:ind w:left="47"/>
      </w:pPr>
      <w:r>
        <w:rPr>
          <w:spacing w:val="-4"/>
        </w:rPr>
        <w:t>2.5</w:t>
      </w:r>
      <w:r>
        <w:rPr>
          <w:spacing w:val="70"/>
        </w:rPr>
        <w:t xml:space="preserve">  </w:t>
      </w:r>
      <w:r>
        <w:rPr>
          <w:spacing w:val="-4"/>
        </w:rPr>
        <w:t>Ⅱ区段为高准确度区，</w:t>
      </w:r>
      <w:r>
        <w:rPr>
          <w:spacing w:val="48"/>
        </w:rPr>
        <w:t xml:space="preserve"> </w:t>
      </w:r>
      <w:r>
        <w:rPr>
          <w:rFonts w:ascii="Times New Roman" w:eastAsia="Times New Roman" w:hAnsi="Times New Roman" w:cs="Times New Roman"/>
          <w:spacing w:val="-4"/>
        </w:rPr>
        <w:t xml:space="preserve">I  </w:t>
      </w:r>
      <w:r>
        <w:rPr>
          <w:spacing w:val="41"/>
        </w:rPr>
        <w:t>和Ⅲ区段为低准确度区。表1为绝缘电阻表准确度等级</w:t>
      </w:r>
    </w:p>
    <w:p>
      <w:pPr>
        <w:spacing w:line="220" w:lineRule="auto"/>
        <w:sectPr>
          <w:headerReference w:type="default" r:id="rId7"/>
          <w:footerReference w:type="default" r:id="rId8"/>
          <w:type w:val="nextPage"/>
          <w:pgSz w:w="21566" w:h="31680"/>
          <w:pgMar w:top="3477" w:right="1782" w:bottom="2467" w:left="2336" w:header="3027" w:footer="2206" w:gutter="0"/>
          <w:pgNumType w:start="2"/>
          <w:cols w:space="708"/>
          <w:titlePg w:val="0"/>
        </w:sectPr>
      </w:pPr>
    </w:p>
    <w:p>
      <w:pPr>
        <w:spacing w:line="298" w:lineRule="auto"/>
        <w:rPr>
          <w:rFonts w:ascii="Arial"/>
          <w:sz w:val="21"/>
        </w:rPr>
      </w:pPr>
    </w:p>
    <w:p>
      <w:pPr>
        <w:spacing w:line="299" w:lineRule="auto"/>
        <w:rPr>
          <w:rFonts w:ascii="Arial"/>
          <w:sz w:val="21"/>
        </w:rPr>
      </w:pPr>
    </w:p>
    <w:p>
      <w:pPr>
        <w:spacing w:line="3983" w:lineRule="exact"/>
        <w:ind w:firstLine="2916"/>
      </w:pPr>
      <w:r>
        <w:rPr>
          <w:position w:val="-79"/>
        </w:rPr>
        <w:drawing>
          <wp:inline distT="0" distB="0" distL="0" distR="0">
            <wp:extent cx="7147261" cy="2529487"/>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9"/>
                    <a:stretch>
                      <a:fillRect/>
                    </a:stretch>
                  </pic:blipFill>
                  <pic:spPr>
                    <a:xfrm>
                      <a:off x="0" y="0"/>
                      <a:ext cx="7147261" cy="2529487"/>
                    </a:xfrm>
                    <a:prstGeom prst="rect">
                      <a:avLst/>
                    </a:prstGeom>
                  </pic:spPr>
                </pic:pic>
              </a:graphicData>
            </a:graphic>
          </wp:inline>
        </w:drawing>
      </w:r>
    </w:p>
    <w:p>
      <w:pPr>
        <w:spacing w:line="310" w:lineRule="auto"/>
        <w:rPr>
          <w:rFonts w:ascii="Arial"/>
          <w:sz w:val="21"/>
        </w:rPr>
      </w:pPr>
    </w:p>
    <w:p>
      <w:pPr>
        <w:spacing w:line="311" w:lineRule="auto"/>
        <w:rPr>
          <w:rFonts w:ascii="Arial"/>
          <w:sz w:val="21"/>
        </w:rPr>
      </w:pPr>
    </w:p>
    <w:p>
      <w:pPr>
        <w:pStyle w:val="BodyText"/>
        <w:spacing w:before="120" w:line="791" w:lineRule="exact"/>
        <w:ind w:left="6387"/>
        <w:rPr>
          <w:sz w:val="37"/>
          <w:szCs w:val="37"/>
        </w:rPr>
      </w:pPr>
      <w:r>
        <w:rPr>
          <w:spacing w:val="11"/>
          <w:position w:val="31"/>
          <w:sz w:val="37"/>
          <w:szCs w:val="37"/>
        </w:rPr>
        <w:t>图 1  绝缘电阻表量程区段</w:t>
      </w:r>
    </w:p>
    <w:p>
      <w:pPr>
        <w:pStyle w:val="BodyText"/>
        <w:spacing w:line="220" w:lineRule="auto"/>
        <w:ind w:left="87"/>
      </w:pPr>
      <w:r>
        <w:rPr>
          <w:spacing w:val="14"/>
        </w:rPr>
        <w:t>与各区段允许误差限值的关系。</w:t>
      </w:r>
    </w:p>
    <w:p>
      <w:pPr>
        <w:spacing w:line="440" w:lineRule="auto"/>
        <w:rPr>
          <w:rFonts w:ascii="Arial"/>
          <w:sz w:val="21"/>
        </w:rPr>
      </w:pPr>
    </w:p>
    <w:p>
      <w:pPr>
        <w:spacing w:before="101" w:line="223" w:lineRule="auto"/>
        <w:ind w:left="8304"/>
        <w:rPr>
          <w:rFonts w:ascii="SimHei" w:eastAsia="SimHei" w:hAnsi="SimHei" w:cs="SimHei"/>
          <w:sz w:val="31"/>
          <w:szCs w:val="31"/>
        </w:rPr>
      </w:pPr>
      <w:r>
        <w:rPr>
          <w:rFonts w:ascii="SimHei" w:eastAsia="SimHei" w:hAnsi="SimHei" w:cs="SimHei"/>
          <w:spacing w:val="-9"/>
          <w:sz w:val="31"/>
          <w:szCs w:val="31"/>
        </w:rPr>
        <w:t>表</w:t>
      </w:r>
      <w:r>
        <w:rPr>
          <w:rFonts w:ascii="SimHei" w:eastAsia="SimHei" w:hAnsi="SimHei" w:cs="SimHei"/>
          <w:spacing w:val="3"/>
          <w:sz w:val="31"/>
          <w:szCs w:val="31"/>
        </w:rPr>
        <w:t xml:space="preserve">  </w:t>
      </w:r>
      <w:r>
        <w:rPr>
          <w:rFonts w:ascii="SimHei" w:eastAsia="SimHei" w:hAnsi="SimHei" w:cs="SimHei"/>
          <w:spacing w:val="-9"/>
          <w:sz w:val="31"/>
          <w:szCs w:val="31"/>
        </w:rPr>
        <w:t>1</w:t>
      </w:r>
    </w:p>
    <w:p>
      <w:pPr>
        <w:spacing w:line="168" w:lineRule="exact"/>
      </w:pPr>
    </w:p>
    <w:tbl>
      <w:tblPr>
        <w:tblStyle w:val="TableNormal0"/>
        <w:tblW w:w="17171" w:type="dxa"/>
        <w:tblInd w:w="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555"/>
        <w:gridCol w:w="2551"/>
        <w:gridCol w:w="2369"/>
        <w:gridCol w:w="2356"/>
        <w:gridCol w:w="2376"/>
        <w:gridCol w:w="2362"/>
        <w:gridCol w:w="2602"/>
      </w:tblGrid>
      <w:tr>
        <w:tblPrEx>
          <w:tblW w:w="17171" w:type="dxa"/>
          <w:tblInd w:w="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171"/>
        </w:trPr>
        <w:tc>
          <w:tcPr>
            <w:tcW w:w="5106" w:type="dxa"/>
            <w:gridSpan w:val="2"/>
            <w:vAlign w:val="top"/>
          </w:tcPr>
          <w:p>
            <w:pPr>
              <w:spacing w:line="342" w:lineRule="auto"/>
              <w:rPr>
                <w:rFonts w:ascii="Arial"/>
                <w:sz w:val="21"/>
              </w:rPr>
            </w:pPr>
          </w:p>
          <w:p>
            <w:pPr>
              <w:pStyle w:val="TableText"/>
              <w:spacing w:before="98" w:line="222" w:lineRule="auto"/>
              <w:ind w:left="606"/>
            </w:pPr>
            <w:r>
              <w:rPr>
                <w:spacing w:val="-13"/>
              </w:rPr>
              <w:t>绝</w:t>
            </w:r>
            <w:r>
              <w:rPr>
                <w:spacing w:val="-29"/>
              </w:rPr>
              <w:t xml:space="preserve"> </w:t>
            </w:r>
            <w:r>
              <w:rPr>
                <w:spacing w:val="-13"/>
              </w:rPr>
              <w:t>缘 电 阻</w:t>
            </w:r>
            <w:r>
              <w:rPr>
                <w:spacing w:val="-36"/>
              </w:rPr>
              <w:t xml:space="preserve"> </w:t>
            </w:r>
            <w:r>
              <w:rPr>
                <w:spacing w:val="-13"/>
              </w:rPr>
              <w:t>表</w:t>
            </w:r>
            <w:r>
              <w:rPr>
                <w:spacing w:val="-33"/>
              </w:rPr>
              <w:t xml:space="preserve"> </w:t>
            </w:r>
            <w:r>
              <w:rPr>
                <w:spacing w:val="-13"/>
              </w:rPr>
              <w:t>准</w:t>
            </w:r>
            <w:r>
              <w:rPr>
                <w:spacing w:val="-36"/>
              </w:rPr>
              <w:t xml:space="preserve"> </w:t>
            </w:r>
            <w:r>
              <w:rPr>
                <w:spacing w:val="-13"/>
              </w:rPr>
              <w:t>确</w:t>
            </w:r>
            <w:r>
              <w:rPr>
                <w:spacing w:val="-37"/>
              </w:rPr>
              <w:t xml:space="preserve"> </w:t>
            </w:r>
            <w:r>
              <w:rPr>
                <w:spacing w:val="-13"/>
              </w:rPr>
              <w:t>度</w:t>
            </w:r>
            <w:r>
              <w:rPr>
                <w:spacing w:val="-33"/>
              </w:rPr>
              <w:t xml:space="preserve"> </w:t>
            </w:r>
            <w:r>
              <w:rPr>
                <w:spacing w:val="-13"/>
              </w:rPr>
              <w:t>等</w:t>
            </w:r>
            <w:r>
              <w:rPr>
                <w:spacing w:val="-30"/>
              </w:rPr>
              <w:t xml:space="preserve"> </w:t>
            </w:r>
            <w:r>
              <w:rPr>
                <w:spacing w:val="-13"/>
              </w:rPr>
              <w:t>级</w:t>
            </w:r>
          </w:p>
        </w:tc>
        <w:tc>
          <w:tcPr>
            <w:tcW w:w="2369" w:type="dxa"/>
            <w:vAlign w:val="top"/>
          </w:tcPr>
          <w:p>
            <w:pPr>
              <w:spacing w:line="420" w:lineRule="auto"/>
              <w:rPr>
                <w:rFonts w:ascii="Arial"/>
                <w:sz w:val="21"/>
              </w:rPr>
            </w:pPr>
          </w:p>
          <w:p>
            <w:pPr>
              <w:pStyle w:val="TableText"/>
              <w:spacing w:before="98" w:line="185" w:lineRule="auto"/>
              <w:ind w:left="948"/>
            </w:pPr>
            <w:r>
              <w:rPr>
                <w:spacing w:val="-7"/>
              </w:rPr>
              <w:t>1.0</w:t>
            </w:r>
          </w:p>
        </w:tc>
        <w:tc>
          <w:tcPr>
            <w:tcW w:w="2356" w:type="dxa"/>
            <w:vAlign w:val="top"/>
          </w:tcPr>
          <w:p>
            <w:pPr>
              <w:spacing w:line="420" w:lineRule="auto"/>
              <w:rPr>
                <w:rFonts w:ascii="Arial"/>
                <w:sz w:val="21"/>
              </w:rPr>
            </w:pPr>
          </w:p>
          <w:p>
            <w:pPr>
              <w:pStyle w:val="TableText"/>
              <w:spacing w:before="98" w:line="185" w:lineRule="auto"/>
              <w:ind w:left="943"/>
            </w:pPr>
            <w:r>
              <w:rPr>
                <w:spacing w:val="-3"/>
              </w:rPr>
              <w:t>2.0</w:t>
            </w:r>
          </w:p>
        </w:tc>
        <w:tc>
          <w:tcPr>
            <w:tcW w:w="2376" w:type="dxa"/>
            <w:vAlign w:val="top"/>
          </w:tcPr>
          <w:p>
            <w:pPr>
              <w:spacing w:line="420" w:lineRule="auto"/>
              <w:rPr>
                <w:rFonts w:ascii="Arial"/>
                <w:sz w:val="21"/>
              </w:rPr>
            </w:pPr>
          </w:p>
          <w:p>
            <w:pPr>
              <w:pStyle w:val="TableText"/>
              <w:spacing w:before="98" w:line="185" w:lineRule="auto"/>
              <w:ind w:left="957"/>
            </w:pPr>
            <w:r>
              <w:rPr>
                <w:spacing w:val="-3"/>
              </w:rPr>
              <w:t>5.0</w:t>
            </w:r>
          </w:p>
        </w:tc>
        <w:tc>
          <w:tcPr>
            <w:tcW w:w="2362" w:type="dxa"/>
            <w:vAlign w:val="top"/>
          </w:tcPr>
          <w:p>
            <w:pPr>
              <w:spacing w:line="420" w:lineRule="auto"/>
              <w:rPr>
                <w:rFonts w:ascii="Arial"/>
                <w:sz w:val="21"/>
              </w:rPr>
            </w:pPr>
          </w:p>
          <w:p>
            <w:pPr>
              <w:pStyle w:val="TableText"/>
              <w:spacing w:before="98" w:line="185" w:lineRule="auto"/>
              <w:ind w:left="876"/>
            </w:pPr>
            <w:r>
              <w:rPr>
                <w:spacing w:val="-5"/>
              </w:rPr>
              <w:t>10.0</w:t>
            </w:r>
          </w:p>
        </w:tc>
        <w:tc>
          <w:tcPr>
            <w:tcW w:w="2602" w:type="dxa"/>
            <w:vAlign w:val="top"/>
          </w:tcPr>
          <w:p>
            <w:pPr>
              <w:spacing w:line="420" w:lineRule="auto"/>
              <w:rPr>
                <w:rFonts w:ascii="Arial"/>
                <w:sz w:val="21"/>
              </w:rPr>
            </w:pPr>
          </w:p>
          <w:p>
            <w:pPr>
              <w:pStyle w:val="TableText"/>
              <w:spacing w:before="98" w:line="185" w:lineRule="auto"/>
              <w:ind w:left="992"/>
            </w:pPr>
            <w:r>
              <w:rPr>
                <w:spacing w:val="-2"/>
              </w:rPr>
              <w:t>20.0</w:t>
            </w:r>
          </w:p>
        </w:tc>
      </w:tr>
      <w:tr>
        <w:tblPrEx>
          <w:tblW w:w="17171" w:type="dxa"/>
          <w:tblInd w:w="93" w:type="dxa"/>
          <w:tblLayout w:type="fixed"/>
        </w:tblPrEx>
        <w:trPr>
          <w:trHeight w:val="1161"/>
        </w:trPr>
        <w:tc>
          <w:tcPr>
            <w:tcW w:w="2555" w:type="dxa"/>
            <w:vMerge w:val="restart"/>
            <w:tcBorders>
              <w:bottom w:val="nil"/>
            </w:tcBorders>
            <w:vAlign w:val="top"/>
          </w:tcPr>
          <w:p>
            <w:pPr>
              <w:spacing w:line="288" w:lineRule="auto"/>
              <w:rPr>
                <w:rFonts w:ascii="Arial"/>
                <w:sz w:val="21"/>
              </w:rPr>
            </w:pPr>
          </w:p>
          <w:p>
            <w:pPr>
              <w:spacing w:line="288" w:lineRule="auto"/>
              <w:rPr>
                <w:rFonts w:ascii="Arial"/>
                <w:sz w:val="21"/>
              </w:rPr>
            </w:pPr>
          </w:p>
          <w:p>
            <w:pPr>
              <w:pStyle w:val="TableText"/>
              <w:spacing w:before="98" w:line="627" w:lineRule="exact"/>
              <w:ind w:left="666"/>
            </w:pPr>
            <w:r>
              <w:rPr>
                <w:spacing w:val="8"/>
                <w:position w:val="24"/>
              </w:rPr>
              <w:t>允许误差</w:t>
            </w:r>
          </w:p>
          <w:p>
            <w:pPr>
              <w:pStyle w:val="TableText"/>
              <w:spacing w:before="1" w:line="221" w:lineRule="auto"/>
              <w:ind w:left="504"/>
            </w:pPr>
            <w:r>
              <w:rPr>
                <w:spacing w:val="-21"/>
              </w:rPr>
              <w:t>限</w:t>
            </w:r>
            <w:r>
              <w:rPr>
                <w:spacing w:val="7"/>
              </w:rPr>
              <w:t xml:space="preserve"> </w:t>
            </w:r>
            <w:r>
              <w:rPr>
                <w:spacing w:val="-21"/>
              </w:rPr>
              <w:t>值</w:t>
            </w:r>
            <w:r>
              <w:rPr>
                <w:spacing w:val="59"/>
              </w:rPr>
              <w:t xml:space="preserve"> </w:t>
            </w:r>
            <w:r>
              <w:rPr>
                <w:spacing w:val="-21"/>
              </w:rPr>
              <w:t>(</w:t>
            </w:r>
            <w:r>
              <w:rPr>
                <w:spacing w:val="-2"/>
              </w:rPr>
              <w:t xml:space="preserve"> </w:t>
            </w:r>
            <w:r>
              <w:rPr>
                <w:spacing w:val="-21"/>
              </w:rPr>
              <w:t>%</w:t>
            </w:r>
            <w:r>
              <w:rPr>
                <w:spacing w:val="7"/>
              </w:rPr>
              <w:t xml:space="preserve"> </w:t>
            </w:r>
            <w:r>
              <w:rPr>
                <w:spacing w:val="-21"/>
              </w:rPr>
              <w:t>)</w:t>
            </w:r>
          </w:p>
        </w:tc>
        <w:tc>
          <w:tcPr>
            <w:tcW w:w="2551" w:type="dxa"/>
            <w:vAlign w:val="top"/>
          </w:tcPr>
          <w:p>
            <w:pPr>
              <w:spacing w:line="344" w:lineRule="auto"/>
              <w:rPr>
                <w:rFonts w:ascii="Arial"/>
                <w:sz w:val="21"/>
              </w:rPr>
            </w:pPr>
          </w:p>
          <w:p>
            <w:pPr>
              <w:pStyle w:val="TableText"/>
              <w:spacing w:before="97" w:line="223" w:lineRule="auto"/>
              <w:ind w:left="812"/>
            </w:pPr>
            <w:r>
              <w:rPr>
                <w:spacing w:val="7"/>
              </w:rPr>
              <w:t>Ⅱ区段</w:t>
            </w:r>
          </w:p>
        </w:tc>
        <w:tc>
          <w:tcPr>
            <w:tcW w:w="2369" w:type="dxa"/>
            <w:vAlign w:val="top"/>
          </w:tcPr>
          <w:p>
            <w:pPr>
              <w:spacing w:line="366" w:lineRule="auto"/>
              <w:rPr>
                <w:rFonts w:ascii="Arial"/>
                <w:sz w:val="21"/>
              </w:rPr>
            </w:pPr>
          </w:p>
          <w:p>
            <w:pPr>
              <w:pStyle w:val="TableText"/>
              <w:spacing w:before="98" w:line="238" w:lineRule="auto"/>
              <w:ind w:left="800"/>
            </w:pPr>
            <w:r>
              <w:rPr>
                <w:spacing w:val="-8"/>
              </w:rPr>
              <w:t>±1.0</w:t>
            </w:r>
          </w:p>
        </w:tc>
        <w:tc>
          <w:tcPr>
            <w:tcW w:w="2356" w:type="dxa"/>
            <w:vAlign w:val="top"/>
          </w:tcPr>
          <w:p>
            <w:pPr>
              <w:spacing w:line="366" w:lineRule="auto"/>
              <w:rPr>
                <w:rFonts w:ascii="Arial"/>
                <w:sz w:val="21"/>
              </w:rPr>
            </w:pPr>
          </w:p>
          <w:p>
            <w:pPr>
              <w:pStyle w:val="TableText"/>
              <w:spacing w:before="98" w:line="238" w:lineRule="auto"/>
              <w:ind w:left="794"/>
            </w:pPr>
            <w:r>
              <w:rPr>
                <w:spacing w:val="-8"/>
              </w:rPr>
              <w:t>±2.0</w:t>
            </w:r>
          </w:p>
        </w:tc>
        <w:tc>
          <w:tcPr>
            <w:tcW w:w="2376" w:type="dxa"/>
            <w:vAlign w:val="top"/>
          </w:tcPr>
          <w:p>
            <w:pPr>
              <w:spacing w:line="366" w:lineRule="auto"/>
              <w:rPr>
                <w:rFonts w:ascii="Arial"/>
                <w:sz w:val="21"/>
              </w:rPr>
            </w:pPr>
          </w:p>
          <w:p>
            <w:pPr>
              <w:pStyle w:val="TableText"/>
              <w:spacing w:before="98" w:line="238" w:lineRule="auto"/>
              <w:ind w:left="801"/>
            </w:pPr>
            <w:r>
              <w:rPr>
                <w:spacing w:val="-8"/>
              </w:rPr>
              <w:t>±5.0</w:t>
            </w:r>
          </w:p>
        </w:tc>
        <w:tc>
          <w:tcPr>
            <w:tcW w:w="2362" w:type="dxa"/>
            <w:vAlign w:val="top"/>
          </w:tcPr>
          <w:p>
            <w:pPr>
              <w:spacing w:line="366" w:lineRule="auto"/>
              <w:rPr>
                <w:rFonts w:ascii="Arial"/>
                <w:sz w:val="21"/>
              </w:rPr>
            </w:pPr>
          </w:p>
          <w:p>
            <w:pPr>
              <w:pStyle w:val="TableText"/>
              <w:spacing w:before="98" w:line="238" w:lineRule="auto"/>
              <w:ind w:left="721"/>
            </w:pPr>
            <w:r>
              <w:rPr>
                <w:spacing w:val="-6"/>
              </w:rPr>
              <w:t>±10.0</w:t>
            </w:r>
          </w:p>
        </w:tc>
        <w:tc>
          <w:tcPr>
            <w:tcW w:w="2602" w:type="dxa"/>
            <w:vAlign w:val="top"/>
          </w:tcPr>
          <w:p>
            <w:pPr>
              <w:spacing w:line="366" w:lineRule="auto"/>
              <w:rPr>
                <w:rFonts w:ascii="Arial"/>
                <w:sz w:val="21"/>
              </w:rPr>
            </w:pPr>
          </w:p>
          <w:p>
            <w:pPr>
              <w:pStyle w:val="TableText"/>
              <w:spacing w:before="98" w:line="238" w:lineRule="auto"/>
              <w:ind w:left="844"/>
            </w:pPr>
            <w:r>
              <w:rPr>
                <w:spacing w:val="-6"/>
              </w:rPr>
              <w:t>±20.0</w:t>
            </w:r>
          </w:p>
        </w:tc>
      </w:tr>
      <w:tr>
        <w:tblPrEx>
          <w:tblW w:w="17171" w:type="dxa"/>
          <w:tblInd w:w="93" w:type="dxa"/>
          <w:tblLayout w:type="fixed"/>
        </w:tblPrEx>
        <w:trPr>
          <w:trHeight w:val="1185"/>
        </w:trPr>
        <w:tc>
          <w:tcPr>
            <w:tcW w:w="2555" w:type="dxa"/>
            <w:vMerge/>
            <w:tcBorders>
              <w:top w:val="nil"/>
            </w:tcBorders>
            <w:vAlign w:val="top"/>
          </w:tcPr>
          <w:p>
            <w:pPr>
              <w:rPr>
                <w:rFonts w:ascii="Arial"/>
                <w:sz w:val="21"/>
              </w:rPr>
            </w:pPr>
          </w:p>
        </w:tc>
        <w:tc>
          <w:tcPr>
            <w:tcW w:w="2551" w:type="dxa"/>
            <w:vAlign w:val="top"/>
          </w:tcPr>
          <w:p>
            <w:pPr>
              <w:spacing w:line="345" w:lineRule="auto"/>
              <w:rPr>
                <w:rFonts w:ascii="Arial"/>
                <w:sz w:val="21"/>
              </w:rPr>
            </w:pPr>
          </w:p>
          <w:p>
            <w:pPr>
              <w:pStyle w:val="TableText"/>
              <w:spacing w:before="98" w:line="219" w:lineRule="auto"/>
              <w:ind w:left="319"/>
            </w:pPr>
            <w:r>
              <w:rPr>
                <w:spacing w:val="-16"/>
              </w:rPr>
              <w:t>I</w:t>
            </w:r>
            <w:r>
              <w:rPr>
                <w:spacing w:val="49"/>
              </w:rPr>
              <w:t xml:space="preserve"> </w:t>
            </w:r>
            <w:r>
              <w:rPr>
                <w:spacing w:val="-16"/>
              </w:rPr>
              <w:t>,</w:t>
            </w:r>
            <w:r>
              <w:rPr>
                <w:spacing w:val="43"/>
              </w:rPr>
              <w:t xml:space="preserve"> </w:t>
            </w:r>
            <w:r>
              <w:rPr>
                <w:spacing w:val="-16"/>
              </w:rPr>
              <w:t>Ⅲ</w:t>
            </w:r>
            <w:r>
              <w:rPr>
                <w:spacing w:val="66"/>
              </w:rPr>
              <w:t xml:space="preserve"> </w:t>
            </w:r>
            <w:r>
              <w:rPr>
                <w:spacing w:val="-16"/>
              </w:rPr>
              <w:t>区</w:t>
            </w:r>
            <w:r>
              <w:rPr>
                <w:spacing w:val="46"/>
              </w:rPr>
              <w:t xml:space="preserve"> </w:t>
            </w:r>
            <w:r>
              <w:rPr>
                <w:spacing w:val="-16"/>
              </w:rPr>
              <w:t>段</w:t>
            </w:r>
          </w:p>
        </w:tc>
        <w:tc>
          <w:tcPr>
            <w:tcW w:w="2369" w:type="dxa"/>
            <w:vAlign w:val="top"/>
          </w:tcPr>
          <w:p>
            <w:pPr>
              <w:spacing w:line="375" w:lineRule="auto"/>
              <w:rPr>
                <w:rFonts w:ascii="Arial"/>
                <w:sz w:val="21"/>
              </w:rPr>
            </w:pPr>
          </w:p>
          <w:p>
            <w:pPr>
              <w:pStyle w:val="TableText"/>
              <w:spacing w:before="98" w:line="238" w:lineRule="auto"/>
              <w:ind w:left="800"/>
            </w:pPr>
            <w:r>
              <w:rPr>
                <w:spacing w:val="-8"/>
              </w:rPr>
              <w:t>±2.0</w:t>
            </w:r>
          </w:p>
        </w:tc>
        <w:tc>
          <w:tcPr>
            <w:tcW w:w="2356" w:type="dxa"/>
            <w:vAlign w:val="top"/>
          </w:tcPr>
          <w:p>
            <w:pPr>
              <w:spacing w:line="375" w:lineRule="auto"/>
              <w:rPr>
                <w:rFonts w:ascii="Arial"/>
                <w:sz w:val="21"/>
              </w:rPr>
            </w:pPr>
          </w:p>
          <w:p>
            <w:pPr>
              <w:pStyle w:val="TableText"/>
              <w:spacing w:before="98" w:line="238" w:lineRule="auto"/>
              <w:ind w:left="794"/>
            </w:pPr>
            <w:r>
              <w:rPr>
                <w:spacing w:val="-8"/>
              </w:rPr>
              <w:t>±5.0</w:t>
            </w:r>
          </w:p>
        </w:tc>
        <w:tc>
          <w:tcPr>
            <w:tcW w:w="2376" w:type="dxa"/>
            <w:vAlign w:val="top"/>
          </w:tcPr>
          <w:p>
            <w:pPr>
              <w:spacing w:line="375" w:lineRule="auto"/>
              <w:rPr>
                <w:rFonts w:ascii="Arial"/>
                <w:sz w:val="21"/>
              </w:rPr>
            </w:pPr>
          </w:p>
          <w:p>
            <w:pPr>
              <w:pStyle w:val="TableText"/>
              <w:spacing w:before="98" w:line="238" w:lineRule="auto"/>
              <w:ind w:left="727"/>
            </w:pPr>
            <w:r>
              <w:rPr>
                <w:spacing w:val="-6"/>
              </w:rPr>
              <w:t>±10.0</w:t>
            </w:r>
          </w:p>
        </w:tc>
        <w:tc>
          <w:tcPr>
            <w:tcW w:w="2362" w:type="dxa"/>
            <w:vAlign w:val="top"/>
          </w:tcPr>
          <w:p>
            <w:pPr>
              <w:spacing w:line="375" w:lineRule="auto"/>
              <w:rPr>
                <w:rFonts w:ascii="Arial"/>
                <w:sz w:val="21"/>
              </w:rPr>
            </w:pPr>
          </w:p>
          <w:p>
            <w:pPr>
              <w:pStyle w:val="TableText"/>
              <w:spacing w:before="98" w:line="238" w:lineRule="auto"/>
              <w:ind w:left="721"/>
            </w:pPr>
            <w:r>
              <w:rPr>
                <w:spacing w:val="-6"/>
              </w:rPr>
              <w:t>±20.0</w:t>
            </w:r>
          </w:p>
        </w:tc>
        <w:tc>
          <w:tcPr>
            <w:tcW w:w="2602" w:type="dxa"/>
            <w:vAlign w:val="top"/>
          </w:tcPr>
          <w:p>
            <w:pPr>
              <w:spacing w:line="375" w:lineRule="auto"/>
              <w:rPr>
                <w:rFonts w:ascii="Arial"/>
                <w:sz w:val="21"/>
              </w:rPr>
            </w:pPr>
          </w:p>
          <w:p>
            <w:pPr>
              <w:pStyle w:val="TableText"/>
              <w:spacing w:before="98" w:line="238" w:lineRule="auto"/>
              <w:ind w:left="844"/>
            </w:pPr>
            <w:r>
              <w:rPr>
                <w:spacing w:val="-6"/>
              </w:rPr>
              <w:t>±50.0</w:t>
            </w:r>
          </w:p>
        </w:tc>
      </w:tr>
    </w:tbl>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BodyText"/>
        <w:spacing w:before="141" w:line="222" w:lineRule="auto"/>
        <w:ind w:left="87"/>
      </w:pPr>
      <w:r>
        <w:rPr>
          <w:spacing w:val="14"/>
        </w:rPr>
        <w:t>3</w:t>
      </w:r>
      <w:r>
        <w:rPr>
          <w:spacing w:val="28"/>
        </w:rPr>
        <w:t xml:space="preserve">  </w:t>
      </w:r>
      <w:r>
        <w:rPr>
          <w:spacing w:val="14"/>
        </w:rPr>
        <w:t>绝缘电阻</w:t>
      </w:r>
    </w:p>
    <w:p>
      <w:pPr>
        <w:pStyle w:val="BodyText"/>
        <w:spacing w:before="143" w:line="220" w:lineRule="auto"/>
        <w:ind w:right="39"/>
        <w:jc w:val="right"/>
      </w:pPr>
      <w:r>
        <w:rPr>
          <w:b/>
          <w:bCs/>
          <w:spacing w:val="18"/>
        </w:rPr>
        <w:t>绝缘电阻表的测量线路与外壳之间的绝缘电阻在标准条件下，当额定电压小于或等</w:t>
      </w:r>
    </w:p>
    <w:p>
      <w:pPr>
        <w:pStyle w:val="BodyText"/>
        <w:spacing w:before="141" w:line="736" w:lineRule="exact"/>
        <w:ind w:left="87"/>
      </w:pPr>
      <w:r>
        <w:rPr>
          <w:spacing w:val="18"/>
          <w:position w:val="23"/>
        </w:rPr>
        <w:t>于 1</w:t>
      </w:r>
      <w:r>
        <w:rPr>
          <w:spacing w:val="-81"/>
          <w:position w:val="23"/>
        </w:rPr>
        <w:t xml:space="preserve"> </w:t>
      </w:r>
      <w:r>
        <w:rPr>
          <w:rFonts w:ascii="Times New Roman" w:eastAsia="Times New Roman" w:hAnsi="Times New Roman" w:cs="Times New Roman"/>
          <w:position w:val="23"/>
        </w:rPr>
        <w:t>kV</w:t>
      </w:r>
      <w:r>
        <w:rPr>
          <w:rFonts w:ascii="Times New Roman" w:eastAsia="Times New Roman" w:hAnsi="Times New Roman" w:cs="Times New Roman"/>
          <w:spacing w:val="90"/>
          <w:position w:val="23"/>
        </w:rPr>
        <w:t xml:space="preserve"> </w:t>
      </w:r>
      <w:r>
        <w:rPr>
          <w:spacing w:val="18"/>
          <w:position w:val="23"/>
        </w:rPr>
        <w:t xml:space="preserve">时，应高于20 </w:t>
      </w:r>
      <w:r>
        <w:rPr>
          <w:rFonts w:ascii="Times New Roman" w:eastAsia="Times New Roman" w:hAnsi="Times New Roman" w:cs="Times New Roman"/>
          <w:position w:val="23"/>
        </w:rPr>
        <w:t>MQ</w:t>
      </w:r>
      <w:r>
        <w:rPr>
          <w:rFonts w:ascii="Times New Roman" w:eastAsia="Times New Roman" w:hAnsi="Times New Roman" w:cs="Times New Roman"/>
          <w:spacing w:val="18"/>
          <w:position w:val="23"/>
        </w:rPr>
        <w:t xml:space="preserve">;   </w:t>
      </w:r>
      <w:r>
        <w:rPr>
          <w:spacing w:val="18"/>
          <w:position w:val="23"/>
        </w:rPr>
        <w:t>当额定电压大于1</w:t>
      </w:r>
      <w:r>
        <w:rPr>
          <w:spacing w:val="-77"/>
          <w:position w:val="23"/>
        </w:rPr>
        <w:t xml:space="preserve"> </w:t>
      </w:r>
      <w:r>
        <w:rPr>
          <w:rFonts w:ascii="Times New Roman" w:eastAsia="Times New Roman" w:hAnsi="Times New Roman" w:cs="Times New Roman"/>
          <w:position w:val="23"/>
        </w:rPr>
        <w:t>kV</w:t>
      </w:r>
      <w:r>
        <w:rPr>
          <w:rFonts w:ascii="Times New Roman" w:eastAsia="Times New Roman" w:hAnsi="Times New Roman" w:cs="Times New Roman"/>
          <w:spacing w:val="70"/>
          <w:position w:val="23"/>
        </w:rPr>
        <w:t xml:space="preserve"> </w:t>
      </w:r>
      <w:r>
        <w:rPr>
          <w:spacing w:val="18"/>
          <w:position w:val="23"/>
        </w:rPr>
        <w:t xml:space="preserve">时，应高于30 </w:t>
      </w:r>
      <w:r>
        <w:rPr>
          <w:rFonts w:ascii="Times New Roman" w:eastAsia="Times New Roman" w:hAnsi="Times New Roman" w:cs="Times New Roman"/>
          <w:spacing w:val="18"/>
          <w:position w:val="23"/>
        </w:rPr>
        <w:t>MΩ</w:t>
      </w:r>
      <w:r>
        <w:rPr>
          <w:spacing w:val="18"/>
          <w:position w:val="23"/>
        </w:rPr>
        <w:t>。</w:t>
      </w:r>
    </w:p>
    <w:p>
      <w:pPr>
        <w:pStyle w:val="BodyText"/>
        <w:spacing w:before="1" w:line="220" w:lineRule="auto"/>
        <w:ind w:left="60"/>
      </w:pPr>
      <w:r>
        <w:rPr>
          <w:spacing w:val="10"/>
        </w:rPr>
        <w:t>4</w:t>
      </w:r>
      <w:r>
        <w:rPr>
          <w:spacing w:val="32"/>
        </w:rPr>
        <w:t xml:space="preserve">  </w:t>
      </w:r>
      <w:r>
        <w:rPr>
          <w:spacing w:val="10"/>
        </w:rPr>
        <w:t>倾斜影响</w:t>
      </w:r>
    </w:p>
    <w:p>
      <w:pPr>
        <w:pStyle w:val="BodyText"/>
        <w:spacing w:before="96" w:line="217" w:lineRule="auto"/>
        <w:ind w:right="61"/>
        <w:jc w:val="right"/>
      </w:pPr>
      <w:r>
        <w:rPr>
          <w:b/>
          <w:bCs/>
          <w:spacing w:val="29"/>
        </w:rPr>
        <w:t>绝缘电阻表的工作位置向任一方向倾斜5°,其指示值的改变不应超过基本误差极</w:t>
      </w:r>
    </w:p>
    <w:p>
      <w:pPr>
        <w:pStyle w:val="BodyText"/>
        <w:spacing w:before="203" w:line="220" w:lineRule="auto"/>
        <w:ind w:left="87"/>
      </w:pPr>
      <w:r>
        <w:rPr>
          <w:spacing w:val="55"/>
        </w:rPr>
        <w:t>限值的50%。</w:t>
      </w:r>
    </w:p>
    <w:p>
      <w:pPr>
        <w:pStyle w:val="BodyText"/>
        <w:spacing w:before="162" w:line="220" w:lineRule="auto"/>
        <w:ind w:left="87"/>
      </w:pPr>
      <w:r>
        <w:rPr>
          <w:spacing w:val="17"/>
        </w:rPr>
        <w:t>5  端钮电压及其稳定性</w:t>
      </w:r>
    </w:p>
    <w:p>
      <w:pPr>
        <w:pStyle w:val="BodyText"/>
        <w:spacing w:before="149" w:line="258" w:lineRule="auto"/>
        <w:ind w:left="87" w:right="33"/>
      </w:pPr>
      <w:r>
        <w:rPr>
          <w:spacing w:val="41"/>
        </w:rPr>
        <w:t>5.1  绝缘电阻表在开路时端钮电压称开路电压，其应在额定电压的90%～110%范围</w:t>
      </w:r>
      <w:r>
        <w:rPr>
          <w:spacing w:val="14"/>
        </w:rPr>
        <w:t xml:space="preserve"> </w:t>
      </w:r>
      <w:r>
        <w:rPr>
          <w:spacing w:val="-34"/>
        </w:rPr>
        <w:t>内</w:t>
      </w:r>
      <w:r>
        <w:rPr>
          <w:spacing w:val="-103"/>
        </w:rPr>
        <w:t xml:space="preserve"> </w:t>
      </w:r>
      <w:r>
        <w:rPr>
          <w:spacing w:val="-34"/>
        </w:rPr>
        <w:t>。</w:t>
      </w:r>
    </w:p>
    <w:p>
      <w:pPr>
        <w:pStyle w:val="BodyText"/>
        <w:spacing w:before="156" w:line="220" w:lineRule="auto"/>
        <w:ind w:left="87"/>
      </w:pPr>
      <w:r>
        <w:rPr>
          <w:spacing w:val="22"/>
        </w:rPr>
        <w:t>5.2  绝缘电阻表开路电压的峰值与有效值之比应</w:t>
      </w:r>
      <w:r>
        <w:rPr>
          <w:spacing w:val="21"/>
        </w:rPr>
        <w:t>不大于1.5。</w:t>
      </w:r>
    </w:p>
    <w:p>
      <w:pPr>
        <w:pStyle w:val="BodyText"/>
        <w:spacing w:before="150" w:line="220" w:lineRule="auto"/>
        <w:ind w:left="93"/>
        <w:outlineLvl w:val="0"/>
      </w:pPr>
      <w:r>
        <w:rPr>
          <w:b/>
          <w:bCs/>
          <w:spacing w:val="28"/>
        </w:rPr>
        <w:t>5.3</w:t>
      </w:r>
      <w:r>
        <w:rPr>
          <w:spacing w:val="28"/>
        </w:rPr>
        <w:t xml:space="preserve">  </w:t>
      </w:r>
      <w:r>
        <w:rPr>
          <w:b/>
          <w:bCs/>
          <w:spacing w:val="28"/>
        </w:rPr>
        <w:t>绝缘电阻表测量端钮接入电阻等于中值电阻时，端钮电压称中值电压.中值电压</w:t>
      </w:r>
    </w:p>
    <w:p>
      <w:pPr>
        <w:pStyle w:val="BodyText"/>
        <w:spacing w:before="175" w:line="220" w:lineRule="auto"/>
        <w:ind w:left="87"/>
      </w:pPr>
      <w:r>
        <w:rPr>
          <w:spacing w:val="35"/>
        </w:rPr>
        <w:t>应不低于绝缘电阻表额定电压的90%。</w:t>
      </w:r>
    </w:p>
    <w:p>
      <w:pPr>
        <w:pStyle w:val="BodyText"/>
        <w:spacing w:before="144" w:line="220" w:lineRule="auto"/>
        <w:ind w:left="93"/>
        <w:outlineLvl w:val="0"/>
      </w:pPr>
      <w:r>
        <w:rPr>
          <w:b/>
          <w:bCs/>
          <w:spacing w:val="20"/>
        </w:rPr>
        <w:t>5.4</w:t>
      </w:r>
      <w:r>
        <w:rPr>
          <w:spacing w:val="20"/>
        </w:rPr>
        <w:t xml:space="preserve">  </w:t>
      </w:r>
      <w:r>
        <w:rPr>
          <w:b/>
          <w:bCs/>
          <w:spacing w:val="20"/>
        </w:rPr>
        <w:t>在</w:t>
      </w:r>
      <w:r>
        <w:rPr>
          <w:spacing w:val="20"/>
        </w:rPr>
        <w:t xml:space="preserve"> </w:t>
      </w:r>
      <w:r>
        <w:rPr>
          <w:b/>
          <w:bCs/>
          <w:spacing w:val="20"/>
        </w:rPr>
        <w:t>1</w:t>
      </w:r>
      <w:r>
        <w:rPr>
          <w:spacing w:val="-104"/>
        </w:rPr>
        <w:t xml:space="preserve"> </w:t>
      </w:r>
      <w:r>
        <w:rPr>
          <w:rFonts w:ascii="Times New Roman" w:eastAsia="Times New Roman" w:hAnsi="Times New Roman" w:cs="Times New Roman"/>
          <w:b/>
          <w:bCs/>
        </w:rPr>
        <w:t>min</w:t>
      </w:r>
      <w:r>
        <w:rPr>
          <w:rFonts w:ascii="Times New Roman" w:eastAsia="Times New Roman" w:hAnsi="Times New Roman" w:cs="Times New Roman"/>
          <w:b/>
          <w:bCs/>
          <w:spacing w:val="45"/>
        </w:rPr>
        <w:t xml:space="preserve"> </w:t>
      </w:r>
      <w:r>
        <w:rPr>
          <w:b/>
          <w:bCs/>
          <w:spacing w:val="20"/>
        </w:rPr>
        <w:t>内绝缘电阻表开路电压最大指示值与最小指示值</w:t>
      </w:r>
      <w:r>
        <w:rPr>
          <w:b/>
          <w:bCs/>
          <w:spacing w:val="19"/>
        </w:rPr>
        <w:t>之差应不大于绝缘电阻</w:t>
      </w:r>
    </w:p>
    <w:p>
      <w:pPr>
        <w:pStyle w:val="BodyText"/>
        <w:spacing w:before="188" w:line="677" w:lineRule="exact"/>
        <w:ind w:left="87"/>
      </w:pPr>
      <w:r>
        <w:rPr>
          <w:spacing w:val="46"/>
          <w:position w:val="17"/>
        </w:rPr>
        <w:t>表额定电压值的5%。</w:t>
      </w:r>
    </w:p>
    <w:p>
      <w:pPr>
        <w:pStyle w:val="BodyText"/>
        <w:spacing w:before="2" w:line="220" w:lineRule="auto"/>
        <w:ind w:left="87"/>
        <w:sectPr>
          <w:headerReference w:type="default" r:id="rId10"/>
          <w:footerReference w:type="default" r:id="rId11"/>
          <w:pgSz w:w="21566" w:h="31680"/>
          <w:pgMar w:top="3470" w:right="2322" w:bottom="2479" w:left="1904" w:header="2963" w:footer="2171" w:gutter="0"/>
          <w:pgNumType w:start="3"/>
          <w:cols w:space="708"/>
        </w:sectPr>
      </w:pPr>
      <w:r>
        <w:rPr>
          <w:spacing w:val="19"/>
        </w:rPr>
        <w:t>6</w:t>
      </w:r>
      <w:r>
        <w:rPr>
          <w:spacing w:val="31"/>
        </w:rPr>
        <w:t xml:space="preserve">  </w:t>
      </w:r>
      <w:r>
        <w:rPr>
          <w:spacing w:val="19"/>
        </w:rPr>
        <w:t>绝缘强度</w:t>
      </w:r>
    </w:p>
    <w:p>
      <w:pPr>
        <w:pStyle w:val="BodyText"/>
        <w:spacing w:before="136" w:line="249" w:lineRule="auto"/>
        <w:ind w:left="87" w:right="77"/>
      </w:pPr>
      <w:r>
        <w:rPr>
          <w:spacing w:val="26"/>
        </w:rPr>
        <w:t>6.1  由交流电网作供电电源的绝缘电阻表，其供电电源电路与外壳之间的绝缘应能耐</w:t>
      </w:r>
      <w:r>
        <w:rPr>
          <w:spacing w:val="7"/>
        </w:rPr>
        <w:t xml:space="preserve"> </w:t>
      </w:r>
      <w:r>
        <w:rPr>
          <w:spacing w:val="22"/>
        </w:rPr>
        <w:t xml:space="preserve">受频率为50 </w:t>
      </w:r>
      <w:r>
        <w:rPr>
          <w:rFonts w:ascii="Times New Roman" w:eastAsia="Times New Roman" w:hAnsi="Times New Roman" w:cs="Times New Roman"/>
        </w:rPr>
        <w:t>Hz</w:t>
      </w:r>
      <w:r>
        <w:rPr>
          <w:rFonts w:ascii="Times New Roman" w:eastAsia="Times New Roman" w:hAnsi="Times New Roman" w:cs="Times New Roman"/>
          <w:spacing w:val="22"/>
        </w:rPr>
        <w:t xml:space="preserve">,2     </w:t>
      </w:r>
      <w:r>
        <w:rPr>
          <w:rFonts w:ascii="Times New Roman" w:eastAsia="Times New Roman" w:hAnsi="Times New Roman" w:cs="Times New Roman"/>
        </w:rPr>
        <w:t>kV</w:t>
      </w:r>
      <w:r>
        <w:rPr>
          <w:rFonts w:ascii="Times New Roman" w:eastAsia="Times New Roman" w:hAnsi="Times New Roman" w:cs="Times New Roman"/>
          <w:spacing w:val="-38"/>
        </w:rPr>
        <w:t xml:space="preserve"> </w:t>
      </w:r>
      <w:r>
        <w:rPr>
          <w:spacing w:val="22"/>
        </w:rPr>
        <w:t>交流电压，历</w:t>
      </w:r>
      <w:r>
        <w:rPr>
          <w:spacing w:val="21"/>
        </w:rPr>
        <w:t>时1</w:t>
      </w:r>
      <w:r>
        <w:rPr>
          <w:spacing w:val="-50"/>
        </w:rPr>
        <w:t xml:space="preserve"> </w:t>
      </w:r>
      <w:r>
        <w:rPr>
          <w:rFonts w:ascii="Times New Roman" w:eastAsia="Times New Roman" w:hAnsi="Times New Roman" w:cs="Times New Roman"/>
        </w:rPr>
        <w:t>min</w:t>
      </w:r>
      <w:r>
        <w:rPr>
          <w:spacing w:val="21"/>
        </w:rPr>
        <w:t>。</w:t>
      </w:r>
    </w:p>
    <w:p>
      <w:pPr>
        <w:pStyle w:val="BodyText"/>
        <w:spacing w:before="184" w:line="270" w:lineRule="auto"/>
        <w:ind w:left="87"/>
      </w:pPr>
      <w:r>
        <w:rPr>
          <w:spacing w:val="32"/>
        </w:rPr>
        <w:t xml:space="preserve">6.2  绝缘电阻表的输出最大电流为10 </w:t>
      </w:r>
      <w:r>
        <w:rPr>
          <w:rFonts w:ascii="Times New Roman" w:eastAsia="Times New Roman" w:hAnsi="Times New Roman" w:cs="Times New Roman"/>
        </w:rPr>
        <w:t>mA</w:t>
      </w:r>
      <w:r>
        <w:rPr>
          <w:rFonts w:ascii="Times New Roman" w:eastAsia="Times New Roman" w:hAnsi="Times New Roman" w:cs="Times New Roman"/>
          <w:spacing w:val="31"/>
        </w:rPr>
        <w:t xml:space="preserve">  </w:t>
      </w:r>
      <w:r>
        <w:rPr>
          <w:spacing w:val="31"/>
        </w:rPr>
        <w:t>(直流或脉动电流峰值)以下时，测量电路</w:t>
      </w:r>
      <w:r>
        <w:t xml:space="preserve"> </w:t>
      </w:r>
      <w:r>
        <w:rPr>
          <w:spacing w:val="34"/>
        </w:rPr>
        <w:t xml:space="preserve">与外壳之间应能耐受频率为50 </w:t>
      </w:r>
      <w:r>
        <w:t>Hz</w:t>
      </w:r>
      <w:r>
        <w:rPr>
          <w:spacing w:val="34"/>
        </w:rPr>
        <w:t xml:space="preserve"> 正弦波、畸变系数不超过5%,交流电压历时1 </w:t>
      </w:r>
      <w:r>
        <w:t>min</w:t>
      </w:r>
      <w:r>
        <w:rPr>
          <w:spacing w:val="34"/>
        </w:rPr>
        <w:t>。</w:t>
      </w:r>
      <w:r>
        <w:rPr>
          <w:spacing w:val="12"/>
        </w:rPr>
        <w:t xml:space="preserve"> </w:t>
      </w:r>
      <w:r>
        <w:rPr>
          <w:spacing w:val="28"/>
        </w:rPr>
        <w:t>其试验电压见表2。试验装置容量见表3。</w:t>
      </w:r>
    </w:p>
    <w:p>
      <w:pPr>
        <w:spacing w:line="270" w:lineRule="auto"/>
        <w:sectPr>
          <w:headerReference w:type="default" r:id="rId12"/>
          <w:footerReference w:type="default" r:id="rId13"/>
          <w:type w:val="nextPage"/>
          <w:pgSz w:w="21566" w:h="31680"/>
          <w:pgMar w:top="3470" w:right="2322" w:bottom="2479" w:left="1904" w:header="2963" w:footer="2171" w:gutter="0"/>
          <w:pgNumType w:start="4"/>
          <w:cols w:space="708"/>
          <w:titlePg w:val="0"/>
        </w:sectPr>
      </w:pPr>
    </w:p>
    <w:p>
      <w:pPr>
        <w:spacing w:line="327" w:lineRule="auto"/>
        <w:rPr>
          <w:rFonts w:ascii="Arial"/>
          <w:sz w:val="21"/>
        </w:rPr>
      </w:pPr>
    </w:p>
    <w:p>
      <w:pPr>
        <w:spacing w:before="127" w:line="224" w:lineRule="auto"/>
        <w:ind w:left="8281"/>
        <w:rPr>
          <w:rFonts w:ascii="SimHei" w:eastAsia="SimHei" w:hAnsi="SimHei" w:cs="SimHei"/>
          <w:sz w:val="39"/>
          <w:szCs w:val="39"/>
        </w:rPr>
      </w:pPr>
      <w:r>
        <w:rPr>
          <w:rFonts w:ascii="SimHei" w:eastAsia="SimHei" w:hAnsi="SimHei" w:cs="SimHei"/>
          <w:spacing w:val="-10"/>
          <w:sz w:val="39"/>
          <w:szCs w:val="39"/>
        </w:rPr>
        <w:t>表</w:t>
      </w:r>
      <w:r>
        <w:rPr>
          <w:rFonts w:ascii="SimHei" w:eastAsia="SimHei" w:hAnsi="SimHei" w:cs="SimHei"/>
          <w:spacing w:val="10"/>
          <w:sz w:val="39"/>
          <w:szCs w:val="39"/>
        </w:rPr>
        <w:t xml:space="preserve"> </w:t>
      </w:r>
      <w:r>
        <w:rPr>
          <w:rFonts w:ascii="SimHei" w:eastAsia="SimHei" w:hAnsi="SimHei" w:cs="SimHei"/>
          <w:spacing w:val="-10"/>
          <w:sz w:val="39"/>
          <w:szCs w:val="39"/>
        </w:rPr>
        <w:t>2</w:t>
      </w:r>
    </w:p>
    <w:p>
      <w:pPr>
        <w:spacing w:line="175" w:lineRule="exact"/>
      </w:pPr>
    </w:p>
    <w:tbl>
      <w:tblPr>
        <w:tblStyle w:val="TableNormal1"/>
        <w:tblW w:w="17206" w:type="dxa"/>
        <w:tblInd w:w="6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884"/>
        <w:gridCol w:w="9322"/>
      </w:tblGrid>
      <w:tr>
        <w:tblPrEx>
          <w:tblW w:w="17206" w:type="dxa"/>
          <w:tblInd w:w="6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173"/>
        </w:trPr>
        <w:tc>
          <w:tcPr>
            <w:tcW w:w="7884" w:type="dxa"/>
            <w:vMerge w:val="restart"/>
            <w:tcBorders>
              <w:bottom w:val="nil"/>
            </w:tcBorders>
            <w:vAlign w:val="top"/>
          </w:tcPr>
          <w:p>
            <w:pPr>
              <w:spacing w:line="293" w:lineRule="auto"/>
              <w:rPr>
                <w:rFonts w:ascii="Arial"/>
                <w:sz w:val="21"/>
              </w:rPr>
            </w:pPr>
          </w:p>
          <w:p>
            <w:pPr>
              <w:spacing w:line="293" w:lineRule="auto"/>
              <w:rPr>
                <w:rFonts w:ascii="Arial"/>
                <w:sz w:val="21"/>
              </w:rPr>
            </w:pPr>
          </w:p>
          <w:p>
            <w:pPr>
              <w:spacing w:line="294" w:lineRule="auto"/>
              <w:rPr>
                <w:rFonts w:ascii="Arial"/>
                <w:sz w:val="21"/>
              </w:rPr>
            </w:pPr>
          </w:p>
          <w:p>
            <w:pPr>
              <w:pStyle w:val="TableText"/>
              <w:spacing w:before="120" w:line="220" w:lineRule="auto"/>
              <w:ind w:left="3011"/>
              <w:rPr>
                <w:sz w:val="37"/>
                <w:szCs w:val="37"/>
              </w:rPr>
            </w:pPr>
            <w:r>
              <w:rPr>
                <w:spacing w:val="2"/>
                <w:sz w:val="37"/>
                <w:szCs w:val="37"/>
              </w:rPr>
              <w:t>额定电压/V</w:t>
            </w:r>
          </w:p>
        </w:tc>
        <w:tc>
          <w:tcPr>
            <w:tcW w:w="9322" w:type="dxa"/>
            <w:vAlign w:val="top"/>
          </w:tcPr>
          <w:p>
            <w:pPr>
              <w:spacing w:line="290" w:lineRule="auto"/>
              <w:rPr>
                <w:rFonts w:ascii="Arial"/>
                <w:sz w:val="21"/>
              </w:rPr>
            </w:pPr>
          </w:p>
          <w:p>
            <w:pPr>
              <w:pStyle w:val="TableText"/>
              <w:spacing w:before="120" w:line="220" w:lineRule="auto"/>
              <w:ind w:left="2705"/>
              <w:rPr>
                <w:sz w:val="37"/>
                <w:szCs w:val="37"/>
              </w:rPr>
            </w:pPr>
            <w:r>
              <w:rPr>
                <w:spacing w:val="8"/>
                <w:sz w:val="37"/>
                <w:szCs w:val="37"/>
              </w:rPr>
              <w:t>试验电压/(有效值，</w:t>
            </w:r>
            <w:r>
              <w:rPr>
                <w:sz w:val="37"/>
                <w:szCs w:val="37"/>
              </w:rPr>
              <w:t>kV</w:t>
            </w:r>
            <w:r>
              <w:rPr>
                <w:spacing w:val="8"/>
                <w:sz w:val="37"/>
                <w:szCs w:val="37"/>
              </w:rPr>
              <w:t>)</w:t>
            </w:r>
          </w:p>
        </w:tc>
      </w:tr>
      <w:tr>
        <w:tblPrEx>
          <w:tblW w:w="17206" w:type="dxa"/>
          <w:tblInd w:w="60" w:type="dxa"/>
          <w:tblLayout w:type="fixed"/>
        </w:tblPrEx>
        <w:trPr>
          <w:trHeight w:val="1176"/>
        </w:trPr>
        <w:tc>
          <w:tcPr>
            <w:tcW w:w="7884" w:type="dxa"/>
            <w:vMerge/>
            <w:tcBorders>
              <w:top w:val="nil"/>
            </w:tcBorders>
            <w:vAlign w:val="top"/>
          </w:tcPr>
          <w:p>
            <w:pPr>
              <w:rPr>
                <w:rFonts w:ascii="Arial"/>
                <w:sz w:val="21"/>
              </w:rPr>
            </w:pPr>
          </w:p>
        </w:tc>
        <w:tc>
          <w:tcPr>
            <w:tcW w:w="9322" w:type="dxa"/>
            <w:vAlign w:val="top"/>
          </w:tcPr>
          <w:p>
            <w:pPr>
              <w:spacing w:line="294" w:lineRule="auto"/>
              <w:rPr>
                <w:rFonts w:ascii="Arial"/>
                <w:sz w:val="21"/>
              </w:rPr>
            </w:pPr>
          </w:p>
          <w:p>
            <w:pPr>
              <w:pStyle w:val="TableText"/>
              <w:spacing w:before="121" w:line="221" w:lineRule="auto"/>
              <w:ind w:left="1125"/>
              <w:rPr>
                <w:sz w:val="37"/>
                <w:szCs w:val="37"/>
              </w:rPr>
            </w:pPr>
            <w:r>
              <w:rPr>
                <w:spacing w:val="1"/>
                <w:sz w:val="37"/>
                <w:szCs w:val="37"/>
              </w:rPr>
              <w:t>环境温度：(5～40)℃;相对湿度：30%～80%</w:t>
            </w:r>
          </w:p>
        </w:tc>
      </w:tr>
      <w:tr>
        <w:tblPrEx>
          <w:tblW w:w="17206" w:type="dxa"/>
          <w:tblInd w:w="60" w:type="dxa"/>
          <w:tblLayout w:type="fixed"/>
        </w:tblPrEx>
        <w:trPr>
          <w:trHeight w:val="1183"/>
        </w:trPr>
        <w:tc>
          <w:tcPr>
            <w:tcW w:w="7884" w:type="dxa"/>
            <w:vAlign w:val="top"/>
          </w:tcPr>
          <w:p>
            <w:pPr>
              <w:spacing w:line="327" w:lineRule="auto"/>
              <w:rPr>
                <w:rFonts w:ascii="Arial"/>
                <w:sz w:val="21"/>
              </w:rPr>
            </w:pPr>
          </w:p>
          <w:p>
            <w:pPr>
              <w:pStyle w:val="TableText"/>
              <w:spacing w:before="120" w:line="237" w:lineRule="auto"/>
              <w:ind w:left="3470"/>
              <w:rPr>
                <w:sz w:val="37"/>
                <w:szCs w:val="37"/>
              </w:rPr>
            </w:pPr>
            <w:r>
              <w:rPr>
                <w:spacing w:val="-8"/>
                <w:sz w:val="37"/>
                <w:szCs w:val="37"/>
              </w:rPr>
              <w:t>≤500</w:t>
            </w:r>
          </w:p>
        </w:tc>
        <w:tc>
          <w:tcPr>
            <w:tcW w:w="9322" w:type="dxa"/>
            <w:vAlign w:val="top"/>
          </w:tcPr>
          <w:p>
            <w:pPr>
              <w:spacing w:line="389" w:lineRule="auto"/>
              <w:rPr>
                <w:rFonts w:ascii="Arial"/>
                <w:sz w:val="21"/>
              </w:rPr>
            </w:pPr>
          </w:p>
          <w:p>
            <w:pPr>
              <w:pStyle w:val="TableText"/>
              <w:spacing w:before="120" w:line="184" w:lineRule="auto"/>
              <w:ind w:left="4563"/>
              <w:rPr>
                <w:sz w:val="37"/>
                <w:szCs w:val="37"/>
              </w:rPr>
            </w:pPr>
            <w:r>
              <w:rPr>
                <w:sz w:val="37"/>
                <w:szCs w:val="37"/>
              </w:rPr>
              <w:t>1</w:t>
            </w:r>
          </w:p>
        </w:tc>
      </w:tr>
      <w:tr>
        <w:tblPrEx>
          <w:tblW w:w="17206" w:type="dxa"/>
          <w:tblInd w:w="60" w:type="dxa"/>
          <w:tblLayout w:type="fixed"/>
        </w:tblPrEx>
        <w:trPr>
          <w:trHeight w:val="1176"/>
        </w:trPr>
        <w:tc>
          <w:tcPr>
            <w:tcW w:w="7884" w:type="dxa"/>
            <w:vAlign w:val="top"/>
          </w:tcPr>
          <w:p>
            <w:pPr>
              <w:spacing w:line="399" w:lineRule="auto"/>
              <w:rPr>
                <w:rFonts w:ascii="Arial"/>
                <w:sz w:val="21"/>
              </w:rPr>
            </w:pPr>
          </w:p>
          <w:p>
            <w:pPr>
              <w:pStyle w:val="TableText"/>
              <w:spacing w:before="87" w:line="358" w:lineRule="exact"/>
              <w:ind w:left="3247"/>
              <w:rPr>
                <w:sz w:val="27"/>
                <w:szCs w:val="27"/>
              </w:rPr>
            </w:pPr>
            <w:r>
              <w:rPr>
                <w:spacing w:val="1"/>
                <w:position w:val="1"/>
                <w:sz w:val="27"/>
                <w:szCs w:val="27"/>
              </w:rPr>
              <w:t>&gt;500～2500</w:t>
            </w:r>
          </w:p>
        </w:tc>
        <w:tc>
          <w:tcPr>
            <w:tcW w:w="9322" w:type="dxa"/>
            <w:vAlign w:val="top"/>
          </w:tcPr>
          <w:p>
            <w:pPr>
              <w:spacing w:line="390" w:lineRule="auto"/>
              <w:rPr>
                <w:rFonts w:ascii="Arial"/>
                <w:sz w:val="21"/>
              </w:rPr>
            </w:pPr>
          </w:p>
          <w:p>
            <w:pPr>
              <w:pStyle w:val="TableText"/>
              <w:spacing w:before="120" w:line="184" w:lineRule="auto"/>
              <w:ind w:left="4468"/>
              <w:rPr>
                <w:sz w:val="37"/>
                <w:szCs w:val="37"/>
              </w:rPr>
            </w:pPr>
            <w:r>
              <w:rPr>
                <w:spacing w:val="-3"/>
                <w:sz w:val="37"/>
                <w:szCs w:val="37"/>
              </w:rPr>
              <w:t>CU</w:t>
            </w:r>
          </w:p>
        </w:tc>
      </w:tr>
      <w:tr>
        <w:tblPrEx>
          <w:tblW w:w="17206" w:type="dxa"/>
          <w:tblInd w:w="60" w:type="dxa"/>
          <w:tblLayout w:type="fixed"/>
        </w:tblPrEx>
        <w:trPr>
          <w:trHeight w:val="1163"/>
        </w:trPr>
        <w:tc>
          <w:tcPr>
            <w:tcW w:w="7884" w:type="dxa"/>
            <w:vAlign w:val="top"/>
          </w:tcPr>
          <w:p>
            <w:pPr>
              <w:spacing w:line="393" w:lineRule="auto"/>
              <w:rPr>
                <w:rFonts w:ascii="Arial"/>
                <w:sz w:val="21"/>
              </w:rPr>
            </w:pPr>
          </w:p>
          <w:p>
            <w:pPr>
              <w:pStyle w:val="TableText"/>
              <w:spacing w:before="88" w:line="357" w:lineRule="exact"/>
              <w:ind w:left="2551"/>
              <w:rPr>
                <w:sz w:val="27"/>
                <w:szCs w:val="27"/>
              </w:rPr>
            </w:pPr>
            <w:r>
              <w:rPr>
                <w:spacing w:val="2"/>
                <w:position w:val="1"/>
                <w:sz w:val="27"/>
                <w:szCs w:val="27"/>
              </w:rPr>
              <w:t>&gt;2500～10000</w:t>
            </w:r>
          </w:p>
        </w:tc>
        <w:tc>
          <w:tcPr>
            <w:tcW w:w="9322" w:type="dxa"/>
            <w:vAlign w:val="top"/>
          </w:tcPr>
          <w:p>
            <w:pPr>
              <w:spacing w:line="384" w:lineRule="auto"/>
              <w:rPr>
                <w:rFonts w:ascii="Arial"/>
                <w:sz w:val="21"/>
              </w:rPr>
            </w:pPr>
          </w:p>
          <w:p>
            <w:pPr>
              <w:pStyle w:val="TableText"/>
              <w:spacing w:before="121" w:line="184" w:lineRule="auto"/>
              <w:ind w:left="4191"/>
              <w:rPr>
                <w:sz w:val="37"/>
                <w:szCs w:val="37"/>
              </w:rPr>
            </w:pPr>
            <w:r>
              <w:rPr>
                <w:spacing w:val="-3"/>
                <w:sz w:val="37"/>
                <w:szCs w:val="37"/>
              </w:rPr>
              <w:t>0.9CU</w:t>
            </w:r>
          </w:p>
        </w:tc>
      </w:tr>
      <w:tr>
        <w:tblPrEx>
          <w:tblW w:w="17206" w:type="dxa"/>
          <w:tblInd w:w="60" w:type="dxa"/>
          <w:tblLayout w:type="fixed"/>
        </w:tblPrEx>
        <w:trPr>
          <w:trHeight w:val="1990"/>
        </w:trPr>
        <w:tc>
          <w:tcPr>
            <w:tcW w:w="17206" w:type="dxa"/>
            <w:gridSpan w:val="2"/>
            <w:vAlign w:val="top"/>
          </w:tcPr>
          <w:p>
            <w:pPr>
              <w:spacing w:line="411" w:lineRule="auto"/>
              <w:rPr>
                <w:rFonts w:ascii="Arial"/>
                <w:sz w:val="21"/>
              </w:rPr>
            </w:pPr>
          </w:p>
          <w:p>
            <w:pPr>
              <w:pStyle w:val="TableText"/>
              <w:spacing w:before="121" w:line="220" w:lineRule="auto"/>
              <w:ind w:left="991"/>
              <w:rPr>
                <w:sz w:val="37"/>
                <w:szCs w:val="37"/>
              </w:rPr>
            </w:pPr>
            <w:r>
              <w:rPr>
                <w:spacing w:val="5"/>
                <w:sz w:val="37"/>
                <w:szCs w:val="37"/>
              </w:rPr>
              <w:t>注：U——绝缘电阻表的额定电压值，</w:t>
            </w:r>
            <w:r>
              <w:rPr>
                <w:sz w:val="37"/>
                <w:szCs w:val="37"/>
              </w:rPr>
              <w:t>kV</w:t>
            </w:r>
            <w:r>
              <w:rPr>
                <w:spacing w:val="5"/>
                <w:sz w:val="37"/>
                <w:szCs w:val="37"/>
              </w:rPr>
              <w:t>;</w:t>
            </w:r>
          </w:p>
          <w:p>
            <w:pPr>
              <w:pStyle w:val="TableText"/>
              <w:spacing w:before="187" w:line="220" w:lineRule="auto"/>
              <w:ind w:left="1842"/>
              <w:rPr>
                <w:sz w:val="37"/>
                <w:szCs w:val="37"/>
              </w:rPr>
            </w:pPr>
            <w:r>
              <w:rPr>
                <w:spacing w:val="1"/>
                <w:sz w:val="37"/>
                <w:szCs w:val="37"/>
              </w:rPr>
              <w:t>C——绝缘电阻表端钮峰值电压与有效电压值之比。</w:t>
            </w:r>
          </w:p>
        </w:tc>
      </w:tr>
    </w:tbl>
    <w:p>
      <w:pPr>
        <w:spacing w:line="273" w:lineRule="auto"/>
        <w:rPr>
          <w:rFonts w:ascii="Arial"/>
          <w:sz w:val="21"/>
        </w:rPr>
      </w:pPr>
    </w:p>
    <w:p>
      <w:pPr>
        <w:spacing w:line="273" w:lineRule="auto"/>
        <w:rPr>
          <w:rFonts w:ascii="Arial"/>
          <w:sz w:val="21"/>
        </w:rPr>
      </w:pPr>
    </w:p>
    <w:p>
      <w:pPr>
        <w:spacing w:line="274" w:lineRule="auto"/>
        <w:rPr>
          <w:rFonts w:ascii="Arial"/>
          <w:sz w:val="21"/>
        </w:rPr>
      </w:pPr>
    </w:p>
    <w:p>
      <w:pPr>
        <w:spacing w:before="127" w:line="224" w:lineRule="auto"/>
        <w:ind w:left="8288"/>
        <w:rPr>
          <w:rFonts w:ascii="SimHei" w:eastAsia="SimHei" w:hAnsi="SimHei" w:cs="SimHei"/>
          <w:sz w:val="39"/>
          <w:szCs w:val="39"/>
        </w:rPr>
      </w:pPr>
      <w:r>
        <w:rPr>
          <w:rFonts w:ascii="SimHei" w:eastAsia="SimHei" w:hAnsi="SimHei" w:cs="SimHei"/>
          <w:spacing w:val="-10"/>
          <w:sz w:val="39"/>
          <w:szCs w:val="39"/>
        </w:rPr>
        <w:t>表</w:t>
      </w:r>
      <w:r>
        <w:rPr>
          <w:rFonts w:ascii="SimHei" w:eastAsia="SimHei" w:hAnsi="SimHei" w:cs="SimHei"/>
          <w:spacing w:val="3"/>
          <w:sz w:val="39"/>
          <w:szCs w:val="39"/>
        </w:rPr>
        <w:t xml:space="preserve"> </w:t>
      </w:r>
      <w:r>
        <w:rPr>
          <w:rFonts w:ascii="SimHei" w:eastAsia="SimHei" w:hAnsi="SimHei" w:cs="SimHei"/>
          <w:spacing w:val="-10"/>
          <w:sz w:val="39"/>
          <w:szCs w:val="39"/>
        </w:rPr>
        <w:t>3</w:t>
      </w:r>
    </w:p>
    <w:p>
      <w:pPr>
        <w:spacing w:line="188" w:lineRule="exact"/>
      </w:pPr>
    </w:p>
    <w:tbl>
      <w:tblPr>
        <w:tblStyle w:val="TableNormal1"/>
        <w:tblW w:w="17206" w:type="dxa"/>
        <w:tblInd w:w="6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878"/>
        <w:gridCol w:w="5125"/>
        <w:gridCol w:w="5203"/>
      </w:tblGrid>
      <w:tr>
        <w:tblPrEx>
          <w:tblW w:w="17206" w:type="dxa"/>
          <w:tblInd w:w="6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184"/>
        </w:trPr>
        <w:tc>
          <w:tcPr>
            <w:tcW w:w="6878" w:type="dxa"/>
            <w:vAlign w:val="top"/>
          </w:tcPr>
          <w:p>
            <w:pPr>
              <w:spacing w:line="311" w:lineRule="auto"/>
              <w:rPr>
                <w:rFonts w:ascii="Arial"/>
                <w:sz w:val="21"/>
              </w:rPr>
            </w:pPr>
          </w:p>
          <w:p>
            <w:pPr>
              <w:pStyle w:val="TableText"/>
              <w:spacing w:before="114" w:line="225" w:lineRule="auto"/>
              <w:ind w:left="2450"/>
              <w:rPr>
                <w:sz w:val="35"/>
                <w:szCs w:val="35"/>
              </w:rPr>
            </w:pPr>
            <w:r>
              <w:rPr>
                <w:spacing w:val="10"/>
                <w:sz w:val="35"/>
                <w:szCs w:val="35"/>
              </w:rPr>
              <w:t>试验电压/</w:t>
            </w:r>
            <w:r>
              <w:rPr>
                <w:sz w:val="35"/>
                <w:szCs w:val="35"/>
              </w:rPr>
              <w:t>kV</w:t>
            </w:r>
          </w:p>
        </w:tc>
        <w:tc>
          <w:tcPr>
            <w:tcW w:w="5125" w:type="dxa"/>
            <w:vAlign w:val="top"/>
          </w:tcPr>
          <w:p>
            <w:pPr>
              <w:spacing w:line="443" w:lineRule="auto"/>
              <w:rPr>
                <w:rFonts w:ascii="Arial"/>
                <w:sz w:val="21"/>
              </w:rPr>
            </w:pPr>
          </w:p>
          <w:p>
            <w:pPr>
              <w:pStyle w:val="TableText"/>
              <w:spacing w:before="88" w:line="186" w:lineRule="auto"/>
              <w:ind w:left="2144"/>
              <w:rPr>
                <w:sz w:val="27"/>
                <w:szCs w:val="27"/>
              </w:rPr>
            </w:pPr>
            <w:r>
              <w:rPr>
                <w:spacing w:val="1"/>
                <w:sz w:val="27"/>
                <w:szCs w:val="27"/>
              </w:rPr>
              <w:t>0.5～3</w:t>
            </w:r>
          </w:p>
        </w:tc>
        <w:tc>
          <w:tcPr>
            <w:tcW w:w="5203" w:type="dxa"/>
            <w:vAlign w:val="top"/>
          </w:tcPr>
          <w:p>
            <w:pPr>
              <w:spacing w:line="342" w:lineRule="auto"/>
              <w:rPr>
                <w:rFonts w:ascii="Arial"/>
                <w:sz w:val="21"/>
              </w:rPr>
            </w:pPr>
          </w:p>
          <w:p>
            <w:pPr>
              <w:pStyle w:val="TableText"/>
              <w:spacing w:before="114" w:line="242" w:lineRule="auto"/>
              <w:ind w:left="2328"/>
              <w:rPr>
                <w:sz w:val="35"/>
                <w:szCs w:val="35"/>
              </w:rPr>
            </w:pPr>
            <w:r>
              <w:rPr>
                <w:spacing w:val="-13"/>
                <w:sz w:val="35"/>
                <w:szCs w:val="35"/>
              </w:rPr>
              <w:t>≥3</w:t>
            </w:r>
          </w:p>
        </w:tc>
      </w:tr>
      <w:tr>
        <w:tblPrEx>
          <w:tblW w:w="17206" w:type="dxa"/>
          <w:tblInd w:w="60" w:type="dxa"/>
          <w:tblLayout w:type="fixed"/>
        </w:tblPrEx>
        <w:trPr>
          <w:trHeight w:val="1191"/>
        </w:trPr>
        <w:tc>
          <w:tcPr>
            <w:tcW w:w="6878" w:type="dxa"/>
            <w:vAlign w:val="top"/>
          </w:tcPr>
          <w:p>
            <w:pPr>
              <w:spacing w:line="317" w:lineRule="auto"/>
              <w:rPr>
                <w:rFonts w:ascii="Arial"/>
                <w:sz w:val="21"/>
              </w:rPr>
            </w:pPr>
          </w:p>
          <w:p>
            <w:pPr>
              <w:pStyle w:val="TableText"/>
              <w:spacing w:before="114" w:line="224" w:lineRule="auto"/>
              <w:ind w:left="2004"/>
              <w:rPr>
                <w:sz w:val="35"/>
                <w:szCs w:val="35"/>
              </w:rPr>
            </w:pPr>
            <w:r>
              <w:rPr>
                <w:spacing w:val="10"/>
                <w:sz w:val="35"/>
                <w:szCs w:val="35"/>
              </w:rPr>
              <w:t>试验装置容量/</w:t>
            </w:r>
            <w:r>
              <w:rPr>
                <w:sz w:val="35"/>
                <w:szCs w:val="35"/>
              </w:rPr>
              <w:t>kVA</w:t>
            </w:r>
          </w:p>
        </w:tc>
        <w:tc>
          <w:tcPr>
            <w:tcW w:w="5125" w:type="dxa"/>
            <w:vAlign w:val="top"/>
          </w:tcPr>
          <w:p>
            <w:pPr>
              <w:spacing w:line="351" w:lineRule="auto"/>
              <w:rPr>
                <w:rFonts w:ascii="Arial"/>
                <w:sz w:val="21"/>
              </w:rPr>
            </w:pPr>
          </w:p>
          <w:p>
            <w:pPr>
              <w:pStyle w:val="TableText"/>
              <w:spacing w:before="114" w:line="460" w:lineRule="exact"/>
              <w:ind w:left="2111"/>
              <w:rPr>
                <w:sz w:val="35"/>
                <w:szCs w:val="35"/>
              </w:rPr>
            </w:pPr>
            <w:r>
              <w:rPr>
                <w:spacing w:val="-1"/>
                <w:position w:val="1"/>
                <w:sz w:val="35"/>
                <w:szCs w:val="35"/>
              </w:rPr>
              <w:t>&gt;0.25</w:t>
            </w:r>
          </w:p>
        </w:tc>
        <w:tc>
          <w:tcPr>
            <w:tcW w:w="5203" w:type="dxa"/>
            <w:vAlign w:val="top"/>
          </w:tcPr>
          <w:p>
            <w:pPr>
              <w:spacing w:line="351" w:lineRule="auto"/>
              <w:rPr>
                <w:rFonts w:ascii="Arial"/>
                <w:sz w:val="21"/>
              </w:rPr>
            </w:pPr>
          </w:p>
          <w:p>
            <w:pPr>
              <w:pStyle w:val="TableText"/>
              <w:spacing w:before="114" w:line="460" w:lineRule="exact"/>
              <w:ind w:left="2241"/>
              <w:rPr>
                <w:sz w:val="35"/>
                <w:szCs w:val="35"/>
              </w:rPr>
            </w:pPr>
            <w:r>
              <w:rPr>
                <w:spacing w:val="-2"/>
                <w:position w:val="1"/>
                <w:sz w:val="35"/>
                <w:szCs w:val="35"/>
              </w:rPr>
              <w:t>&gt;0.5</w:t>
            </w:r>
          </w:p>
        </w:tc>
      </w:tr>
    </w:tbl>
    <w:p>
      <w:pPr>
        <w:spacing w:line="269" w:lineRule="auto"/>
        <w:rPr>
          <w:rFonts w:ascii="Arial"/>
          <w:sz w:val="21"/>
        </w:rPr>
      </w:pPr>
    </w:p>
    <w:p>
      <w:pPr>
        <w:spacing w:line="269" w:lineRule="auto"/>
        <w:rPr>
          <w:rFonts w:ascii="Arial"/>
          <w:sz w:val="21"/>
        </w:rPr>
      </w:pPr>
    </w:p>
    <w:p>
      <w:pPr>
        <w:spacing w:line="270" w:lineRule="auto"/>
        <w:rPr>
          <w:rFonts w:ascii="Arial"/>
          <w:sz w:val="21"/>
        </w:rPr>
      </w:pPr>
    </w:p>
    <w:p>
      <w:pPr>
        <w:pStyle w:val="BodyText"/>
        <w:spacing w:before="140" w:line="660" w:lineRule="exact"/>
        <w:jc w:val="right"/>
        <w:rPr>
          <w:rFonts w:ascii="Times New Roman" w:eastAsia="Times New Roman" w:hAnsi="Times New Roman" w:cs="Times New Roman"/>
        </w:rPr>
      </w:pPr>
      <w:r>
        <w:rPr>
          <w:spacing w:val="36"/>
          <w:position w:val="16"/>
        </w:rPr>
        <w:t xml:space="preserve">6.3  绝缘电阻表输出电流大于10 </w:t>
      </w:r>
      <w:r>
        <w:rPr>
          <w:rFonts w:ascii="Times New Roman" w:eastAsia="Times New Roman" w:hAnsi="Times New Roman" w:cs="Times New Roman"/>
          <w:position w:val="16"/>
        </w:rPr>
        <w:t>mA</w:t>
      </w:r>
      <w:r>
        <w:rPr>
          <w:rFonts w:ascii="Times New Roman" w:eastAsia="Times New Roman" w:hAnsi="Times New Roman" w:cs="Times New Roman"/>
          <w:spacing w:val="36"/>
          <w:position w:val="16"/>
        </w:rPr>
        <w:t xml:space="preserve">  </w:t>
      </w:r>
      <w:r>
        <w:rPr>
          <w:spacing w:val="36"/>
          <w:position w:val="16"/>
        </w:rPr>
        <w:t>(直流或脉动电流峰值)时，其试验电压见</w:t>
      </w:r>
      <w:r>
        <w:rPr>
          <w:spacing w:val="-48"/>
          <w:position w:val="16"/>
        </w:rPr>
        <w:t xml:space="preserve"> </w:t>
      </w:r>
      <w:r>
        <w:rPr>
          <w:rFonts w:ascii="Times New Roman" w:eastAsia="Times New Roman" w:hAnsi="Times New Roman" w:cs="Times New Roman"/>
          <w:position w:val="16"/>
        </w:rPr>
        <w:t>GB</w:t>
      </w:r>
    </w:p>
    <w:p>
      <w:pPr>
        <w:pStyle w:val="BodyText"/>
        <w:spacing w:before="1" w:line="219" w:lineRule="auto"/>
        <w:ind w:left="26"/>
      </w:pPr>
      <w:r>
        <w:rPr>
          <w:spacing w:val="36"/>
        </w:rPr>
        <w:t>6738</w:t>
      </w:r>
      <w:r>
        <w:rPr>
          <w:spacing w:val="-157"/>
        </w:rPr>
        <w:t xml:space="preserve"> </w:t>
      </w:r>
      <w:r>
        <w:rPr>
          <w:spacing w:val="36"/>
        </w:rPr>
        <w:t>—</w:t>
      </w:r>
      <w:r>
        <w:rPr>
          <w:spacing w:val="-151"/>
        </w:rPr>
        <w:t xml:space="preserve"> </w:t>
      </w:r>
      <w:r>
        <w:rPr>
          <w:spacing w:val="36"/>
        </w:rPr>
        <w:t>86第6.5.3项(见规程附</w:t>
      </w:r>
      <w:r>
        <w:rPr>
          <w:spacing w:val="35"/>
        </w:rPr>
        <w:t>录4)。</w:t>
      </w:r>
    </w:p>
    <w:p>
      <w:pPr>
        <w:pStyle w:val="BodyText"/>
        <w:spacing w:before="186" w:line="220" w:lineRule="auto"/>
        <w:ind w:left="26"/>
      </w:pPr>
      <w:r>
        <w:rPr>
          <w:spacing w:val="18"/>
        </w:rPr>
        <w:t>7</w:t>
      </w:r>
      <w:r>
        <w:rPr>
          <w:spacing w:val="22"/>
        </w:rPr>
        <w:t xml:space="preserve">  </w:t>
      </w:r>
      <w:r>
        <w:rPr>
          <w:spacing w:val="18"/>
        </w:rPr>
        <w:t>屏蔽装置</w:t>
      </w:r>
    </w:p>
    <w:p>
      <w:pPr>
        <w:pStyle w:val="BodyText"/>
        <w:spacing w:before="146" w:line="297" w:lineRule="auto"/>
        <w:ind w:left="81" w:right="20"/>
      </w:pPr>
      <w:r>
        <w:rPr>
          <w:spacing w:val="20"/>
        </w:rPr>
        <w:t xml:space="preserve">上量限500 </w:t>
      </w:r>
      <w:r>
        <w:rPr>
          <w:rFonts w:ascii="Times New Roman" w:eastAsia="Times New Roman" w:hAnsi="Times New Roman" w:cs="Times New Roman"/>
          <w:spacing w:val="20"/>
        </w:rPr>
        <w:t>MΩ</w:t>
      </w:r>
      <w:r>
        <w:rPr>
          <w:rFonts w:ascii="Times New Roman" w:eastAsia="Times New Roman" w:hAnsi="Times New Roman" w:cs="Times New Roman"/>
          <w:spacing w:val="42"/>
        </w:rPr>
        <w:t xml:space="preserve"> </w:t>
      </w:r>
      <w:r>
        <w:rPr>
          <w:spacing w:val="20"/>
        </w:rPr>
        <w:t>以上的绝缘电阻表，应有防止测量电路泄漏电流影响的屏蔽装置和独立</w:t>
      </w:r>
      <w:r>
        <w:t xml:space="preserve"> </w:t>
      </w:r>
      <w:r>
        <w:rPr>
          <w:spacing w:val="21"/>
        </w:rPr>
        <w:t>的引出端钮，当接地端钮和屏蔽端钮及线路端钮和屏蔽端钮，各接入电阻值等于绝缘电</w:t>
      </w:r>
      <w:r>
        <w:rPr>
          <w:spacing w:val="3"/>
        </w:rPr>
        <w:t xml:space="preserve"> </w:t>
      </w:r>
      <w:r>
        <w:rPr>
          <w:spacing w:val="42"/>
        </w:rPr>
        <w:t>阻表测量回路串联电阻值</w:t>
      </w:r>
      <w:r>
        <w:rPr>
          <w:spacing w:val="-12"/>
        </w:rPr>
        <w:t xml:space="preserve"> </w:t>
      </w:r>
      <w:r>
        <w:rPr>
          <w:rFonts w:ascii="Times New Roman" w:eastAsia="Times New Roman" w:hAnsi="Times New Roman" w:cs="Times New Roman"/>
          <w:spacing w:val="42"/>
        </w:rPr>
        <w:t>R;</w:t>
      </w:r>
      <w:r>
        <w:rPr>
          <w:rFonts w:ascii="Times New Roman" w:eastAsia="Times New Roman" w:hAnsi="Times New Roman" w:cs="Times New Roman"/>
          <w:spacing w:val="50"/>
        </w:rPr>
        <w:t xml:space="preserve">  </w:t>
      </w:r>
      <w:r>
        <w:rPr>
          <w:spacing w:val="42"/>
        </w:rPr>
        <w:t>(见附录1)100倍的电阻时，仪表应能满足其准确度等</w:t>
      </w:r>
    </w:p>
    <w:p>
      <w:pPr>
        <w:pStyle w:val="BodyText"/>
        <w:spacing w:before="1" w:line="222" w:lineRule="auto"/>
        <w:ind w:left="26"/>
      </w:pPr>
      <w:r>
        <w:rPr>
          <w:spacing w:val="5"/>
        </w:rPr>
        <w:t>级。</w:t>
      </w:r>
    </w:p>
    <w:p>
      <w:pPr>
        <w:spacing w:line="319" w:lineRule="auto"/>
        <w:rPr>
          <w:rFonts w:ascii="Arial"/>
          <w:sz w:val="21"/>
        </w:rPr>
      </w:pPr>
    </w:p>
    <w:p>
      <w:pPr>
        <w:spacing w:line="320" w:lineRule="auto"/>
        <w:rPr>
          <w:rFonts w:ascii="Arial"/>
          <w:sz w:val="21"/>
        </w:rPr>
      </w:pPr>
    </w:p>
    <w:p>
      <w:pPr>
        <w:spacing w:before="164" w:line="225" w:lineRule="auto"/>
        <w:ind w:left="6363"/>
        <w:rPr>
          <w:rFonts w:ascii="SimHei" w:eastAsia="SimHei" w:hAnsi="SimHei" w:cs="SimHei"/>
          <w:sz w:val="50"/>
          <w:szCs w:val="50"/>
        </w:rPr>
      </w:pPr>
      <w:r>
        <w:rPr>
          <w:rFonts w:ascii="SimHei" w:eastAsia="SimHei" w:hAnsi="SimHei" w:cs="SimHei"/>
          <w:b/>
          <w:bCs/>
          <w:spacing w:val="-12"/>
          <w:sz w:val="50"/>
          <w:szCs w:val="50"/>
        </w:rPr>
        <w:t>三</w:t>
      </w:r>
      <w:r>
        <w:rPr>
          <w:rFonts w:ascii="SimHei" w:eastAsia="SimHei" w:hAnsi="SimHei" w:cs="SimHei"/>
          <w:spacing w:val="-12"/>
          <w:sz w:val="50"/>
          <w:szCs w:val="50"/>
        </w:rPr>
        <w:t xml:space="preserve">  </w:t>
      </w:r>
      <w:r>
        <w:rPr>
          <w:rFonts w:ascii="SimHei" w:eastAsia="SimHei" w:hAnsi="SimHei" w:cs="SimHei"/>
          <w:b/>
          <w:bCs/>
          <w:spacing w:val="-12"/>
          <w:sz w:val="50"/>
          <w:szCs w:val="50"/>
        </w:rPr>
        <w:t>检</w:t>
      </w:r>
      <w:r>
        <w:rPr>
          <w:rFonts w:ascii="SimHei" w:eastAsia="SimHei" w:hAnsi="SimHei" w:cs="SimHei"/>
          <w:spacing w:val="30"/>
          <w:sz w:val="50"/>
          <w:szCs w:val="50"/>
        </w:rPr>
        <w:t xml:space="preserve">  </w:t>
      </w:r>
      <w:r>
        <w:rPr>
          <w:rFonts w:ascii="SimHei" w:eastAsia="SimHei" w:hAnsi="SimHei" w:cs="SimHei"/>
          <w:b/>
          <w:bCs/>
          <w:spacing w:val="-12"/>
          <w:sz w:val="50"/>
          <w:szCs w:val="50"/>
        </w:rPr>
        <w:t>定</w:t>
      </w:r>
      <w:r>
        <w:rPr>
          <w:rFonts w:ascii="SimHei" w:eastAsia="SimHei" w:hAnsi="SimHei" w:cs="SimHei"/>
          <w:spacing w:val="31"/>
          <w:sz w:val="50"/>
          <w:szCs w:val="50"/>
        </w:rPr>
        <w:t xml:space="preserve">  </w:t>
      </w:r>
      <w:r>
        <w:rPr>
          <w:rFonts w:ascii="SimHei" w:eastAsia="SimHei" w:hAnsi="SimHei" w:cs="SimHei"/>
          <w:b/>
          <w:bCs/>
          <w:spacing w:val="-12"/>
          <w:sz w:val="50"/>
          <w:szCs w:val="50"/>
        </w:rPr>
        <w:t>条</w:t>
      </w:r>
      <w:r>
        <w:rPr>
          <w:rFonts w:ascii="SimHei" w:eastAsia="SimHei" w:hAnsi="SimHei" w:cs="SimHei"/>
          <w:spacing w:val="34"/>
          <w:sz w:val="50"/>
          <w:szCs w:val="50"/>
        </w:rPr>
        <w:t xml:space="preserve">  </w:t>
      </w:r>
      <w:r>
        <w:rPr>
          <w:rFonts w:ascii="SimHei" w:eastAsia="SimHei" w:hAnsi="SimHei" w:cs="SimHei"/>
          <w:b/>
          <w:bCs/>
          <w:spacing w:val="-12"/>
          <w:sz w:val="50"/>
          <w:szCs w:val="50"/>
        </w:rPr>
        <w:t>件</w:t>
      </w:r>
    </w:p>
    <w:p>
      <w:pPr>
        <w:spacing w:line="350" w:lineRule="auto"/>
        <w:rPr>
          <w:rFonts w:ascii="Arial"/>
          <w:sz w:val="21"/>
        </w:rPr>
      </w:pPr>
    </w:p>
    <w:p>
      <w:pPr>
        <w:spacing w:line="350" w:lineRule="auto"/>
        <w:rPr>
          <w:rFonts w:ascii="Arial"/>
          <w:sz w:val="21"/>
        </w:rPr>
      </w:pPr>
    </w:p>
    <w:p>
      <w:pPr>
        <w:pStyle w:val="BodyText"/>
        <w:spacing w:before="140" w:line="220" w:lineRule="auto"/>
        <w:ind w:left="26"/>
      </w:pPr>
      <w:r>
        <w:rPr>
          <w:spacing w:val="16"/>
        </w:rPr>
        <w:t>8</w:t>
      </w:r>
      <w:r>
        <w:rPr>
          <w:spacing w:val="25"/>
        </w:rPr>
        <w:t xml:space="preserve">  </w:t>
      </w:r>
      <w:r>
        <w:rPr>
          <w:spacing w:val="16"/>
        </w:rPr>
        <w:t>检定环境条件</w:t>
      </w:r>
    </w:p>
    <w:p>
      <w:pPr>
        <w:pStyle w:val="BodyText"/>
        <w:spacing w:before="157" w:line="217" w:lineRule="auto"/>
        <w:ind w:left="26"/>
      </w:pPr>
      <w:r>
        <w:rPr>
          <w:spacing w:val="41"/>
        </w:rPr>
        <w:t>8.1  绝缘电阻表检定时温度为(23±5)℃,相对湿度小于80%。</w:t>
      </w:r>
    </w:p>
    <w:p>
      <w:pPr>
        <w:pStyle w:val="BodyText"/>
        <w:spacing w:before="207" w:line="219" w:lineRule="auto"/>
        <w:ind w:left="26"/>
        <w:rPr>
          <w:sz w:val="39"/>
          <w:szCs w:val="39"/>
        </w:rPr>
        <w:sectPr>
          <w:headerReference w:type="default" r:id="rId14"/>
          <w:footerReference w:type="default" r:id="rId15"/>
          <w:pgSz w:w="21589" w:h="31680"/>
          <w:pgMar w:top="3532" w:right="1938" w:bottom="2430" w:left="2364" w:header="2978" w:footer="2138" w:gutter="0"/>
          <w:pgNumType w:start="5"/>
          <w:cols w:space="708"/>
        </w:sectPr>
      </w:pPr>
      <w:r>
        <w:rPr>
          <w:spacing w:val="50"/>
          <w:sz w:val="39"/>
          <w:szCs w:val="39"/>
        </w:rPr>
        <w:t>8.2</w:t>
      </w:r>
      <w:r>
        <w:rPr>
          <w:spacing w:val="96"/>
          <w:sz w:val="39"/>
          <w:szCs w:val="39"/>
        </w:rPr>
        <w:t xml:space="preserve">  </w:t>
      </w:r>
      <w:r>
        <w:rPr>
          <w:spacing w:val="50"/>
          <w:sz w:val="39"/>
          <w:szCs w:val="39"/>
        </w:rPr>
        <w:t>仪表和附件的温度应与周围空气温度相同。</w:t>
      </w:r>
    </w:p>
    <w:p>
      <w:pPr>
        <w:pStyle w:val="BodyText"/>
        <w:spacing w:before="189" w:line="220" w:lineRule="auto"/>
        <w:ind w:left="26"/>
      </w:pPr>
      <w:r>
        <w:rPr>
          <w:spacing w:val="19"/>
        </w:rPr>
        <w:t>8.3  检定场所除地磁场外应无其他强外磁场。</w:t>
      </w:r>
    </w:p>
    <w:p>
      <w:pPr>
        <w:pStyle w:val="BodyText"/>
        <w:spacing w:before="177" w:line="217" w:lineRule="auto"/>
        <w:ind w:left="26"/>
      </w:pPr>
      <w:r>
        <w:rPr>
          <w:spacing w:val="37"/>
        </w:rPr>
        <w:t>8.4  电网供电电压允许偏差±5%,频率允许偏差±1%。</w:t>
      </w:r>
    </w:p>
    <w:p>
      <w:pPr>
        <w:pStyle w:val="BodyText"/>
        <w:spacing w:before="176" w:line="220" w:lineRule="auto"/>
        <w:ind w:left="26"/>
      </w:pPr>
      <w:r>
        <w:rPr>
          <w:spacing w:val="29"/>
        </w:rPr>
        <w:t>9  检定用设备包括：标准高压高阻箱、恒定转速驱动装置、整流器、电容</w:t>
      </w:r>
      <w:r>
        <w:rPr>
          <w:spacing w:val="28"/>
        </w:rPr>
        <w:t>器、电压表</w:t>
      </w:r>
    </w:p>
    <w:p>
      <w:pPr>
        <w:pStyle w:val="BodyText"/>
        <w:spacing w:before="170" w:line="220" w:lineRule="auto"/>
        <w:ind w:left="87"/>
      </w:pPr>
      <w:r>
        <w:rPr>
          <w:b/>
          <w:bCs/>
          <w:spacing w:val="23"/>
        </w:rPr>
        <w:t>及交流耐压试验装置(有关技术要求在检定方法中阐明)。</w:t>
      </w:r>
    </w:p>
    <w:p>
      <w:pPr>
        <w:spacing w:line="220" w:lineRule="auto"/>
        <w:sectPr>
          <w:headerReference w:type="default" r:id="rId16"/>
          <w:footerReference w:type="default" r:id="rId17"/>
          <w:type w:val="nextPage"/>
          <w:pgSz w:w="21589" w:h="31680"/>
          <w:pgMar w:top="3532" w:right="1938" w:bottom="2430" w:left="2364" w:header="2978" w:footer="2138" w:gutter="0"/>
          <w:pgNumType w:start="6"/>
          <w:cols w:space="708"/>
          <w:titlePg w:val="0"/>
        </w:sectPr>
      </w:pPr>
    </w:p>
    <w:p>
      <w:pPr>
        <w:spacing w:line="333" w:lineRule="auto"/>
        <w:rPr>
          <w:rFonts w:ascii="Arial"/>
          <w:sz w:val="21"/>
        </w:rPr>
      </w:pPr>
    </w:p>
    <w:p>
      <w:pPr>
        <w:pStyle w:val="BodyText"/>
        <w:spacing w:before="140" w:line="662" w:lineRule="exact"/>
        <w:ind w:left="87"/>
      </w:pPr>
      <w:r>
        <w:rPr>
          <w:spacing w:val="17"/>
          <w:position w:val="16"/>
        </w:rPr>
        <w:t>10  所有检定用的计量器具应具备有效的检定</w:t>
      </w:r>
      <w:r>
        <w:rPr>
          <w:spacing w:val="16"/>
          <w:position w:val="16"/>
        </w:rPr>
        <w:t>合格证书。</w:t>
      </w:r>
    </w:p>
    <w:p>
      <w:pPr>
        <w:pStyle w:val="BodyText"/>
        <w:spacing w:before="1" w:line="222" w:lineRule="auto"/>
        <w:ind w:left="134"/>
      </w:pPr>
      <w:r>
        <w:rPr>
          <w:spacing w:val="17"/>
        </w:rPr>
        <w:t>11  被检绝缘电阻表应能正常工作，附件齐全。</w:t>
      </w: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before="139" w:line="226" w:lineRule="auto"/>
        <w:ind w:left="6402"/>
        <w:rPr>
          <w:rFonts w:ascii="SimHei" w:eastAsia="SimHei" w:hAnsi="SimHei" w:cs="SimHei"/>
          <w:sz w:val="43"/>
          <w:szCs w:val="43"/>
        </w:rPr>
      </w:pPr>
      <w:bookmarkStart w:id="1" w:name="bookmark2"/>
      <w:bookmarkEnd w:id="1"/>
      <w:r>
        <w:rPr>
          <w:rFonts w:ascii="SimHei" w:eastAsia="SimHei" w:hAnsi="SimHei" w:cs="SimHei"/>
          <w:b/>
          <w:bCs/>
          <w:spacing w:val="-10"/>
          <w:sz w:val="43"/>
          <w:szCs w:val="43"/>
        </w:rPr>
        <w:t>四</w:t>
      </w:r>
      <w:r>
        <w:rPr>
          <w:rFonts w:ascii="SimHei" w:eastAsia="SimHei" w:hAnsi="SimHei" w:cs="SimHei"/>
          <w:spacing w:val="82"/>
          <w:sz w:val="43"/>
          <w:szCs w:val="43"/>
        </w:rPr>
        <w:t xml:space="preserve">  </w:t>
      </w:r>
      <w:r>
        <w:rPr>
          <w:rFonts w:ascii="SimHei" w:eastAsia="SimHei" w:hAnsi="SimHei" w:cs="SimHei"/>
          <w:b/>
          <w:bCs/>
          <w:spacing w:val="-10"/>
          <w:sz w:val="43"/>
          <w:szCs w:val="43"/>
        </w:rPr>
        <w:t>检</w:t>
      </w:r>
      <w:r>
        <w:rPr>
          <w:rFonts w:ascii="SimHei" w:eastAsia="SimHei" w:hAnsi="SimHei" w:cs="SimHei"/>
          <w:spacing w:val="84"/>
          <w:sz w:val="43"/>
          <w:szCs w:val="43"/>
        </w:rPr>
        <w:t xml:space="preserve">  </w:t>
      </w:r>
      <w:r>
        <w:rPr>
          <w:rFonts w:ascii="SimHei" w:eastAsia="SimHei" w:hAnsi="SimHei" w:cs="SimHei"/>
          <w:b/>
          <w:bCs/>
          <w:spacing w:val="-10"/>
          <w:sz w:val="43"/>
          <w:szCs w:val="43"/>
        </w:rPr>
        <w:t>定</w:t>
      </w:r>
      <w:r>
        <w:rPr>
          <w:rFonts w:ascii="SimHei" w:eastAsia="SimHei" w:hAnsi="SimHei" w:cs="SimHei"/>
          <w:spacing w:val="-10"/>
          <w:sz w:val="43"/>
          <w:szCs w:val="43"/>
        </w:rPr>
        <w:t xml:space="preserve">   </w:t>
      </w:r>
      <w:r>
        <w:rPr>
          <w:rFonts w:ascii="SimHei" w:eastAsia="SimHei" w:hAnsi="SimHei" w:cs="SimHei"/>
          <w:b/>
          <w:bCs/>
          <w:spacing w:val="-10"/>
          <w:sz w:val="43"/>
          <w:szCs w:val="43"/>
        </w:rPr>
        <w:t>项</w:t>
      </w:r>
      <w:r>
        <w:rPr>
          <w:rFonts w:ascii="SimHei" w:eastAsia="SimHei" w:hAnsi="SimHei" w:cs="SimHei"/>
          <w:spacing w:val="16"/>
          <w:sz w:val="43"/>
          <w:szCs w:val="43"/>
        </w:rPr>
        <w:t xml:space="preserve">   </w:t>
      </w:r>
      <w:r>
        <w:rPr>
          <w:rFonts w:ascii="SimHei" w:eastAsia="SimHei" w:hAnsi="SimHei" w:cs="SimHei"/>
          <w:b/>
          <w:bCs/>
          <w:spacing w:val="-10"/>
          <w:sz w:val="43"/>
          <w:szCs w:val="43"/>
        </w:rPr>
        <w:t>目</w:t>
      </w:r>
    </w:p>
    <w:p>
      <w:pPr>
        <w:spacing w:line="331" w:lineRule="auto"/>
        <w:rPr>
          <w:rFonts w:ascii="Arial"/>
          <w:sz w:val="21"/>
        </w:rPr>
      </w:pPr>
    </w:p>
    <w:p>
      <w:pPr>
        <w:spacing w:line="331" w:lineRule="auto"/>
        <w:rPr>
          <w:rFonts w:ascii="Arial"/>
          <w:sz w:val="21"/>
        </w:rPr>
      </w:pPr>
    </w:p>
    <w:sdt>
      <w:sdtPr>
        <w:rPr>
          <w:rFonts w:ascii="SimSun" w:eastAsia="SimSun" w:hAnsi="SimSun" w:cs="SimSun"/>
          <w:sz w:val="43"/>
          <w:szCs w:val="43"/>
        </w:rPr>
        <w:id w:val="1058828510"/>
        <w:docPartObj>
          <w:docPartGallery w:val="Table of Contents"/>
          <w:docPartUnique/>
        </w:docPartObj>
      </w:sdtPr>
      <w:sdtEndPr>
        <w:rPr>
          <w:rFonts w:ascii="SimHei" w:eastAsia="SimHei" w:hAnsi="SimHei" w:cs="SimHei"/>
          <w:sz w:val="37"/>
          <w:szCs w:val="37"/>
        </w:rPr>
      </w:sdtEndPr>
      <w:sdtContent>
        <w:p>
          <w:pPr>
            <w:pStyle w:val="BodyText"/>
            <w:spacing w:before="140" w:line="223" w:lineRule="auto"/>
            <w:ind w:left="134"/>
          </w:pPr>
          <w:r>
            <w:rPr>
              <w:spacing w:val="21"/>
            </w:rPr>
            <w:t>12</w:t>
          </w:r>
          <w:r>
            <w:rPr>
              <w:spacing w:val="11"/>
            </w:rPr>
            <w:t xml:space="preserve">  </w:t>
          </w:r>
          <w:r>
            <w:rPr>
              <w:spacing w:val="21"/>
            </w:rPr>
            <w:t>绝缘电阻表的检定项目如表4。</w:t>
          </w:r>
        </w:p>
        <w:p>
          <w:pPr>
            <w:spacing w:before="174" w:line="224" w:lineRule="auto"/>
            <w:ind w:left="8342"/>
            <w:rPr>
              <w:rFonts w:ascii="SimHei" w:eastAsia="SimHei" w:hAnsi="SimHei" w:cs="SimHei"/>
              <w:sz w:val="37"/>
              <w:szCs w:val="37"/>
            </w:rPr>
          </w:pPr>
          <w:r>
            <w:rPr>
              <w:rFonts w:ascii="SimHei" w:eastAsia="SimHei" w:hAnsi="SimHei" w:cs="SimHei"/>
              <w:spacing w:val="-10"/>
              <w:sz w:val="37"/>
              <w:szCs w:val="37"/>
            </w:rPr>
            <w:t>表</w:t>
          </w:r>
          <w:r>
            <w:rPr>
              <w:rFonts w:ascii="SimHei" w:eastAsia="SimHei" w:hAnsi="SimHei" w:cs="SimHei"/>
              <w:spacing w:val="12"/>
              <w:sz w:val="37"/>
              <w:szCs w:val="37"/>
            </w:rPr>
            <w:t xml:space="preserve"> </w:t>
          </w:r>
          <w:hyperlink w:anchor="bookmark2" w:history="1">
            <w:r>
              <w:rPr>
                <w:rFonts w:ascii="SimHei" w:eastAsia="SimHei" w:hAnsi="SimHei" w:cs="SimHei"/>
                <w:spacing w:val="-10"/>
                <w:sz w:val="37"/>
                <w:szCs w:val="37"/>
              </w:rPr>
              <w:t>4</w:t>
            </w:r>
          </w:hyperlink>
        </w:p>
      </w:sdtContent>
    </w:sdt>
    <w:p>
      <w:pPr>
        <w:spacing w:line="207" w:lineRule="exact"/>
      </w:pPr>
    </w:p>
    <w:tbl>
      <w:tblPr>
        <w:tblStyle w:val="TableNormal2"/>
        <w:tblW w:w="17226"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70"/>
        <w:gridCol w:w="5523"/>
        <w:gridCol w:w="3363"/>
        <w:gridCol w:w="3363"/>
        <w:gridCol w:w="3407"/>
      </w:tblGrid>
      <w:tr>
        <w:tblPrEx>
          <w:tblW w:w="17226"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173"/>
        </w:trPr>
        <w:tc>
          <w:tcPr>
            <w:tcW w:w="7093" w:type="dxa"/>
            <w:gridSpan w:val="2"/>
            <w:vAlign w:val="top"/>
          </w:tcPr>
          <w:p>
            <w:pPr>
              <w:spacing w:line="279" w:lineRule="auto"/>
              <w:rPr>
                <w:rFonts w:ascii="Arial"/>
                <w:sz w:val="21"/>
              </w:rPr>
            </w:pPr>
          </w:p>
          <w:p>
            <w:pPr>
              <w:pStyle w:val="TableText"/>
              <w:spacing w:before="124" w:line="222" w:lineRule="auto"/>
              <w:ind w:left="2754"/>
              <w:rPr>
                <w:sz w:val="38"/>
                <w:szCs w:val="38"/>
              </w:rPr>
            </w:pPr>
            <w:r>
              <w:rPr>
                <w:spacing w:val="23"/>
                <w:sz w:val="38"/>
                <w:szCs w:val="38"/>
              </w:rPr>
              <w:t>检定项目</w:t>
            </w:r>
          </w:p>
        </w:tc>
        <w:tc>
          <w:tcPr>
            <w:tcW w:w="3363" w:type="dxa"/>
            <w:vAlign w:val="top"/>
          </w:tcPr>
          <w:p>
            <w:pPr>
              <w:spacing w:line="279" w:lineRule="auto"/>
              <w:rPr>
                <w:rFonts w:ascii="Arial"/>
                <w:sz w:val="21"/>
              </w:rPr>
            </w:pPr>
          </w:p>
          <w:p>
            <w:pPr>
              <w:pStyle w:val="TableText"/>
              <w:spacing w:before="124" w:line="222" w:lineRule="auto"/>
              <w:ind w:left="909"/>
              <w:rPr>
                <w:sz w:val="38"/>
                <w:szCs w:val="38"/>
              </w:rPr>
            </w:pPr>
            <w:r>
              <w:rPr>
                <w:spacing w:val="11"/>
                <w:sz w:val="38"/>
                <w:szCs w:val="38"/>
              </w:rPr>
              <w:t>出厂检定</w:t>
            </w:r>
          </w:p>
        </w:tc>
        <w:tc>
          <w:tcPr>
            <w:tcW w:w="3363" w:type="dxa"/>
            <w:vAlign w:val="top"/>
          </w:tcPr>
          <w:p>
            <w:pPr>
              <w:spacing w:line="279" w:lineRule="auto"/>
              <w:rPr>
                <w:rFonts w:ascii="Arial"/>
                <w:sz w:val="21"/>
              </w:rPr>
            </w:pPr>
          </w:p>
          <w:p>
            <w:pPr>
              <w:pStyle w:val="TableText"/>
              <w:spacing w:before="124" w:line="222" w:lineRule="auto"/>
              <w:ind w:left="714"/>
              <w:rPr>
                <w:sz w:val="38"/>
                <w:szCs w:val="38"/>
              </w:rPr>
            </w:pPr>
            <w:r>
              <w:rPr>
                <w:spacing w:val="10"/>
                <w:sz w:val="38"/>
                <w:szCs w:val="38"/>
              </w:rPr>
              <w:t>修理后检定</w:t>
            </w:r>
          </w:p>
        </w:tc>
        <w:tc>
          <w:tcPr>
            <w:tcW w:w="3407" w:type="dxa"/>
            <w:vAlign w:val="top"/>
          </w:tcPr>
          <w:p>
            <w:pPr>
              <w:spacing w:line="279" w:lineRule="auto"/>
              <w:rPr>
                <w:rFonts w:ascii="Arial"/>
                <w:sz w:val="21"/>
              </w:rPr>
            </w:pPr>
          </w:p>
          <w:p>
            <w:pPr>
              <w:pStyle w:val="TableText"/>
              <w:spacing w:before="124" w:line="222" w:lineRule="auto"/>
              <w:ind w:left="931"/>
              <w:rPr>
                <w:sz w:val="38"/>
                <w:szCs w:val="38"/>
              </w:rPr>
            </w:pPr>
            <w:r>
              <w:rPr>
                <w:spacing w:val="11"/>
                <w:sz w:val="38"/>
                <w:szCs w:val="38"/>
              </w:rPr>
              <w:t>周期检定</w:t>
            </w:r>
          </w:p>
        </w:tc>
      </w:tr>
      <w:tr>
        <w:tblPrEx>
          <w:tblW w:w="17226" w:type="dxa"/>
          <w:tblInd w:w="100" w:type="dxa"/>
          <w:tblLayout w:type="fixed"/>
        </w:tblPrEx>
        <w:trPr>
          <w:trHeight w:val="1177"/>
        </w:trPr>
        <w:tc>
          <w:tcPr>
            <w:tcW w:w="1570" w:type="dxa"/>
            <w:vAlign w:val="top"/>
          </w:tcPr>
          <w:p>
            <w:pPr>
              <w:spacing w:line="383" w:lineRule="auto"/>
              <w:rPr>
                <w:rFonts w:ascii="Arial"/>
                <w:sz w:val="21"/>
              </w:rPr>
            </w:pPr>
          </w:p>
          <w:p>
            <w:pPr>
              <w:pStyle w:val="TableText"/>
              <w:spacing w:before="123" w:line="185" w:lineRule="auto"/>
              <w:ind w:left="680"/>
              <w:rPr>
                <w:sz w:val="38"/>
                <w:szCs w:val="38"/>
              </w:rPr>
            </w:pPr>
            <w:r>
              <w:rPr>
                <w:sz w:val="38"/>
                <w:szCs w:val="38"/>
              </w:rPr>
              <w:t>1</w:t>
            </w:r>
          </w:p>
        </w:tc>
        <w:tc>
          <w:tcPr>
            <w:tcW w:w="5523" w:type="dxa"/>
            <w:vAlign w:val="top"/>
          </w:tcPr>
          <w:p>
            <w:pPr>
              <w:spacing w:line="284" w:lineRule="auto"/>
              <w:rPr>
                <w:rFonts w:ascii="Arial"/>
                <w:sz w:val="21"/>
              </w:rPr>
            </w:pPr>
          </w:p>
          <w:p>
            <w:pPr>
              <w:pStyle w:val="TableText"/>
              <w:spacing w:before="123" w:line="222" w:lineRule="auto"/>
              <w:ind w:left="1988"/>
              <w:rPr>
                <w:sz w:val="38"/>
                <w:szCs w:val="38"/>
              </w:rPr>
            </w:pPr>
            <w:r>
              <w:rPr>
                <w:spacing w:val="9"/>
                <w:sz w:val="38"/>
                <w:szCs w:val="38"/>
              </w:rPr>
              <w:t>外观检查</w:t>
            </w:r>
          </w:p>
        </w:tc>
        <w:tc>
          <w:tcPr>
            <w:tcW w:w="3363" w:type="dxa"/>
            <w:vAlign w:val="top"/>
          </w:tcPr>
          <w:p>
            <w:pPr>
              <w:spacing w:line="284" w:lineRule="auto"/>
              <w:rPr>
                <w:rFonts w:ascii="Arial"/>
                <w:sz w:val="21"/>
              </w:rPr>
            </w:pPr>
          </w:p>
          <w:p>
            <w:pPr>
              <w:pStyle w:val="TableText"/>
              <w:spacing w:before="123" w:line="222" w:lineRule="auto"/>
              <w:ind w:left="1483"/>
              <w:rPr>
                <w:sz w:val="38"/>
                <w:szCs w:val="38"/>
              </w:rPr>
            </w:pPr>
            <w:r>
              <w:rPr>
                <w:sz w:val="38"/>
                <w:szCs w:val="38"/>
              </w:rPr>
              <w:t>检</w:t>
            </w:r>
          </w:p>
        </w:tc>
        <w:tc>
          <w:tcPr>
            <w:tcW w:w="3363" w:type="dxa"/>
            <w:vAlign w:val="top"/>
          </w:tcPr>
          <w:p>
            <w:pPr>
              <w:spacing w:line="284" w:lineRule="auto"/>
              <w:rPr>
                <w:rFonts w:ascii="Arial"/>
                <w:sz w:val="21"/>
              </w:rPr>
            </w:pPr>
          </w:p>
          <w:p>
            <w:pPr>
              <w:pStyle w:val="TableText"/>
              <w:spacing w:before="123" w:line="222" w:lineRule="auto"/>
              <w:ind w:left="1484"/>
              <w:rPr>
                <w:sz w:val="38"/>
                <w:szCs w:val="38"/>
              </w:rPr>
            </w:pPr>
            <w:r>
              <w:rPr>
                <w:sz w:val="38"/>
                <w:szCs w:val="38"/>
              </w:rPr>
              <w:t>检</w:t>
            </w:r>
          </w:p>
        </w:tc>
        <w:tc>
          <w:tcPr>
            <w:tcW w:w="3407" w:type="dxa"/>
            <w:vAlign w:val="top"/>
          </w:tcPr>
          <w:p>
            <w:pPr>
              <w:spacing w:line="284" w:lineRule="auto"/>
              <w:rPr>
                <w:rFonts w:ascii="Arial"/>
                <w:sz w:val="21"/>
              </w:rPr>
            </w:pPr>
          </w:p>
          <w:p>
            <w:pPr>
              <w:pStyle w:val="TableText"/>
              <w:spacing w:before="123" w:line="222" w:lineRule="auto"/>
              <w:ind w:left="1506"/>
              <w:rPr>
                <w:sz w:val="38"/>
                <w:szCs w:val="38"/>
              </w:rPr>
            </w:pPr>
            <w:r>
              <w:rPr>
                <w:sz w:val="38"/>
                <w:szCs w:val="38"/>
              </w:rPr>
              <w:t>检</w:t>
            </w:r>
          </w:p>
        </w:tc>
      </w:tr>
      <w:tr>
        <w:tblPrEx>
          <w:tblW w:w="17226" w:type="dxa"/>
          <w:tblInd w:w="100" w:type="dxa"/>
          <w:tblLayout w:type="fixed"/>
        </w:tblPrEx>
        <w:trPr>
          <w:trHeight w:val="1183"/>
        </w:trPr>
        <w:tc>
          <w:tcPr>
            <w:tcW w:w="1570" w:type="dxa"/>
            <w:vAlign w:val="top"/>
          </w:tcPr>
          <w:p>
            <w:pPr>
              <w:spacing w:line="383" w:lineRule="auto"/>
              <w:rPr>
                <w:rFonts w:ascii="Arial"/>
                <w:sz w:val="21"/>
              </w:rPr>
            </w:pPr>
          </w:p>
          <w:p>
            <w:pPr>
              <w:pStyle w:val="TableText"/>
              <w:spacing w:before="123" w:line="185" w:lineRule="auto"/>
              <w:ind w:left="680"/>
              <w:rPr>
                <w:sz w:val="38"/>
                <w:szCs w:val="38"/>
              </w:rPr>
            </w:pPr>
            <w:r>
              <w:rPr>
                <w:sz w:val="38"/>
                <w:szCs w:val="38"/>
              </w:rPr>
              <w:t>2</w:t>
            </w:r>
          </w:p>
        </w:tc>
        <w:tc>
          <w:tcPr>
            <w:tcW w:w="5523" w:type="dxa"/>
            <w:vAlign w:val="top"/>
          </w:tcPr>
          <w:p>
            <w:pPr>
              <w:spacing w:line="284" w:lineRule="auto"/>
              <w:rPr>
                <w:rFonts w:ascii="Arial"/>
                <w:sz w:val="21"/>
              </w:rPr>
            </w:pPr>
          </w:p>
          <w:p>
            <w:pPr>
              <w:pStyle w:val="TableText"/>
              <w:spacing w:before="123" w:line="222" w:lineRule="auto"/>
              <w:ind w:left="1988"/>
              <w:rPr>
                <w:sz w:val="38"/>
                <w:szCs w:val="38"/>
              </w:rPr>
            </w:pPr>
            <w:r>
              <w:rPr>
                <w:spacing w:val="9"/>
                <w:sz w:val="38"/>
                <w:szCs w:val="38"/>
              </w:rPr>
              <w:t>初步试验</w:t>
            </w:r>
          </w:p>
        </w:tc>
        <w:tc>
          <w:tcPr>
            <w:tcW w:w="3363" w:type="dxa"/>
            <w:vAlign w:val="top"/>
          </w:tcPr>
          <w:p>
            <w:pPr>
              <w:spacing w:line="284" w:lineRule="auto"/>
              <w:rPr>
                <w:rFonts w:ascii="Arial"/>
                <w:sz w:val="21"/>
              </w:rPr>
            </w:pPr>
          </w:p>
          <w:p>
            <w:pPr>
              <w:pStyle w:val="TableText"/>
              <w:spacing w:before="123" w:line="222" w:lineRule="auto"/>
              <w:ind w:left="1483"/>
              <w:rPr>
                <w:sz w:val="38"/>
                <w:szCs w:val="38"/>
              </w:rPr>
            </w:pPr>
            <w:r>
              <w:rPr>
                <w:sz w:val="38"/>
                <w:szCs w:val="38"/>
              </w:rPr>
              <w:t>检</w:t>
            </w:r>
          </w:p>
        </w:tc>
        <w:tc>
          <w:tcPr>
            <w:tcW w:w="3363" w:type="dxa"/>
            <w:vAlign w:val="top"/>
          </w:tcPr>
          <w:p>
            <w:pPr>
              <w:spacing w:line="284" w:lineRule="auto"/>
              <w:rPr>
                <w:rFonts w:ascii="Arial"/>
                <w:sz w:val="21"/>
              </w:rPr>
            </w:pPr>
          </w:p>
          <w:p>
            <w:pPr>
              <w:pStyle w:val="TableText"/>
              <w:spacing w:before="123" w:line="222" w:lineRule="auto"/>
              <w:ind w:left="1484"/>
              <w:rPr>
                <w:sz w:val="38"/>
                <w:szCs w:val="38"/>
              </w:rPr>
            </w:pPr>
            <w:r>
              <w:rPr>
                <w:sz w:val="38"/>
                <w:szCs w:val="38"/>
              </w:rPr>
              <w:t>检</w:t>
            </w:r>
          </w:p>
        </w:tc>
        <w:tc>
          <w:tcPr>
            <w:tcW w:w="3407" w:type="dxa"/>
            <w:vAlign w:val="top"/>
          </w:tcPr>
          <w:p>
            <w:pPr>
              <w:spacing w:line="284" w:lineRule="auto"/>
              <w:rPr>
                <w:rFonts w:ascii="Arial"/>
                <w:sz w:val="21"/>
              </w:rPr>
            </w:pPr>
          </w:p>
          <w:p>
            <w:pPr>
              <w:pStyle w:val="TableText"/>
              <w:spacing w:before="123" w:line="222" w:lineRule="auto"/>
              <w:ind w:left="1506"/>
              <w:rPr>
                <w:sz w:val="38"/>
                <w:szCs w:val="38"/>
              </w:rPr>
            </w:pPr>
            <w:r>
              <w:rPr>
                <w:sz w:val="38"/>
                <w:szCs w:val="38"/>
              </w:rPr>
              <w:t>检</w:t>
            </w:r>
          </w:p>
        </w:tc>
      </w:tr>
      <w:tr>
        <w:tblPrEx>
          <w:tblW w:w="17226" w:type="dxa"/>
          <w:tblInd w:w="100" w:type="dxa"/>
          <w:tblLayout w:type="fixed"/>
        </w:tblPrEx>
        <w:trPr>
          <w:trHeight w:val="1177"/>
        </w:trPr>
        <w:tc>
          <w:tcPr>
            <w:tcW w:w="1570" w:type="dxa"/>
            <w:vAlign w:val="top"/>
          </w:tcPr>
          <w:p>
            <w:pPr>
              <w:spacing w:line="384" w:lineRule="auto"/>
              <w:rPr>
                <w:rFonts w:ascii="Arial"/>
                <w:sz w:val="21"/>
              </w:rPr>
            </w:pPr>
          </w:p>
          <w:p>
            <w:pPr>
              <w:pStyle w:val="TableText"/>
              <w:spacing w:before="123" w:line="185" w:lineRule="auto"/>
              <w:ind w:left="680"/>
              <w:rPr>
                <w:sz w:val="38"/>
                <w:szCs w:val="38"/>
              </w:rPr>
            </w:pPr>
            <w:r>
              <w:rPr>
                <w:sz w:val="38"/>
                <w:szCs w:val="38"/>
              </w:rPr>
              <w:t>3</w:t>
            </w:r>
          </w:p>
        </w:tc>
        <w:tc>
          <w:tcPr>
            <w:tcW w:w="5523" w:type="dxa"/>
            <w:vAlign w:val="top"/>
          </w:tcPr>
          <w:p>
            <w:pPr>
              <w:spacing w:line="284" w:lineRule="auto"/>
              <w:rPr>
                <w:rFonts w:ascii="Arial"/>
                <w:sz w:val="21"/>
              </w:rPr>
            </w:pPr>
          </w:p>
          <w:p>
            <w:pPr>
              <w:pStyle w:val="TableText"/>
              <w:spacing w:before="123" w:line="221" w:lineRule="auto"/>
              <w:ind w:left="1603"/>
              <w:rPr>
                <w:sz w:val="38"/>
                <w:szCs w:val="38"/>
              </w:rPr>
            </w:pPr>
            <w:r>
              <w:rPr>
                <w:spacing w:val="9"/>
                <w:sz w:val="38"/>
                <w:szCs w:val="38"/>
              </w:rPr>
              <w:t>基本误差检定</w:t>
            </w:r>
          </w:p>
        </w:tc>
        <w:tc>
          <w:tcPr>
            <w:tcW w:w="3363" w:type="dxa"/>
            <w:vAlign w:val="top"/>
          </w:tcPr>
          <w:p>
            <w:pPr>
              <w:spacing w:line="285" w:lineRule="auto"/>
              <w:rPr>
                <w:rFonts w:ascii="Arial"/>
                <w:sz w:val="21"/>
              </w:rPr>
            </w:pPr>
          </w:p>
          <w:p>
            <w:pPr>
              <w:pStyle w:val="TableText"/>
              <w:spacing w:before="123" w:line="222" w:lineRule="auto"/>
              <w:ind w:left="1483"/>
              <w:rPr>
                <w:sz w:val="38"/>
                <w:szCs w:val="38"/>
              </w:rPr>
            </w:pPr>
            <w:r>
              <w:rPr>
                <w:sz w:val="38"/>
                <w:szCs w:val="38"/>
              </w:rPr>
              <w:t>检</w:t>
            </w:r>
          </w:p>
        </w:tc>
        <w:tc>
          <w:tcPr>
            <w:tcW w:w="3363" w:type="dxa"/>
            <w:vAlign w:val="top"/>
          </w:tcPr>
          <w:p>
            <w:pPr>
              <w:spacing w:line="285" w:lineRule="auto"/>
              <w:rPr>
                <w:rFonts w:ascii="Arial"/>
                <w:sz w:val="21"/>
              </w:rPr>
            </w:pPr>
          </w:p>
          <w:p>
            <w:pPr>
              <w:pStyle w:val="TableText"/>
              <w:spacing w:before="123" w:line="222" w:lineRule="auto"/>
              <w:ind w:left="1484"/>
              <w:rPr>
                <w:sz w:val="38"/>
                <w:szCs w:val="38"/>
              </w:rPr>
            </w:pPr>
            <w:r>
              <w:rPr>
                <w:sz w:val="38"/>
                <w:szCs w:val="38"/>
              </w:rPr>
              <w:t>检</w:t>
            </w:r>
          </w:p>
        </w:tc>
        <w:tc>
          <w:tcPr>
            <w:tcW w:w="3407" w:type="dxa"/>
            <w:vAlign w:val="top"/>
          </w:tcPr>
          <w:p>
            <w:pPr>
              <w:spacing w:line="285" w:lineRule="auto"/>
              <w:rPr>
                <w:rFonts w:ascii="Arial"/>
                <w:sz w:val="21"/>
              </w:rPr>
            </w:pPr>
          </w:p>
          <w:p>
            <w:pPr>
              <w:pStyle w:val="TableText"/>
              <w:spacing w:before="123" w:line="222" w:lineRule="auto"/>
              <w:ind w:left="1506"/>
              <w:rPr>
                <w:sz w:val="38"/>
                <w:szCs w:val="38"/>
              </w:rPr>
            </w:pPr>
            <w:r>
              <w:rPr>
                <w:sz w:val="38"/>
                <w:szCs w:val="38"/>
              </w:rPr>
              <w:t>检</w:t>
            </w:r>
          </w:p>
        </w:tc>
      </w:tr>
      <w:tr>
        <w:tblPrEx>
          <w:tblW w:w="17226" w:type="dxa"/>
          <w:tblInd w:w="100" w:type="dxa"/>
          <w:tblLayout w:type="fixed"/>
        </w:tblPrEx>
        <w:trPr>
          <w:trHeight w:val="1176"/>
        </w:trPr>
        <w:tc>
          <w:tcPr>
            <w:tcW w:w="1570" w:type="dxa"/>
            <w:vAlign w:val="top"/>
          </w:tcPr>
          <w:p>
            <w:pPr>
              <w:spacing w:line="383" w:lineRule="auto"/>
              <w:rPr>
                <w:rFonts w:ascii="Arial"/>
                <w:sz w:val="21"/>
              </w:rPr>
            </w:pPr>
          </w:p>
          <w:p>
            <w:pPr>
              <w:pStyle w:val="TableText"/>
              <w:spacing w:before="124" w:line="185" w:lineRule="auto"/>
              <w:ind w:left="680"/>
              <w:rPr>
                <w:sz w:val="38"/>
                <w:szCs w:val="38"/>
              </w:rPr>
            </w:pPr>
            <w:r>
              <w:rPr>
                <w:sz w:val="38"/>
                <w:szCs w:val="38"/>
              </w:rPr>
              <w:t>4</w:t>
            </w:r>
          </w:p>
        </w:tc>
        <w:tc>
          <w:tcPr>
            <w:tcW w:w="5523" w:type="dxa"/>
            <w:vAlign w:val="top"/>
          </w:tcPr>
          <w:p>
            <w:pPr>
              <w:spacing w:line="285" w:lineRule="auto"/>
              <w:rPr>
                <w:rFonts w:ascii="Arial"/>
                <w:sz w:val="21"/>
              </w:rPr>
            </w:pPr>
          </w:p>
          <w:p>
            <w:pPr>
              <w:pStyle w:val="TableText"/>
              <w:spacing w:before="123" w:line="222" w:lineRule="auto"/>
              <w:ind w:left="637"/>
              <w:rPr>
                <w:sz w:val="38"/>
                <w:szCs w:val="38"/>
              </w:rPr>
            </w:pPr>
            <w:r>
              <w:rPr>
                <w:spacing w:val="6"/>
                <w:sz w:val="38"/>
                <w:szCs w:val="38"/>
              </w:rPr>
              <w:t>端钮电压及其稳定性测量</w:t>
            </w:r>
          </w:p>
        </w:tc>
        <w:tc>
          <w:tcPr>
            <w:tcW w:w="3363" w:type="dxa"/>
            <w:vAlign w:val="top"/>
          </w:tcPr>
          <w:p>
            <w:pPr>
              <w:spacing w:line="285" w:lineRule="auto"/>
              <w:rPr>
                <w:rFonts w:ascii="Arial"/>
                <w:sz w:val="21"/>
              </w:rPr>
            </w:pPr>
          </w:p>
          <w:p>
            <w:pPr>
              <w:pStyle w:val="TableText"/>
              <w:spacing w:before="123" w:line="222" w:lineRule="auto"/>
              <w:ind w:left="1483"/>
              <w:rPr>
                <w:sz w:val="38"/>
                <w:szCs w:val="38"/>
              </w:rPr>
            </w:pPr>
            <w:r>
              <w:rPr>
                <w:sz w:val="38"/>
                <w:szCs w:val="38"/>
              </w:rPr>
              <w:t>检</w:t>
            </w:r>
          </w:p>
        </w:tc>
        <w:tc>
          <w:tcPr>
            <w:tcW w:w="3363" w:type="dxa"/>
            <w:vAlign w:val="top"/>
          </w:tcPr>
          <w:p>
            <w:pPr>
              <w:spacing w:line="285" w:lineRule="auto"/>
              <w:rPr>
                <w:rFonts w:ascii="Arial"/>
                <w:sz w:val="21"/>
              </w:rPr>
            </w:pPr>
          </w:p>
          <w:p>
            <w:pPr>
              <w:pStyle w:val="TableText"/>
              <w:spacing w:before="123" w:line="222" w:lineRule="auto"/>
              <w:ind w:left="1484"/>
              <w:rPr>
                <w:sz w:val="38"/>
                <w:szCs w:val="38"/>
              </w:rPr>
            </w:pPr>
            <w:r>
              <w:rPr>
                <w:sz w:val="38"/>
                <w:szCs w:val="38"/>
              </w:rPr>
              <w:t>检</w:t>
            </w:r>
          </w:p>
        </w:tc>
        <w:tc>
          <w:tcPr>
            <w:tcW w:w="3407" w:type="dxa"/>
            <w:vAlign w:val="top"/>
          </w:tcPr>
          <w:p>
            <w:pPr>
              <w:spacing w:line="285" w:lineRule="auto"/>
              <w:rPr>
                <w:rFonts w:ascii="Arial"/>
                <w:sz w:val="21"/>
              </w:rPr>
            </w:pPr>
          </w:p>
          <w:p>
            <w:pPr>
              <w:pStyle w:val="TableText"/>
              <w:spacing w:before="123" w:line="222" w:lineRule="auto"/>
              <w:ind w:left="1411"/>
              <w:rPr>
                <w:sz w:val="38"/>
                <w:szCs w:val="38"/>
              </w:rPr>
            </w:pPr>
            <w:r>
              <w:rPr>
                <w:spacing w:val="9"/>
                <w:sz w:val="38"/>
                <w:szCs w:val="38"/>
              </w:rPr>
              <w:t>检*</w:t>
            </w:r>
          </w:p>
        </w:tc>
      </w:tr>
      <w:tr>
        <w:tblPrEx>
          <w:tblW w:w="17226" w:type="dxa"/>
          <w:tblInd w:w="100" w:type="dxa"/>
          <w:tblLayout w:type="fixed"/>
        </w:tblPrEx>
        <w:trPr>
          <w:trHeight w:val="1163"/>
        </w:trPr>
        <w:tc>
          <w:tcPr>
            <w:tcW w:w="1570" w:type="dxa"/>
            <w:vAlign w:val="top"/>
          </w:tcPr>
          <w:p>
            <w:pPr>
              <w:spacing w:line="382" w:lineRule="auto"/>
              <w:rPr>
                <w:rFonts w:ascii="Arial"/>
                <w:sz w:val="21"/>
              </w:rPr>
            </w:pPr>
          </w:p>
          <w:p>
            <w:pPr>
              <w:pStyle w:val="TableText"/>
              <w:spacing w:before="124" w:line="183" w:lineRule="auto"/>
              <w:ind w:left="680"/>
              <w:rPr>
                <w:sz w:val="38"/>
                <w:szCs w:val="38"/>
              </w:rPr>
            </w:pPr>
            <w:r>
              <w:rPr>
                <w:sz w:val="38"/>
                <w:szCs w:val="38"/>
              </w:rPr>
              <w:t>5</w:t>
            </w:r>
          </w:p>
        </w:tc>
        <w:tc>
          <w:tcPr>
            <w:tcW w:w="5523" w:type="dxa"/>
            <w:vAlign w:val="top"/>
          </w:tcPr>
          <w:p>
            <w:pPr>
              <w:spacing w:line="279" w:lineRule="auto"/>
              <w:rPr>
                <w:rFonts w:ascii="Arial"/>
                <w:sz w:val="21"/>
              </w:rPr>
            </w:pPr>
          </w:p>
          <w:p>
            <w:pPr>
              <w:pStyle w:val="TableText"/>
              <w:spacing w:before="123" w:line="222" w:lineRule="auto"/>
              <w:ind w:left="1603"/>
              <w:rPr>
                <w:sz w:val="38"/>
                <w:szCs w:val="38"/>
              </w:rPr>
            </w:pPr>
            <w:r>
              <w:rPr>
                <w:spacing w:val="7"/>
                <w:sz w:val="38"/>
                <w:szCs w:val="38"/>
              </w:rPr>
              <w:t>倾斜影响检验</w:t>
            </w:r>
          </w:p>
        </w:tc>
        <w:tc>
          <w:tcPr>
            <w:tcW w:w="3363" w:type="dxa"/>
            <w:vAlign w:val="top"/>
          </w:tcPr>
          <w:p>
            <w:pPr>
              <w:spacing w:line="279" w:lineRule="auto"/>
              <w:rPr>
                <w:rFonts w:ascii="Arial"/>
                <w:sz w:val="21"/>
              </w:rPr>
            </w:pPr>
          </w:p>
          <w:p>
            <w:pPr>
              <w:pStyle w:val="TableText"/>
              <w:spacing w:before="123" w:line="222" w:lineRule="auto"/>
              <w:ind w:left="1483"/>
              <w:rPr>
                <w:sz w:val="38"/>
                <w:szCs w:val="38"/>
              </w:rPr>
            </w:pPr>
            <w:r>
              <w:rPr>
                <w:sz w:val="38"/>
                <w:szCs w:val="38"/>
              </w:rPr>
              <w:t>检</w:t>
            </w:r>
          </w:p>
        </w:tc>
        <w:tc>
          <w:tcPr>
            <w:tcW w:w="3363" w:type="dxa"/>
            <w:vAlign w:val="top"/>
          </w:tcPr>
          <w:p>
            <w:pPr>
              <w:spacing w:line="279" w:lineRule="auto"/>
              <w:rPr>
                <w:rFonts w:ascii="Arial"/>
                <w:sz w:val="21"/>
              </w:rPr>
            </w:pPr>
          </w:p>
          <w:p>
            <w:pPr>
              <w:pStyle w:val="TableText"/>
              <w:spacing w:before="123" w:line="222" w:lineRule="auto"/>
              <w:ind w:left="1484"/>
              <w:rPr>
                <w:sz w:val="38"/>
                <w:szCs w:val="38"/>
              </w:rPr>
            </w:pPr>
            <w:r>
              <w:rPr>
                <w:sz w:val="38"/>
                <w:szCs w:val="38"/>
              </w:rPr>
              <w:t>检</w:t>
            </w:r>
          </w:p>
        </w:tc>
        <w:tc>
          <w:tcPr>
            <w:tcW w:w="3407" w:type="dxa"/>
            <w:vAlign w:val="top"/>
          </w:tcPr>
          <w:p>
            <w:pPr>
              <w:spacing w:line="279" w:lineRule="auto"/>
              <w:rPr>
                <w:rFonts w:ascii="Arial"/>
                <w:sz w:val="21"/>
              </w:rPr>
            </w:pPr>
          </w:p>
          <w:p>
            <w:pPr>
              <w:pStyle w:val="TableText"/>
              <w:spacing w:before="123" w:line="222" w:lineRule="auto"/>
              <w:ind w:left="1506"/>
              <w:rPr>
                <w:sz w:val="38"/>
                <w:szCs w:val="38"/>
              </w:rPr>
            </w:pPr>
            <w:r>
              <w:rPr>
                <w:sz w:val="38"/>
                <w:szCs w:val="38"/>
              </w:rPr>
              <w:t>检</w:t>
            </w:r>
          </w:p>
        </w:tc>
      </w:tr>
      <w:tr>
        <w:tblPrEx>
          <w:tblW w:w="17226" w:type="dxa"/>
          <w:tblInd w:w="100" w:type="dxa"/>
          <w:tblLayout w:type="fixed"/>
        </w:tblPrEx>
        <w:trPr>
          <w:trHeight w:val="1183"/>
        </w:trPr>
        <w:tc>
          <w:tcPr>
            <w:tcW w:w="1570" w:type="dxa"/>
            <w:vAlign w:val="top"/>
          </w:tcPr>
          <w:p>
            <w:pPr>
              <w:spacing w:line="385" w:lineRule="auto"/>
              <w:rPr>
                <w:rFonts w:ascii="Arial"/>
                <w:sz w:val="21"/>
              </w:rPr>
            </w:pPr>
          </w:p>
          <w:p>
            <w:pPr>
              <w:pStyle w:val="TableText"/>
              <w:spacing w:before="124" w:line="185" w:lineRule="auto"/>
              <w:ind w:left="680"/>
              <w:rPr>
                <w:sz w:val="38"/>
                <w:szCs w:val="38"/>
              </w:rPr>
            </w:pPr>
            <w:r>
              <w:rPr>
                <w:sz w:val="38"/>
                <w:szCs w:val="38"/>
              </w:rPr>
              <w:t>6</w:t>
            </w:r>
          </w:p>
        </w:tc>
        <w:tc>
          <w:tcPr>
            <w:tcW w:w="5523" w:type="dxa"/>
            <w:vAlign w:val="top"/>
          </w:tcPr>
          <w:p>
            <w:pPr>
              <w:spacing w:line="290" w:lineRule="auto"/>
              <w:rPr>
                <w:rFonts w:ascii="Arial"/>
                <w:sz w:val="21"/>
              </w:rPr>
            </w:pPr>
          </w:p>
          <w:p>
            <w:pPr>
              <w:pStyle w:val="TableText"/>
              <w:spacing w:before="124" w:line="223" w:lineRule="auto"/>
              <w:ind w:left="1603"/>
              <w:rPr>
                <w:sz w:val="38"/>
                <w:szCs w:val="38"/>
              </w:rPr>
            </w:pPr>
            <w:r>
              <w:rPr>
                <w:spacing w:val="7"/>
                <w:sz w:val="38"/>
                <w:szCs w:val="38"/>
              </w:rPr>
              <w:t>绝缘电阻测量</w:t>
            </w:r>
          </w:p>
        </w:tc>
        <w:tc>
          <w:tcPr>
            <w:tcW w:w="3363" w:type="dxa"/>
            <w:vAlign w:val="top"/>
          </w:tcPr>
          <w:p>
            <w:pPr>
              <w:spacing w:line="286" w:lineRule="auto"/>
              <w:rPr>
                <w:rFonts w:ascii="Arial"/>
                <w:sz w:val="21"/>
              </w:rPr>
            </w:pPr>
          </w:p>
          <w:p>
            <w:pPr>
              <w:pStyle w:val="TableText"/>
              <w:spacing w:before="124" w:line="222" w:lineRule="auto"/>
              <w:ind w:left="1483"/>
              <w:rPr>
                <w:sz w:val="38"/>
                <w:szCs w:val="38"/>
              </w:rPr>
            </w:pPr>
            <w:r>
              <w:rPr>
                <w:sz w:val="38"/>
                <w:szCs w:val="38"/>
              </w:rPr>
              <w:t>检</w:t>
            </w:r>
          </w:p>
        </w:tc>
        <w:tc>
          <w:tcPr>
            <w:tcW w:w="3363" w:type="dxa"/>
            <w:vAlign w:val="top"/>
          </w:tcPr>
          <w:p>
            <w:pPr>
              <w:spacing w:line="286" w:lineRule="auto"/>
              <w:rPr>
                <w:rFonts w:ascii="Arial"/>
                <w:sz w:val="21"/>
              </w:rPr>
            </w:pPr>
          </w:p>
          <w:p>
            <w:pPr>
              <w:pStyle w:val="TableText"/>
              <w:spacing w:before="124" w:line="222" w:lineRule="auto"/>
              <w:ind w:left="1484"/>
              <w:rPr>
                <w:sz w:val="38"/>
                <w:szCs w:val="38"/>
              </w:rPr>
            </w:pPr>
            <w:r>
              <w:rPr>
                <w:sz w:val="38"/>
                <w:szCs w:val="38"/>
              </w:rPr>
              <w:t>检</w:t>
            </w:r>
          </w:p>
        </w:tc>
        <w:tc>
          <w:tcPr>
            <w:tcW w:w="3407" w:type="dxa"/>
            <w:vAlign w:val="top"/>
          </w:tcPr>
          <w:p>
            <w:pPr>
              <w:spacing w:line="286" w:lineRule="auto"/>
              <w:rPr>
                <w:rFonts w:ascii="Arial"/>
                <w:sz w:val="21"/>
              </w:rPr>
            </w:pPr>
          </w:p>
          <w:p>
            <w:pPr>
              <w:pStyle w:val="TableText"/>
              <w:spacing w:before="124" w:line="222" w:lineRule="auto"/>
              <w:ind w:left="1506"/>
              <w:rPr>
                <w:sz w:val="38"/>
                <w:szCs w:val="38"/>
              </w:rPr>
            </w:pPr>
            <w:r>
              <w:rPr>
                <w:sz w:val="38"/>
                <w:szCs w:val="38"/>
              </w:rPr>
              <w:t>检</w:t>
            </w:r>
          </w:p>
        </w:tc>
      </w:tr>
      <w:tr>
        <w:tblPrEx>
          <w:tblW w:w="17226" w:type="dxa"/>
          <w:tblInd w:w="100" w:type="dxa"/>
          <w:tblLayout w:type="fixed"/>
        </w:tblPrEx>
        <w:trPr>
          <w:trHeight w:val="1163"/>
        </w:trPr>
        <w:tc>
          <w:tcPr>
            <w:tcW w:w="1570" w:type="dxa"/>
            <w:vAlign w:val="top"/>
          </w:tcPr>
          <w:p>
            <w:pPr>
              <w:spacing w:line="383" w:lineRule="auto"/>
              <w:rPr>
                <w:rFonts w:ascii="Arial"/>
                <w:sz w:val="21"/>
              </w:rPr>
            </w:pPr>
          </w:p>
          <w:p>
            <w:pPr>
              <w:pStyle w:val="TableText"/>
              <w:spacing w:before="124" w:line="183" w:lineRule="auto"/>
              <w:ind w:left="680"/>
              <w:rPr>
                <w:sz w:val="38"/>
                <w:szCs w:val="38"/>
              </w:rPr>
            </w:pPr>
            <w:r>
              <w:rPr>
                <w:sz w:val="38"/>
                <w:szCs w:val="38"/>
              </w:rPr>
              <w:t>7</w:t>
            </w:r>
          </w:p>
        </w:tc>
        <w:tc>
          <w:tcPr>
            <w:tcW w:w="5523" w:type="dxa"/>
            <w:vAlign w:val="top"/>
          </w:tcPr>
          <w:p>
            <w:pPr>
              <w:spacing w:line="280" w:lineRule="auto"/>
              <w:rPr>
                <w:rFonts w:ascii="Arial"/>
                <w:sz w:val="21"/>
              </w:rPr>
            </w:pPr>
          </w:p>
          <w:p>
            <w:pPr>
              <w:pStyle w:val="TableText"/>
              <w:spacing w:before="124" w:line="222" w:lineRule="auto"/>
              <w:ind w:left="1603"/>
              <w:rPr>
                <w:sz w:val="38"/>
                <w:szCs w:val="38"/>
              </w:rPr>
            </w:pPr>
            <w:r>
              <w:rPr>
                <w:spacing w:val="7"/>
                <w:sz w:val="38"/>
                <w:szCs w:val="38"/>
              </w:rPr>
              <w:t>绝缘强度检验</w:t>
            </w:r>
          </w:p>
        </w:tc>
        <w:tc>
          <w:tcPr>
            <w:tcW w:w="3363" w:type="dxa"/>
            <w:vAlign w:val="top"/>
          </w:tcPr>
          <w:p>
            <w:pPr>
              <w:spacing w:line="280" w:lineRule="auto"/>
              <w:rPr>
                <w:rFonts w:ascii="Arial"/>
                <w:sz w:val="21"/>
              </w:rPr>
            </w:pPr>
          </w:p>
          <w:p>
            <w:pPr>
              <w:pStyle w:val="TableText"/>
              <w:spacing w:before="124" w:line="222" w:lineRule="auto"/>
              <w:ind w:left="1483"/>
              <w:rPr>
                <w:sz w:val="38"/>
                <w:szCs w:val="38"/>
              </w:rPr>
            </w:pPr>
            <w:r>
              <w:rPr>
                <w:sz w:val="38"/>
                <w:szCs w:val="38"/>
              </w:rPr>
              <w:t>检</w:t>
            </w:r>
          </w:p>
        </w:tc>
        <w:tc>
          <w:tcPr>
            <w:tcW w:w="3363" w:type="dxa"/>
            <w:vAlign w:val="top"/>
          </w:tcPr>
          <w:p>
            <w:pPr>
              <w:spacing w:line="280" w:lineRule="auto"/>
              <w:rPr>
                <w:rFonts w:ascii="Arial"/>
                <w:sz w:val="21"/>
              </w:rPr>
            </w:pPr>
          </w:p>
          <w:p>
            <w:pPr>
              <w:pStyle w:val="TableText"/>
              <w:spacing w:before="124" w:line="222" w:lineRule="auto"/>
              <w:ind w:left="1484"/>
              <w:rPr>
                <w:sz w:val="38"/>
                <w:szCs w:val="38"/>
              </w:rPr>
            </w:pPr>
            <w:r>
              <w:rPr>
                <w:sz w:val="38"/>
                <w:szCs w:val="38"/>
              </w:rPr>
              <w:t>检</w:t>
            </w:r>
          </w:p>
        </w:tc>
        <w:tc>
          <w:tcPr>
            <w:tcW w:w="3407" w:type="dxa"/>
            <w:vAlign w:val="top"/>
          </w:tcPr>
          <w:p>
            <w:pPr>
              <w:spacing w:line="280" w:lineRule="auto"/>
              <w:rPr>
                <w:rFonts w:ascii="Arial"/>
                <w:sz w:val="21"/>
              </w:rPr>
            </w:pPr>
          </w:p>
          <w:p>
            <w:pPr>
              <w:pStyle w:val="TableText"/>
              <w:spacing w:before="123" w:line="221" w:lineRule="auto"/>
              <w:ind w:left="1600"/>
              <w:rPr>
                <w:sz w:val="38"/>
                <w:szCs w:val="38"/>
              </w:rPr>
            </w:pPr>
            <w:r>
              <w:rPr>
                <w:sz w:val="38"/>
                <w:szCs w:val="38"/>
              </w:rPr>
              <w:t>\</w:t>
            </w:r>
          </w:p>
        </w:tc>
      </w:tr>
      <w:tr>
        <w:tblPrEx>
          <w:tblW w:w="17226" w:type="dxa"/>
          <w:tblInd w:w="100" w:type="dxa"/>
          <w:tblLayout w:type="fixed"/>
        </w:tblPrEx>
        <w:trPr>
          <w:trHeight w:val="1197"/>
        </w:trPr>
        <w:tc>
          <w:tcPr>
            <w:tcW w:w="1570" w:type="dxa"/>
            <w:vAlign w:val="top"/>
          </w:tcPr>
          <w:p>
            <w:pPr>
              <w:spacing w:line="393" w:lineRule="auto"/>
              <w:rPr>
                <w:rFonts w:ascii="Arial"/>
                <w:sz w:val="21"/>
              </w:rPr>
            </w:pPr>
          </w:p>
          <w:p>
            <w:pPr>
              <w:pStyle w:val="TableText"/>
              <w:spacing w:before="124" w:line="185" w:lineRule="auto"/>
              <w:ind w:left="680"/>
              <w:rPr>
                <w:sz w:val="38"/>
                <w:szCs w:val="38"/>
              </w:rPr>
            </w:pPr>
            <w:r>
              <w:rPr>
                <w:sz w:val="38"/>
                <w:szCs w:val="38"/>
              </w:rPr>
              <w:t>8</w:t>
            </w:r>
          </w:p>
        </w:tc>
        <w:tc>
          <w:tcPr>
            <w:tcW w:w="5523" w:type="dxa"/>
            <w:vAlign w:val="top"/>
          </w:tcPr>
          <w:p>
            <w:pPr>
              <w:spacing w:line="294" w:lineRule="auto"/>
              <w:rPr>
                <w:rFonts w:ascii="Arial"/>
                <w:sz w:val="21"/>
              </w:rPr>
            </w:pPr>
          </w:p>
          <w:p>
            <w:pPr>
              <w:pStyle w:val="TableText"/>
              <w:spacing w:before="124" w:line="222" w:lineRule="auto"/>
              <w:ind w:left="1218"/>
              <w:rPr>
                <w:sz w:val="38"/>
                <w:szCs w:val="38"/>
              </w:rPr>
            </w:pPr>
            <w:r>
              <w:rPr>
                <w:spacing w:val="7"/>
                <w:sz w:val="38"/>
                <w:szCs w:val="38"/>
              </w:rPr>
              <w:t>屏蔽装置作用检查</w:t>
            </w:r>
          </w:p>
        </w:tc>
        <w:tc>
          <w:tcPr>
            <w:tcW w:w="3363" w:type="dxa"/>
            <w:vAlign w:val="top"/>
          </w:tcPr>
          <w:p>
            <w:pPr>
              <w:spacing w:line="294" w:lineRule="auto"/>
              <w:rPr>
                <w:rFonts w:ascii="Arial"/>
                <w:sz w:val="21"/>
              </w:rPr>
            </w:pPr>
          </w:p>
          <w:p>
            <w:pPr>
              <w:pStyle w:val="TableText"/>
              <w:spacing w:before="124" w:line="222" w:lineRule="auto"/>
              <w:ind w:left="1294"/>
              <w:rPr>
                <w:sz w:val="38"/>
                <w:szCs w:val="38"/>
              </w:rPr>
            </w:pPr>
            <w:r>
              <w:rPr>
                <w:spacing w:val="8"/>
                <w:sz w:val="38"/>
                <w:szCs w:val="38"/>
              </w:rPr>
              <w:t>检**</w:t>
            </w:r>
          </w:p>
        </w:tc>
        <w:tc>
          <w:tcPr>
            <w:tcW w:w="3363" w:type="dxa"/>
            <w:vAlign w:val="top"/>
          </w:tcPr>
          <w:p>
            <w:pPr>
              <w:spacing w:line="294" w:lineRule="auto"/>
              <w:rPr>
                <w:rFonts w:ascii="Arial"/>
                <w:sz w:val="21"/>
              </w:rPr>
            </w:pPr>
          </w:p>
          <w:p>
            <w:pPr>
              <w:pStyle w:val="TableText"/>
              <w:spacing w:before="123" w:line="221" w:lineRule="auto"/>
              <w:ind w:left="1579"/>
              <w:rPr>
                <w:sz w:val="38"/>
                <w:szCs w:val="38"/>
              </w:rPr>
            </w:pPr>
            <w:r>
              <w:rPr>
                <w:sz w:val="38"/>
                <w:szCs w:val="38"/>
              </w:rPr>
              <w:t>\</w:t>
            </w:r>
          </w:p>
        </w:tc>
        <w:tc>
          <w:tcPr>
            <w:tcW w:w="3407" w:type="dxa"/>
            <w:vAlign w:val="top"/>
          </w:tcPr>
          <w:p>
            <w:pPr>
              <w:spacing w:line="294" w:lineRule="auto"/>
              <w:rPr>
                <w:rFonts w:ascii="Arial"/>
                <w:sz w:val="21"/>
              </w:rPr>
            </w:pPr>
          </w:p>
          <w:p>
            <w:pPr>
              <w:pStyle w:val="TableText"/>
              <w:spacing w:before="123" w:line="221" w:lineRule="auto"/>
              <w:ind w:left="1600"/>
              <w:rPr>
                <w:sz w:val="38"/>
                <w:szCs w:val="38"/>
              </w:rPr>
            </w:pPr>
            <w:r>
              <w:rPr>
                <w:sz w:val="38"/>
                <w:szCs w:val="38"/>
              </w:rPr>
              <w:t>\</w:t>
            </w:r>
          </w:p>
        </w:tc>
      </w:tr>
      <w:tr>
        <w:tblPrEx>
          <w:tblW w:w="17226" w:type="dxa"/>
          <w:tblInd w:w="100" w:type="dxa"/>
          <w:tblLayout w:type="fixed"/>
        </w:tblPrEx>
        <w:trPr>
          <w:trHeight w:val="1957"/>
        </w:trPr>
        <w:tc>
          <w:tcPr>
            <w:tcW w:w="17226" w:type="dxa"/>
            <w:gridSpan w:val="5"/>
            <w:vAlign w:val="top"/>
          </w:tcPr>
          <w:p>
            <w:pPr>
              <w:spacing w:line="369" w:lineRule="auto"/>
              <w:rPr>
                <w:rFonts w:ascii="Arial"/>
                <w:sz w:val="21"/>
              </w:rPr>
            </w:pPr>
          </w:p>
          <w:p>
            <w:pPr>
              <w:pStyle w:val="TableText"/>
              <w:spacing w:before="124" w:line="621" w:lineRule="exact"/>
              <w:ind w:left="1092"/>
              <w:rPr>
                <w:sz w:val="38"/>
                <w:szCs w:val="38"/>
              </w:rPr>
            </w:pPr>
            <w:r>
              <w:rPr>
                <w:spacing w:val="11"/>
                <w:position w:val="17"/>
                <w:sz w:val="38"/>
                <w:szCs w:val="38"/>
              </w:rPr>
              <w:t>*周期检定时，第5.1款中“开路电压的峰值与有效</w:t>
            </w:r>
            <w:r>
              <w:rPr>
                <w:spacing w:val="10"/>
                <w:position w:val="17"/>
                <w:sz w:val="38"/>
                <w:szCs w:val="38"/>
              </w:rPr>
              <w:t>值之比”不检；</w:t>
            </w:r>
          </w:p>
          <w:p>
            <w:pPr>
              <w:pStyle w:val="TableText"/>
              <w:spacing w:before="1" w:line="221" w:lineRule="auto"/>
              <w:ind w:left="1092"/>
              <w:rPr>
                <w:sz w:val="38"/>
                <w:szCs w:val="38"/>
              </w:rPr>
            </w:pPr>
            <w:r>
              <w:rPr>
                <w:spacing w:val="4"/>
                <w:sz w:val="38"/>
                <w:szCs w:val="38"/>
              </w:rPr>
              <w:t>**出厂检定时，仅限于新产品定型试验时检。</w:t>
            </w:r>
          </w:p>
        </w:tc>
      </w:tr>
    </w:tbl>
    <w:p>
      <w:pPr>
        <w:spacing w:line="277"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before="163" w:line="223" w:lineRule="auto"/>
        <w:ind w:left="6424"/>
        <w:rPr>
          <w:rFonts w:ascii="SimHei" w:eastAsia="SimHei" w:hAnsi="SimHei" w:cs="SimHei"/>
          <w:sz w:val="50"/>
          <w:szCs w:val="50"/>
        </w:rPr>
      </w:pPr>
      <w:r>
        <w:rPr>
          <w:rFonts w:ascii="SimHei" w:eastAsia="SimHei" w:hAnsi="SimHei" w:cs="SimHei"/>
          <w:b/>
          <w:bCs/>
          <w:spacing w:val="-12"/>
          <w:sz w:val="50"/>
          <w:szCs w:val="50"/>
        </w:rPr>
        <w:t>五</w:t>
      </w:r>
      <w:r>
        <w:rPr>
          <w:rFonts w:ascii="SimHei" w:eastAsia="SimHei" w:hAnsi="SimHei" w:cs="SimHei"/>
          <w:spacing w:val="-12"/>
          <w:sz w:val="50"/>
          <w:szCs w:val="50"/>
        </w:rPr>
        <w:t xml:space="preserve">  </w:t>
      </w:r>
      <w:r>
        <w:rPr>
          <w:rFonts w:ascii="SimHei" w:eastAsia="SimHei" w:hAnsi="SimHei" w:cs="SimHei"/>
          <w:b/>
          <w:bCs/>
          <w:spacing w:val="-12"/>
          <w:sz w:val="50"/>
          <w:szCs w:val="50"/>
        </w:rPr>
        <w:t>检</w:t>
      </w:r>
      <w:r>
        <w:rPr>
          <w:rFonts w:ascii="SimHei" w:eastAsia="SimHei" w:hAnsi="SimHei" w:cs="SimHei"/>
          <w:spacing w:val="33"/>
          <w:sz w:val="50"/>
          <w:szCs w:val="50"/>
        </w:rPr>
        <w:t xml:space="preserve">  </w:t>
      </w:r>
      <w:r>
        <w:rPr>
          <w:rFonts w:ascii="SimHei" w:eastAsia="SimHei" w:hAnsi="SimHei" w:cs="SimHei"/>
          <w:b/>
          <w:bCs/>
          <w:spacing w:val="-12"/>
          <w:sz w:val="50"/>
          <w:szCs w:val="50"/>
        </w:rPr>
        <w:t>定</w:t>
      </w:r>
      <w:r>
        <w:rPr>
          <w:rFonts w:ascii="SimHei" w:eastAsia="SimHei" w:hAnsi="SimHei" w:cs="SimHei"/>
          <w:spacing w:val="37"/>
          <w:sz w:val="50"/>
          <w:szCs w:val="50"/>
        </w:rPr>
        <w:t xml:space="preserve">  </w:t>
      </w:r>
      <w:r>
        <w:rPr>
          <w:rFonts w:ascii="SimHei" w:eastAsia="SimHei" w:hAnsi="SimHei" w:cs="SimHei"/>
          <w:b/>
          <w:bCs/>
          <w:spacing w:val="-12"/>
          <w:sz w:val="50"/>
          <w:szCs w:val="50"/>
        </w:rPr>
        <w:t>方</w:t>
      </w:r>
      <w:r>
        <w:rPr>
          <w:rFonts w:ascii="SimHei" w:eastAsia="SimHei" w:hAnsi="SimHei" w:cs="SimHei"/>
          <w:spacing w:val="35"/>
          <w:sz w:val="50"/>
          <w:szCs w:val="50"/>
        </w:rPr>
        <w:t xml:space="preserve">  </w:t>
      </w:r>
      <w:r>
        <w:rPr>
          <w:rFonts w:ascii="SimHei" w:eastAsia="SimHei" w:hAnsi="SimHei" w:cs="SimHei"/>
          <w:b/>
          <w:bCs/>
          <w:spacing w:val="-12"/>
          <w:sz w:val="50"/>
          <w:szCs w:val="50"/>
        </w:rPr>
        <w:t>法</w:t>
      </w:r>
    </w:p>
    <w:p>
      <w:pPr>
        <w:spacing w:line="332" w:lineRule="auto"/>
        <w:rPr>
          <w:rFonts w:ascii="Arial"/>
          <w:sz w:val="21"/>
        </w:rPr>
      </w:pPr>
    </w:p>
    <w:p>
      <w:pPr>
        <w:spacing w:line="332" w:lineRule="auto"/>
        <w:rPr>
          <w:rFonts w:ascii="Arial"/>
          <w:sz w:val="21"/>
        </w:rPr>
      </w:pPr>
    </w:p>
    <w:p>
      <w:pPr>
        <w:pStyle w:val="BodyText"/>
        <w:spacing w:before="140" w:line="223" w:lineRule="auto"/>
        <w:ind w:left="134"/>
      </w:pPr>
      <w:r>
        <w:rPr>
          <w:spacing w:val="10"/>
        </w:rPr>
        <w:t>13  外观检查</w:t>
      </w:r>
    </w:p>
    <w:p>
      <w:pPr>
        <w:pStyle w:val="BodyText"/>
        <w:spacing w:before="183" w:line="223" w:lineRule="auto"/>
        <w:ind w:left="141"/>
        <w:sectPr>
          <w:headerReference w:type="default" r:id="rId18"/>
          <w:footerReference w:type="default" r:id="rId19"/>
          <w:pgSz w:w="21589" w:h="31680"/>
          <w:pgMar w:top="3525" w:right="2323" w:bottom="2405" w:left="1904" w:header="2988" w:footer="2117" w:gutter="0"/>
          <w:pgNumType w:start="7"/>
          <w:cols w:space="708"/>
        </w:sectPr>
      </w:pPr>
      <w:r>
        <w:rPr>
          <w:b/>
          <w:bCs/>
          <w:spacing w:val="17"/>
        </w:rPr>
        <w:t>13.1</w:t>
      </w:r>
      <w:r>
        <w:rPr>
          <w:spacing w:val="17"/>
        </w:rPr>
        <w:t xml:space="preserve">  绝缘电阻表应有保证该表正确使用的必要标志。</w:t>
      </w:r>
    </w:p>
    <w:p>
      <w:pPr>
        <w:pStyle w:val="BodyText"/>
        <w:spacing w:before="165" w:line="262" w:lineRule="auto"/>
        <w:ind w:left="134" w:right="19" w:firstLine="6"/>
      </w:pPr>
      <w:r>
        <w:rPr>
          <w:b/>
          <w:bCs/>
          <w:spacing w:val="21"/>
        </w:rPr>
        <w:t>13.2</w:t>
      </w:r>
      <w:r>
        <w:rPr>
          <w:spacing w:val="21"/>
        </w:rPr>
        <w:t xml:space="preserve">  从外表看，零部件完整，无松</w:t>
      </w:r>
      <w:r>
        <w:rPr>
          <w:spacing w:val="20"/>
        </w:rPr>
        <w:t>动，无裂缝，无明显残缺或污损。当倾斜或轻摇仪</w:t>
      </w:r>
      <w:r>
        <w:t xml:space="preserve"> </w:t>
      </w:r>
      <w:r>
        <w:rPr>
          <w:spacing w:val="14"/>
        </w:rPr>
        <w:t>表时，内部无撞击声。</w:t>
      </w:r>
    </w:p>
    <w:p>
      <w:pPr>
        <w:pStyle w:val="BodyText"/>
        <w:spacing w:before="193" w:line="255" w:lineRule="auto"/>
        <w:ind w:left="134" w:right="1" w:firstLine="6"/>
      </w:pPr>
      <w:r>
        <w:rPr>
          <w:b/>
          <w:bCs/>
          <w:spacing w:val="21"/>
        </w:rPr>
        <w:t>13.3</w:t>
      </w:r>
      <w:r>
        <w:rPr>
          <w:spacing w:val="21"/>
        </w:rPr>
        <w:t xml:space="preserve">  对有机械调零器的绝缘电阻表向左右两方向转动机械调零器时，指示器应</w:t>
      </w:r>
      <w:r>
        <w:rPr>
          <w:spacing w:val="20"/>
        </w:rPr>
        <w:t>转动灵</w:t>
      </w:r>
      <w:r>
        <w:t xml:space="preserve"> </w:t>
      </w:r>
      <w:r>
        <w:rPr>
          <w:spacing w:val="22"/>
        </w:rPr>
        <w:t>活，左右对称，指针不应弯曲，与标度盘表</w:t>
      </w:r>
      <w:r>
        <w:rPr>
          <w:spacing w:val="21"/>
        </w:rPr>
        <w:t>面的距离要适当。</w:t>
      </w:r>
    </w:p>
    <w:p>
      <w:pPr>
        <w:pStyle w:val="BodyText"/>
        <w:spacing w:before="139" w:line="223" w:lineRule="auto"/>
        <w:ind w:left="134"/>
      </w:pPr>
      <w:r>
        <w:rPr>
          <w:spacing w:val="12"/>
        </w:rPr>
        <w:t>14  初步试验</w:t>
      </w:r>
    </w:p>
    <w:p>
      <w:pPr>
        <w:spacing w:line="223" w:lineRule="auto"/>
        <w:sectPr>
          <w:headerReference w:type="default" r:id="rId20"/>
          <w:footerReference w:type="default" r:id="rId21"/>
          <w:type w:val="nextPage"/>
          <w:pgSz w:w="21589" w:h="31680"/>
          <w:pgMar w:top="3525" w:right="2323" w:bottom="2405" w:left="1904" w:header="2988" w:footer="2117" w:gutter="0"/>
          <w:pgNumType w:start="8"/>
          <w:cols w:space="708"/>
          <w:titlePg w:val="0"/>
        </w:sectPr>
      </w:pPr>
    </w:p>
    <w:p>
      <w:pPr>
        <w:spacing w:line="307" w:lineRule="auto"/>
        <w:rPr>
          <w:rFonts w:ascii="Arial"/>
          <w:sz w:val="21"/>
        </w:rPr>
      </w:pPr>
    </w:p>
    <w:p>
      <w:pPr>
        <w:pStyle w:val="BodyText"/>
        <w:spacing w:before="140" w:line="272" w:lineRule="auto"/>
        <w:ind w:left="74" w:right="77"/>
      </w:pPr>
      <w:r>
        <w:rPr>
          <w:spacing w:val="22"/>
        </w:rPr>
        <w:t xml:space="preserve">14.1  首先在被检绝缘电阻表测量端钮 </w:t>
      </w:r>
      <w:r>
        <w:rPr>
          <w:rFonts w:ascii="Times New Roman" w:eastAsia="Times New Roman" w:hAnsi="Times New Roman" w:cs="Times New Roman"/>
          <w:spacing w:val="22"/>
        </w:rPr>
        <w:t xml:space="preserve">(L,E)       </w:t>
      </w:r>
      <w:r>
        <w:rPr>
          <w:spacing w:val="21"/>
        </w:rPr>
        <w:t>开路情况下，接通电源或摇动发电机</w:t>
      </w:r>
      <w:r>
        <w:t xml:space="preserve"> </w:t>
      </w:r>
      <w:r>
        <w:rPr>
          <w:spacing w:val="28"/>
        </w:rPr>
        <w:t>摇柄，指针应指在心的位置，不得偏离标度线的中心位置±1</w:t>
      </w:r>
      <w:r>
        <w:t>mm</w:t>
      </w:r>
      <w:r>
        <w:rPr>
          <w:spacing w:val="28"/>
        </w:rPr>
        <w:t>。</w:t>
      </w:r>
      <w:r>
        <w:rPr>
          <w:spacing w:val="12"/>
        </w:rPr>
        <w:t xml:space="preserve">  </w:t>
      </w:r>
      <w:r>
        <w:rPr>
          <w:spacing w:val="28"/>
        </w:rPr>
        <w:t>若有无穷大调节旋</w:t>
      </w:r>
      <w:r>
        <w:t xml:space="preserve"> </w:t>
      </w:r>
      <w:r>
        <w:rPr>
          <w:spacing w:val="26"/>
        </w:rPr>
        <w:t>钮，则应能调节到0分度线，且有余量。</w:t>
      </w:r>
    </w:p>
    <w:p>
      <w:pPr>
        <w:pStyle w:val="BodyText"/>
        <w:spacing w:before="138" w:line="266" w:lineRule="auto"/>
        <w:ind w:left="74" w:right="73" w:firstLine="6"/>
      </w:pPr>
      <w:r>
        <w:rPr>
          <w:b/>
          <w:bCs/>
          <w:spacing w:val="19"/>
        </w:rPr>
        <w:t>14.2</w:t>
      </w:r>
      <w:r>
        <w:rPr>
          <w:spacing w:val="19"/>
        </w:rPr>
        <w:t xml:space="preserve">  将绝缘电阻表线路端钮和接地端钮短接，指针应指在零分度线上，不得偏离标度</w:t>
      </w:r>
      <w:r>
        <w:rPr>
          <w:spacing w:val="17"/>
        </w:rPr>
        <w:t xml:space="preserve"> </w:t>
      </w:r>
      <w:r>
        <w:rPr>
          <w:spacing w:val="5"/>
        </w:rPr>
        <w:t xml:space="preserve">线的中心位置±1 </w:t>
      </w:r>
      <w:r>
        <w:rPr>
          <w:rFonts w:ascii="Times New Roman" w:eastAsia="Times New Roman" w:hAnsi="Times New Roman" w:cs="Times New Roman"/>
        </w:rPr>
        <w:t>mm</w:t>
      </w:r>
      <w:r>
        <w:rPr>
          <w:spacing w:val="5"/>
        </w:rPr>
        <w:t>。</w:t>
      </w:r>
    </w:p>
    <w:p>
      <w:pPr>
        <w:pStyle w:val="BodyText"/>
        <w:spacing w:before="140" w:line="254" w:lineRule="auto"/>
        <w:ind w:left="74" w:right="3758" w:firstLine="6"/>
      </w:pPr>
      <w:r>
        <w:rPr>
          <w:b/>
          <w:bCs/>
          <w:spacing w:val="17"/>
        </w:rPr>
        <w:t>14.3</w:t>
      </w:r>
      <w:r>
        <w:rPr>
          <w:spacing w:val="17"/>
        </w:rPr>
        <w:t xml:space="preserve">  对于没有零分度线的绝缘电阻表，应</w:t>
      </w:r>
      <w:r>
        <w:rPr>
          <w:spacing w:val="16"/>
        </w:rPr>
        <w:t>接以起点电阻进行检验。</w:t>
      </w:r>
      <w:r>
        <w:t xml:space="preserve"> </w:t>
      </w:r>
      <w:r>
        <w:rPr>
          <w:spacing w:val="10"/>
        </w:rPr>
        <w:t>15  基本误差检定</w:t>
      </w:r>
    </w:p>
    <w:p>
      <w:pPr>
        <w:pStyle w:val="BodyText"/>
        <w:spacing w:before="176" w:line="220" w:lineRule="auto"/>
        <w:ind w:left="80"/>
      </w:pPr>
      <w:r>
        <w:rPr>
          <w:b/>
          <w:bCs/>
          <w:spacing w:val="7"/>
        </w:rPr>
        <w:t>15.1</w:t>
      </w:r>
      <w:r>
        <w:rPr>
          <w:spacing w:val="36"/>
        </w:rPr>
        <w:t xml:space="preserve">  </w:t>
      </w:r>
      <w:r>
        <w:rPr>
          <w:spacing w:val="7"/>
        </w:rPr>
        <w:t>检定时基本条件</w:t>
      </w:r>
    </w:p>
    <w:p>
      <w:pPr>
        <w:pStyle w:val="BodyText"/>
        <w:spacing w:before="117" w:line="213" w:lineRule="auto"/>
        <w:ind w:left="80"/>
      </w:pPr>
      <w:r>
        <w:rPr>
          <w:b/>
          <w:bCs/>
          <w:spacing w:val="21"/>
        </w:rPr>
        <w:t>15.1.1</w:t>
      </w:r>
      <w:r>
        <w:rPr>
          <w:spacing w:val="21"/>
        </w:rPr>
        <w:t xml:space="preserve">  手柄转速应在额定转速120茎</w:t>
      </w:r>
      <w:r>
        <w:rPr>
          <w:rFonts w:ascii="Times New Roman" w:eastAsia="Times New Roman" w:hAnsi="Times New Roman" w:cs="Times New Roman"/>
          <w:spacing w:val="21"/>
        </w:rPr>
        <w:t>r/</w:t>
      </w:r>
      <w:r>
        <w:rPr>
          <w:rFonts w:ascii="Times New Roman" w:eastAsia="Times New Roman" w:hAnsi="Times New Roman" w:cs="Times New Roman"/>
        </w:rPr>
        <w:t>min</w:t>
      </w:r>
      <w:r>
        <w:rPr>
          <w:rFonts w:ascii="Times New Roman" w:eastAsia="Times New Roman" w:hAnsi="Times New Roman" w:cs="Times New Roman"/>
          <w:spacing w:val="20"/>
        </w:rPr>
        <w:t xml:space="preserve">    </w:t>
      </w:r>
      <w:r>
        <w:rPr>
          <w:spacing w:val="20"/>
        </w:rPr>
        <w:t>(或150茎</w:t>
      </w:r>
      <w:r>
        <w:rPr>
          <w:rFonts w:ascii="Times New Roman" w:eastAsia="Times New Roman" w:hAnsi="Times New Roman" w:cs="Times New Roman"/>
          <w:spacing w:val="20"/>
        </w:rPr>
        <w:t>r/</w:t>
      </w:r>
      <w:r>
        <w:rPr>
          <w:rFonts w:ascii="Times New Roman" w:eastAsia="Times New Roman" w:hAnsi="Times New Roman" w:cs="Times New Roman"/>
        </w:rPr>
        <w:t>min</w:t>
      </w:r>
      <w:r>
        <w:rPr>
          <w:rFonts w:ascii="Times New Roman" w:eastAsia="Times New Roman" w:hAnsi="Times New Roman" w:cs="Times New Roman"/>
          <w:spacing w:val="20"/>
        </w:rPr>
        <w:t xml:space="preserve">)    </w:t>
      </w:r>
      <w:r>
        <w:rPr>
          <w:spacing w:val="20"/>
        </w:rPr>
        <w:t>范围内。</w:t>
      </w:r>
    </w:p>
    <w:p>
      <w:pPr>
        <w:pStyle w:val="BodyText"/>
        <w:spacing w:before="197" w:line="220" w:lineRule="auto"/>
        <w:ind w:left="80"/>
      </w:pPr>
      <w:r>
        <w:rPr>
          <w:b/>
          <w:bCs/>
          <w:spacing w:val="18"/>
        </w:rPr>
        <w:t>15.1.2</w:t>
      </w:r>
      <w:r>
        <w:rPr>
          <w:spacing w:val="18"/>
        </w:rPr>
        <w:t xml:space="preserve">  连接导线应有良好绝缘，可采用硬导线悬空连接或高压聚四氟乙烯导线连</w:t>
      </w:r>
      <w:r>
        <w:rPr>
          <w:spacing w:val="17"/>
        </w:rPr>
        <w:t>接。</w:t>
      </w:r>
    </w:p>
    <w:p>
      <w:pPr>
        <w:pStyle w:val="BodyText"/>
        <w:spacing w:before="193" w:line="220" w:lineRule="auto"/>
        <w:ind w:left="80"/>
      </w:pPr>
      <w:r>
        <w:rPr>
          <w:b/>
          <w:bCs/>
          <w:spacing w:val="16"/>
        </w:rPr>
        <w:t>15.1.3</w:t>
      </w:r>
      <w:r>
        <w:rPr>
          <w:spacing w:val="16"/>
        </w:rPr>
        <w:t xml:space="preserve">  使用设备包括标准高压高阻箱及恒定转速驱动装置。</w:t>
      </w:r>
    </w:p>
    <w:p>
      <w:pPr>
        <w:pStyle w:val="BodyText"/>
        <w:spacing w:before="163" w:line="252" w:lineRule="auto"/>
        <w:ind w:left="74" w:right="92" w:firstLine="6"/>
      </w:pPr>
      <w:r>
        <w:rPr>
          <w:b/>
          <w:bCs/>
          <w:spacing w:val="23"/>
        </w:rPr>
        <w:t>15.1.4</w:t>
      </w:r>
      <w:r>
        <w:rPr>
          <w:spacing w:val="23"/>
        </w:rPr>
        <w:t xml:space="preserve">  标准高压高阻箱允许误差限值，应不超过绝缘电阻表允许误差限值的</w:t>
      </w:r>
      <w:r>
        <w:rPr>
          <w:spacing w:val="22"/>
        </w:rPr>
        <w:t>1/4。绝</w:t>
      </w:r>
      <w:r>
        <w:t xml:space="preserve"> </w:t>
      </w:r>
      <w:r>
        <w:rPr>
          <w:spacing w:val="27"/>
        </w:rPr>
        <w:t>缘电阻表准确度及使用的标准高压高阻箱准确度如表5所示。</w:t>
      </w:r>
    </w:p>
    <w:p>
      <w:pPr>
        <w:spacing w:line="308" w:lineRule="auto"/>
        <w:rPr>
          <w:rFonts w:ascii="Arial"/>
          <w:sz w:val="21"/>
        </w:rPr>
      </w:pPr>
    </w:p>
    <w:p>
      <w:pPr>
        <w:spacing w:before="130" w:line="225" w:lineRule="auto"/>
        <w:ind w:left="8324"/>
        <w:rPr>
          <w:rFonts w:ascii="SimHei" w:eastAsia="SimHei" w:hAnsi="SimHei" w:cs="SimHei"/>
          <w:sz w:val="40"/>
          <w:szCs w:val="40"/>
        </w:rPr>
      </w:pPr>
      <w:r>
        <w:rPr>
          <w:rFonts w:ascii="SimHei" w:eastAsia="SimHei" w:hAnsi="SimHei" w:cs="SimHei"/>
          <w:spacing w:val="-9"/>
          <w:sz w:val="40"/>
          <w:szCs w:val="40"/>
        </w:rPr>
        <w:t>表</w:t>
      </w:r>
      <w:r>
        <w:rPr>
          <w:rFonts w:ascii="SimHei" w:eastAsia="SimHei" w:hAnsi="SimHei" w:cs="SimHei"/>
          <w:spacing w:val="-28"/>
          <w:sz w:val="40"/>
          <w:szCs w:val="40"/>
        </w:rPr>
        <w:t xml:space="preserve"> </w:t>
      </w:r>
      <w:r>
        <w:rPr>
          <w:rFonts w:ascii="SimHei" w:eastAsia="SimHei" w:hAnsi="SimHei" w:cs="SimHei"/>
          <w:spacing w:val="-9"/>
          <w:sz w:val="40"/>
          <w:szCs w:val="40"/>
        </w:rPr>
        <w:t>5</w:t>
      </w:r>
    </w:p>
    <w:p>
      <w:pPr>
        <w:spacing w:line="132" w:lineRule="exact"/>
      </w:pPr>
    </w:p>
    <w:tbl>
      <w:tblPr>
        <w:tblStyle w:val="TableNormal3"/>
        <w:tblW w:w="17191" w:type="dxa"/>
        <w:tblInd w:w="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329"/>
        <w:gridCol w:w="2349"/>
        <w:gridCol w:w="2355"/>
        <w:gridCol w:w="2382"/>
        <w:gridCol w:w="2356"/>
        <w:gridCol w:w="2420"/>
      </w:tblGrid>
      <w:tr>
        <w:tblPrEx>
          <w:tblW w:w="17191" w:type="dxa"/>
          <w:tblInd w:w="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184"/>
        </w:trPr>
        <w:tc>
          <w:tcPr>
            <w:tcW w:w="5329" w:type="dxa"/>
            <w:vAlign w:val="top"/>
          </w:tcPr>
          <w:p>
            <w:pPr>
              <w:spacing w:line="297" w:lineRule="auto"/>
              <w:rPr>
                <w:rFonts w:ascii="Arial"/>
                <w:sz w:val="21"/>
              </w:rPr>
            </w:pPr>
          </w:p>
          <w:p>
            <w:pPr>
              <w:pStyle w:val="TableText"/>
              <w:spacing w:before="120" w:line="221" w:lineRule="auto"/>
              <w:ind w:left="619"/>
              <w:rPr>
                <w:sz w:val="37"/>
                <w:szCs w:val="37"/>
              </w:rPr>
            </w:pPr>
            <w:r>
              <w:rPr>
                <w:spacing w:val="6"/>
                <w:sz w:val="37"/>
                <w:szCs w:val="37"/>
              </w:rPr>
              <w:t>绝缘电阻表准确度(10-2)</w:t>
            </w:r>
          </w:p>
        </w:tc>
        <w:tc>
          <w:tcPr>
            <w:tcW w:w="2349" w:type="dxa"/>
            <w:vAlign w:val="top"/>
          </w:tcPr>
          <w:p>
            <w:pPr>
              <w:spacing w:line="390" w:lineRule="auto"/>
              <w:rPr>
                <w:rFonts w:ascii="Arial"/>
                <w:sz w:val="21"/>
              </w:rPr>
            </w:pPr>
          </w:p>
          <w:p>
            <w:pPr>
              <w:pStyle w:val="TableText"/>
              <w:spacing w:before="121" w:line="184" w:lineRule="auto"/>
              <w:ind w:left="887"/>
              <w:rPr>
                <w:sz w:val="37"/>
                <w:szCs w:val="37"/>
              </w:rPr>
            </w:pPr>
            <w:r>
              <w:rPr>
                <w:spacing w:val="-9"/>
                <w:sz w:val="37"/>
                <w:szCs w:val="37"/>
              </w:rPr>
              <w:t>1.0</w:t>
            </w:r>
          </w:p>
        </w:tc>
        <w:tc>
          <w:tcPr>
            <w:tcW w:w="2355" w:type="dxa"/>
            <w:vAlign w:val="top"/>
          </w:tcPr>
          <w:p>
            <w:pPr>
              <w:spacing w:line="390" w:lineRule="auto"/>
              <w:rPr>
                <w:rFonts w:ascii="Arial"/>
                <w:sz w:val="21"/>
              </w:rPr>
            </w:pPr>
          </w:p>
          <w:p>
            <w:pPr>
              <w:pStyle w:val="TableText"/>
              <w:spacing w:before="121" w:line="184" w:lineRule="auto"/>
              <w:ind w:left="895"/>
              <w:rPr>
                <w:sz w:val="37"/>
                <w:szCs w:val="37"/>
              </w:rPr>
            </w:pPr>
            <w:r>
              <w:rPr>
                <w:spacing w:val="-4"/>
                <w:sz w:val="37"/>
                <w:szCs w:val="37"/>
              </w:rPr>
              <w:t>2.0</w:t>
            </w:r>
          </w:p>
        </w:tc>
        <w:tc>
          <w:tcPr>
            <w:tcW w:w="2382" w:type="dxa"/>
            <w:vAlign w:val="top"/>
          </w:tcPr>
          <w:p>
            <w:pPr>
              <w:spacing w:line="390" w:lineRule="auto"/>
              <w:rPr>
                <w:rFonts w:ascii="Arial"/>
                <w:sz w:val="21"/>
              </w:rPr>
            </w:pPr>
          </w:p>
          <w:p>
            <w:pPr>
              <w:pStyle w:val="TableText"/>
              <w:spacing w:before="121" w:line="184" w:lineRule="auto"/>
              <w:ind w:left="910"/>
              <w:rPr>
                <w:sz w:val="37"/>
                <w:szCs w:val="37"/>
              </w:rPr>
            </w:pPr>
            <w:r>
              <w:rPr>
                <w:spacing w:val="-5"/>
                <w:sz w:val="37"/>
                <w:szCs w:val="37"/>
              </w:rPr>
              <w:t>5.0</w:t>
            </w:r>
          </w:p>
        </w:tc>
        <w:tc>
          <w:tcPr>
            <w:tcW w:w="2356" w:type="dxa"/>
            <w:vAlign w:val="top"/>
          </w:tcPr>
          <w:p>
            <w:pPr>
              <w:spacing w:line="390" w:lineRule="auto"/>
              <w:rPr>
                <w:rFonts w:ascii="Arial"/>
                <w:sz w:val="21"/>
              </w:rPr>
            </w:pPr>
          </w:p>
          <w:p>
            <w:pPr>
              <w:pStyle w:val="TableText"/>
              <w:spacing w:before="121" w:line="184" w:lineRule="auto"/>
              <w:ind w:left="803"/>
              <w:rPr>
                <w:sz w:val="37"/>
                <w:szCs w:val="37"/>
              </w:rPr>
            </w:pPr>
            <w:r>
              <w:rPr>
                <w:spacing w:val="-8"/>
                <w:sz w:val="37"/>
                <w:szCs w:val="37"/>
              </w:rPr>
              <w:t>10.0</w:t>
            </w:r>
          </w:p>
        </w:tc>
        <w:tc>
          <w:tcPr>
            <w:tcW w:w="2420" w:type="dxa"/>
            <w:vAlign w:val="top"/>
          </w:tcPr>
          <w:p>
            <w:pPr>
              <w:spacing w:line="390" w:lineRule="auto"/>
              <w:rPr>
                <w:rFonts w:ascii="Arial"/>
                <w:sz w:val="21"/>
              </w:rPr>
            </w:pPr>
          </w:p>
          <w:p>
            <w:pPr>
              <w:pStyle w:val="TableText"/>
              <w:spacing w:before="121" w:line="184" w:lineRule="auto"/>
              <w:ind w:left="837"/>
              <w:rPr>
                <w:sz w:val="37"/>
                <w:szCs w:val="37"/>
              </w:rPr>
            </w:pPr>
            <w:r>
              <w:rPr>
                <w:spacing w:val="-4"/>
                <w:sz w:val="37"/>
                <w:szCs w:val="37"/>
              </w:rPr>
              <w:t>20.0</w:t>
            </w:r>
          </w:p>
        </w:tc>
      </w:tr>
      <w:tr>
        <w:tblPrEx>
          <w:tblW w:w="17191" w:type="dxa"/>
          <w:tblInd w:w="80" w:type="dxa"/>
          <w:tblLayout w:type="fixed"/>
        </w:tblPrEx>
        <w:trPr>
          <w:trHeight w:val="1184"/>
        </w:trPr>
        <w:tc>
          <w:tcPr>
            <w:tcW w:w="5329" w:type="dxa"/>
            <w:vAlign w:val="top"/>
          </w:tcPr>
          <w:p>
            <w:pPr>
              <w:spacing w:line="295" w:lineRule="auto"/>
              <w:rPr>
                <w:rFonts w:ascii="Arial"/>
                <w:sz w:val="21"/>
              </w:rPr>
            </w:pPr>
          </w:p>
          <w:p>
            <w:pPr>
              <w:pStyle w:val="TableText"/>
              <w:spacing w:before="120" w:line="220" w:lineRule="auto"/>
              <w:ind w:left="619"/>
              <w:rPr>
                <w:sz w:val="37"/>
                <w:szCs w:val="37"/>
              </w:rPr>
            </w:pPr>
            <w:r>
              <w:rPr>
                <w:spacing w:val="6"/>
                <w:sz w:val="37"/>
                <w:szCs w:val="37"/>
              </w:rPr>
              <w:t>标准高阻箱准确度(10-2)</w:t>
            </w:r>
          </w:p>
        </w:tc>
        <w:tc>
          <w:tcPr>
            <w:tcW w:w="2349" w:type="dxa"/>
            <w:vAlign w:val="top"/>
          </w:tcPr>
          <w:p>
            <w:pPr>
              <w:spacing w:line="390" w:lineRule="auto"/>
              <w:rPr>
                <w:rFonts w:ascii="Arial"/>
                <w:sz w:val="21"/>
              </w:rPr>
            </w:pPr>
          </w:p>
          <w:p>
            <w:pPr>
              <w:pStyle w:val="TableText"/>
              <w:spacing w:before="120" w:line="184" w:lineRule="auto"/>
              <w:ind w:left="887"/>
              <w:rPr>
                <w:sz w:val="37"/>
                <w:szCs w:val="37"/>
              </w:rPr>
            </w:pPr>
            <w:r>
              <w:rPr>
                <w:spacing w:val="-4"/>
                <w:sz w:val="37"/>
                <w:szCs w:val="37"/>
              </w:rPr>
              <w:t>0.2</w:t>
            </w:r>
          </w:p>
        </w:tc>
        <w:tc>
          <w:tcPr>
            <w:tcW w:w="2355" w:type="dxa"/>
            <w:vAlign w:val="top"/>
          </w:tcPr>
          <w:p>
            <w:pPr>
              <w:spacing w:line="390" w:lineRule="auto"/>
              <w:rPr>
                <w:rFonts w:ascii="Arial"/>
                <w:sz w:val="21"/>
              </w:rPr>
            </w:pPr>
          </w:p>
          <w:p>
            <w:pPr>
              <w:pStyle w:val="TableText"/>
              <w:spacing w:before="120" w:line="184" w:lineRule="auto"/>
              <w:ind w:left="895"/>
              <w:rPr>
                <w:sz w:val="37"/>
                <w:szCs w:val="37"/>
              </w:rPr>
            </w:pPr>
            <w:r>
              <w:rPr>
                <w:spacing w:val="-4"/>
                <w:sz w:val="37"/>
                <w:szCs w:val="37"/>
              </w:rPr>
              <w:t>0.5</w:t>
            </w:r>
          </w:p>
        </w:tc>
        <w:tc>
          <w:tcPr>
            <w:tcW w:w="2382" w:type="dxa"/>
            <w:vAlign w:val="top"/>
          </w:tcPr>
          <w:p>
            <w:pPr>
              <w:spacing w:line="390" w:lineRule="auto"/>
              <w:rPr>
                <w:rFonts w:ascii="Arial"/>
                <w:sz w:val="21"/>
              </w:rPr>
            </w:pPr>
          </w:p>
          <w:p>
            <w:pPr>
              <w:pStyle w:val="TableText"/>
              <w:spacing w:before="120" w:line="184" w:lineRule="auto"/>
              <w:ind w:left="910"/>
              <w:rPr>
                <w:sz w:val="37"/>
                <w:szCs w:val="37"/>
              </w:rPr>
            </w:pPr>
            <w:r>
              <w:rPr>
                <w:spacing w:val="-9"/>
                <w:sz w:val="37"/>
                <w:szCs w:val="37"/>
              </w:rPr>
              <w:t>1.0</w:t>
            </w:r>
          </w:p>
        </w:tc>
        <w:tc>
          <w:tcPr>
            <w:tcW w:w="2356" w:type="dxa"/>
            <w:vAlign w:val="top"/>
          </w:tcPr>
          <w:p>
            <w:pPr>
              <w:spacing w:line="390" w:lineRule="auto"/>
              <w:rPr>
                <w:rFonts w:ascii="Arial"/>
                <w:sz w:val="21"/>
              </w:rPr>
            </w:pPr>
          </w:p>
          <w:p>
            <w:pPr>
              <w:pStyle w:val="TableText"/>
              <w:spacing w:before="120" w:line="184" w:lineRule="auto"/>
              <w:ind w:left="897"/>
              <w:rPr>
                <w:sz w:val="37"/>
                <w:szCs w:val="37"/>
              </w:rPr>
            </w:pPr>
            <w:r>
              <w:rPr>
                <w:spacing w:val="-4"/>
                <w:sz w:val="37"/>
                <w:szCs w:val="37"/>
              </w:rPr>
              <w:t>2.0</w:t>
            </w:r>
          </w:p>
        </w:tc>
        <w:tc>
          <w:tcPr>
            <w:tcW w:w="2420" w:type="dxa"/>
            <w:vAlign w:val="top"/>
          </w:tcPr>
          <w:p>
            <w:pPr>
              <w:spacing w:line="390" w:lineRule="auto"/>
              <w:rPr>
                <w:rFonts w:ascii="Arial"/>
                <w:sz w:val="21"/>
              </w:rPr>
            </w:pPr>
          </w:p>
          <w:p>
            <w:pPr>
              <w:pStyle w:val="TableText"/>
              <w:spacing w:before="120" w:line="184" w:lineRule="auto"/>
              <w:ind w:left="925"/>
              <w:rPr>
                <w:sz w:val="37"/>
                <w:szCs w:val="37"/>
              </w:rPr>
            </w:pPr>
            <w:r>
              <w:rPr>
                <w:spacing w:val="-5"/>
                <w:sz w:val="37"/>
                <w:szCs w:val="37"/>
              </w:rPr>
              <w:t>5.0</w:t>
            </w:r>
          </w:p>
        </w:tc>
      </w:tr>
    </w:tbl>
    <w:p>
      <w:pPr>
        <w:spacing w:line="262" w:lineRule="auto"/>
        <w:rPr>
          <w:rFonts w:ascii="Arial"/>
          <w:sz w:val="21"/>
        </w:rPr>
      </w:pPr>
    </w:p>
    <w:p>
      <w:pPr>
        <w:spacing w:line="262" w:lineRule="auto"/>
        <w:rPr>
          <w:rFonts w:ascii="Arial"/>
          <w:sz w:val="21"/>
        </w:rPr>
      </w:pPr>
    </w:p>
    <w:p>
      <w:pPr>
        <w:spacing w:line="263" w:lineRule="auto"/>
        <w:rPr>
          <w:rFonts w:ascii="Arial"/>
          <w:sz w:val="21"/>
        </w:rPr>
      </w:pPr>
    </w:p>
    <w:p>
      <w:pPr>
        <w:pStyle w:val="BodyText"/>
        <w:spacing w:before="140" w:line="258" w:lineRule="auto"/>
        <w:ind w:left="74" w:right="388" w:firstLine="6"/>
      </w:pPr>
      <w:r>
        <w:rPr>
          <w:b/>
          <w:bCs/>
          <w:spacing w:val="18"/>
        </w:rPr>
        <w:t>15.1.5</w:t>
      </w:r>
      <w:r>
        <w:rPr>
          <w:spacing w:val="18"/>
        </w:rPr>
        <w:t xml:space="preserve">  标准高压高阻箱的调节细度，应小于被检绝缘电阻表分度线指示值与</w:t>
      </w:r>
      <w:r>
        <w:rPr>
          <w:spacing w:val="-104"/>
        </w:rPr>
        <w:t xml:space="preserve"> </w:t>
      </w:r>
      <w:r>
        <w:rPr>
          <w:spacing w:val="18"/>
        </w:rPr>
        <w:t>a/2000</w:t>
      </w:r>
      <w:r>
        <w:t xml:space="preserve"> </w:t>
      </w:r>
      <w:r>
        <w:rPr>
          <w:spacing w:val="18"/>
        </w:rPr>
        <w:t xml:space="preserve">的乘积，其中 </w:t>
      </w:r>
      <w:r>
        <w:rPr>
          <w:rFonts w:ascii="Times New Roman" w:eastAsia="Times New Roman" w:hAnsi="Times New Roman" w:cs="Times New Roman"/>
          <w:spacing w:val="18"/>
        </w:rPr>
        <w:t>a</w:t>
      </w:r>
      <w:r>
        <w:rPr>
          <w:rFonts w:ascii="Times New Roman" w:eastAsia="Times New Roman" w:hAnsi="Times New Roman" w:cs="Times New Roman"/>
          <w:spacing w:val="61"/>
        </w:rPr>
        <w:t xml:space="preserve"> </w:t>
      </w:r>
      <w:r>
        <w:rPr>
          <w:spacing w:val="18"/>
        </w:rPr>
        <w:t>为被检绝缘电阻表准确度等级</w:t>
      </w:r>
      <w:r>
        <w:rPr>
          <w:spacing w:val="17"/>
        </w:rPr>
        <w:t>指数。</w:t>
      </w:r>
    </w:p>
    <w:p>
      <w:pPr>
        <w:pStyle w:val="BodyText"/>
        <w:spacing w:before="155" w:line="258" w:lineRule="auto"/>
        <w:ind w:left="74" w:right="65" w:firstLine="6"/>
      </w:pPr>
      <w:r>
        <w:rPr>
          <w:b/>
          <w:bCs/>
          <w:spacing w:val="19"/>
        </w:rPr>
        <w:t>15.1.6</w:t>
      </w:r>
      <w:r>
        <w:rPr>
          <w:spacing w:val="19"/>
        </w:rPr>
        <w:t xml:space="preserve">  标准高压高阻箱应有单独的泄漏屏蔽端钮和接地端钮。当用欧姆表对标</w:t>
      </w:r>
      <w:r>
        <w:rPr>
          <w:spacing w:val="18"/>
        </w:rPr>
        <w:t>准高压</w:t>
      </w:r>
      <w:r>
        <w:t xml:space="preserve"> </w:t>
      </w:r>
      <w:r>
        <w:rPr>
          <w:spacing w:val="18"/>
        </w:rPr>
        <w:t>高阻箱进行测量时，应无明显不稳定及短路或开路现象。</w:t>
      </w:r>
    </w:p>
    <w:p>
      <w:pPr>
        <w:pStyle w:val="BodyText"/>
        <w:spacing w:before="143" w:line="252" w:lineRule="auto"/>
        <w:ind w:left="74" w:right="33" w:firstLine="6"/>
      </w:pPr>
      <w:r>
        <w:rPr>
          <w:b/>
          <w:bCs/>
          <w:spacing w:val="20"/>
        </w:rPr>
        <w:t>15.1.7</w:t>
      </w:r>
      <w:r>
        <w:rPr>
          <w:spacing w:val="20"/>
        </w:rPr>
        <w:t xml:space="preserve">  绝缘电阻表进行基本误差检定时，其标准除采用</w:t>
      </w:r>
      <w:r>
        <w:rPr>
          <w:spacing w:val="19"/>
        </w:rPr>
        <w:t>标准高压高阻箱外，也可采用</w:t>
      </w:r>
      <w:r>
        <w:t xml:space="preserve"> </w:t>
      </w:r>
      <w:r>
        <w:rPr>
          <w:spacing w:val="18"/>
        </w:rPr>
        <w:t>满足检定基准条件要求的数值可变的或其它电阻器。</w:t>
      </w:r>
    </w:p>
    <w:p>
      <w:pPr>
        <w:pStyle w:val="BodyText"/>
        <w:spacing w:before="155" w:line="259" w:lineRule="auto"/>
        <w:ind w:left="74" w:right="80" w:firstLine="6"/>
      </w:pPr>
      <w:r>
        <w:rPr>
          <w:b/>
          <w:bCs/>
          <w:spacing w:val="34"/>
        </w:rPr>
        <w:t>15.1.8</w:t>
      </w:r>
      <w:r>
        <w:rPr>
          <w:spacing w:val="34"/>
        </w:rPr>
        <w:t xml:space="preserve">  标准高压高阻箱应在绝缘电阻表额定电压下检定，检定电压变化10%</w:t>
      </w:r>
      <w:r>
        <w:rPr>
          <w:spacing w:val="33"/>
        </w:rPr>
        <w:t>时，高</w:t>
      </w:r>
      <w:r>
        <w:t xml:space="preserve"> </w:t>
      </w:r>
      <w:r>
        <w:rPr>
          <w:spacing w:val="19"/>
        </w:rPr>
        <w:t>压高阻箱的附加误差不大于误差限值的1/10。</w:t>
      </w:r>
    </w:p>
    <w:p>
      <w:pPr>
        <w:pStyle w:val="BodyText"/>
        <w:spacing w:before="142" w:line="269" w:lineRule="auto"/>
        <w:ind w:left="74"/>
      </w:pPr>
      <w:r>
        <w:rPr>
          <w:spacing w:val="19"/>
        </w:rPr>
        <w:t>15.2</w:t>
      </w:r>
      <w:r>
        <w:rPr>
          <w:spacing w:val="79"/>
        </w:rPr>
        <w:t xml:space="preserve">  </w:t>
      </w:r>
      <w:r>
        <w:rPr>
          <w:spacing w:val="19"/>
        </w:rPr>
        <w:t>绝缘电阻表进行基本误差检定时，由标准高压高阻箱，检定辅助设备</w:t>
      </w:r>
      <w:r>
        <w:rPr>
          <w:spacing w:val="18"/>
        </w:rPr>
        <w:t>及环境条件</w:t>
      </w:r>
      <w:r>
        <w:rPr>
          <w:spacing w:val="1"/>
        </w:rPr>
        <w:t xml:space="preserve"> </w:t>
      </w:r>
      <w:r>
        <w:rPr>
          <w:spacing w:val="26"/>
        </w:rPr>
        <w:t>所引起的检定总不确定度，不应超过绝缘电阻表允许误差限值的1/3。测定基本误差应</w:t>
      </w:r>
      <w:r>
        <w:rPr>
          <w:spacing w:val="15"/>
        </w:rPr>
        <w:t xml:space="preserve"> </w:t>
      </w:r>
      <w:r>
        <w:rPr>
          <w:spacing w:val="31"/>
        </w:rPr>
        <w:t>在接入标准高压高阻箱条件下对每个带有数字的分度线一一进行检定(按图2接线)。</w:t>
      </w:r>
    </w:p>
    <w:p>
      <w:pPr>
        <w:spacing w:before="196" w:line="223" w:lineRule="auto"/>
        <w:ind w:left="74"/>
        <w:rPr>
          <w:rFonts w:ascii="SimHei" w:eastAsia="SimHei" w:hAnsi="SimHei" w:cs="SimHei"/>
          <w:sz w:val="43"/>
          <w:szCs w:val="43"/>
        </w:rPr>
      </w:pPr>
      <w:r>
        <w:rPr>
          <w:rFonts w:ascii="SimHei" w:eastAsia="SimHei" w:hAnsi="SimHei" w:cs="SimHei"/>
          <w:spacing w:val="1"/>
          <w:sz w:val="43"/>
          <w:szCs w:val="43"/>
        </w:rPr>
        <w:t>15.3</w:t>
      </w:r>
      <w:r>
        <w:rPr>
          <w:rFonts w:ascii="SimHei" w:eastAsia="SimHei" w:hAnsi="SimHei" w:cs="SimHei"/>
          <w:spacing w:val="23"/>
          <w:sz w:val="43"/>
          <w:szCs w:val="43"/>
        </w:rPr>
        <w:t xml:space="preserve">  </w:t>
      </w:r>
      <w:r>
        <w:rPr>
          <w:rFonts w:ascii="SimHei" w:eastAsia="SimHei" w:hAnsi="SimHei" w:cs="SimHei"/>
          <w:spacing w:val="1"/>
          <w:sz w:val="43"/>
          <w:szCs w:val="43"/>
        </w:rPr>
        <w:t>要求</w:t>
      </w:r>
    </w:p>
    <w:p>
      <w:pPr>
        <w:pStyle w:val="BodyText"/>
        <w:spacing w:before="112" w:line="220" w:lineRule="auto"/>
        <w:ind w:left="74"/>
      </w:pPr>
      <w:r>
        <w:rPr>
          <w:spacing w:val="23"/>
        </w:rPr>
        <w:t>标尺工作部分的所有分度线应满足表1要求。</w:t>
      </w:r>
    </w:p>
    <w:p>
      <w:pPr>
        <w:pStyle w:val="BodyText"/>
        <w:spacing w:before="200" w:line="220" w:lineRule="auto"/>
        <w:ind w:left="74"/>
      </w:pPr>
      <w:r>
        <w:rPr>
          <w:spacing w:val="3"/>
        </w:rPr>
        <w:t>15.4</w:t>
      </w:r>
      <w:r>
        <w:rPr>
          <w:spacing w:val="79"/>
        </w:rPr>
        <w:t xml:space="preserve">  </w:t>
      </w:r>
      <w:r>
        <w:rPr>
          <w:spacing w:val="3"/>
        </w:rPr>
        <w:t>误差计算</w:t>
      </w:r>
    </w:p>
    <w:p>
      <w:pPr>
        <w:pStyle w:val="BodyText"/>
        <w:spacing w:before="156" w:line="220" w:lineRule="auto"/>
        <w:ind w:left="74"/>
      </w:pPr>
      <w:r>
        <w:rPr>
          <w:spacing w:val="49"/>
        </w:rPr>
        <w:t>按公式(1)进行误差计算。</w:t>
      </w:r>
    </w:p>
    <w:p>
      <w:pPr>
        <w:pStyle w:val="BodyText"/>
        <w:spacing w:before="163" w:line="220" w:lineRule="auto"/>
        <w:ind w:left="74"/>
      </w:pPr>
      <w:r>
        <w:rPr>
          <w:spacing w:val="17"/>
        </w:rPr>
        <w:t>16  端钮电压及其稳定性测量</w:t>
      </w:r>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2" w:history="1">
        <w:r>
          <w:rPr>
            <w:rFonts w:ascii="SimSun" w:eastAsia="SimSun" w:hAnsi="SimSun" w:cs="SimSun"/>
            <w:b/>
            <w:bCs/>
            <w:noProof w:val="0"/>
            <w:snapToGrid/>
            <w:color w:val="0000EE"/>
            <w:kern w:val="0"/>
            <w:sz w:val="30"/>
            <w:szCs w:val="30"/>
            <w:u w:val="single" w:color="0000EE"/>
          </w:rPr>
          <w:t>https://d.book118.com/636011004045010043</w:t>
        </w:r>
      </w:hyperlink>
    </w:p>
    <w:p>
      <w:pPr>
        <w:pStyle w:val="BodyText"/>
        <w:spacing w:before="163" w:line="220" w:lineRule="auto"/>
        <w:ind w:left="74"/>
      </w:pPr>
    </w:p>
    <w:sectPr>
      <w:headerReference w:type="default" r:id="rId23"/>
      <w:footerReference w:type="default" r:id="rId24"/>
      <w:pgSz w:w="21566" w:h="31680"/>
      <w:pgMar w:top="3511" w:right="1831" w:bottom="2502" w:left="2423" w:header="2939" w:footer="2192" w:gutter="0"/>
      <w:pgNumType w:start="9"/>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8" w:lineRule="auto"/>
      <w:ind w:left="16521"/>
      <w:rPr>
        <w:sz w:val="26"/>
        <w:szCs w:val="26"/>
      </w:rPr>
    </w:pPr>
    <w:r>
      <w:rPr>
        <w:sz w:val="26"/>
        <w:szCs w:val="2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8" w:lineRule="auto"/>
      <w:ind w:left="16521"/>
      <w:rPr>
        <w:sz w:val="26"/>
        <w:szCs w:val="26"/>
      </w:rPr>
    </w:pPr>
    <w:r>
      <w:rPr>
        <w:sz w:val="26"/>
        <w:szCs w:val="26"/>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7" w:lineRule="auto"/>
      <w:ind w:left="607"/>
      <w:rPr>
        <w:sz w:val="31"/>
        <w:szCs w:val="31"/>
      </w:rPr>
    </w:pPr>
    <w:r>
      <w:rPr>
        <w:sz w:val="31"/>
        <w:szCs w:val="31"/>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7" w:lineRule="auto"/>
      <w:ind w:left="607"/>
      <w:rPr>
        <w:sz w:val="31"/>
        <w:szCs w:val="31"/>
      </w:rPr>
    </w:pPr>
    <w:r>
      <w:rPr>
        <w:sz w:val="31"/>
        <w:szCs w:val="31"/>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 w:line="179" w:lineRule="auto"/>
      <w:ind w:left="16562"/>
      <w:rPr>
        <w:sz w:val="29"/>
        <w:szCs w:val="29"/>
      </w:rPr>
    </w:pPr>
    <w:r>
      <w:rPr>
        <w:sz w:val="29"/>
        <w:szCs w:val="29"/>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 w:line="179" w:lineRule="auto"/>
      <w:ind w:left="16562"/>
      <w:rPr>
        <w:sz w:val="29"/>
        <w:szCs w:val="29"/>
      </w:rPr>
    </w:pPr>
    <w:r>
      <w:rPr>
        <w:sz w:val="29"/>
        <w:szCs w:val="29"/>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 w:line="176" w:lineRule="auto"/>
      <w:ind w:left="607"/>
      <w:rPr>
        <w:sz w:val="29"/>
        <w:szCs w:val="29"/>
      </w:rPr>
    </w:pPr>
    <w:r>
      <w:rPr>
        <w:sz w:val="29"/>
        <w:szCs w:val="29"/>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 w:line="176" w:lineRule="auto"/>
      <w:ind w:left="607"/>
      <w:rPr>
        <w:sz w:val="29"/>
        <w:szCs w:val="29"/>
      </w:rPr>
    </w:pPr>
    <w:r>
      <w:rPr>
        <w:sz w:val="29"/>
        <w:szCs w:val="29"/>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 w:line="178" w:lineRule="auto"/>
      <w:ind w:left="16629"/>
      <w:rPr>
        <w:sz w:val="31"/>
        <w:szCs w:val="31"/>
      </w:rPr>
    </w:pPr>
    <w:r>
      <w:rPr>
        <w:sz w:val="31"/>
        <w:szCs w:val="31"/>
      </w:rPr>
      <w:t>5</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0" w:lineRule="auto"/>
      <w:ind w:left="7359"/>
      <w:rPr>
        <w:rFonts w:ascii="Times New Roman" w:eastAsia="Times New Roman" w:hAnsi="Times New Roman" w:cs="Times New Roman"/>
        <w:sz w:val="30"/>
        <w:szCs w:val="30"/>
      </w:rPr>
    </w:pPr>
    <w:r>
      <w:rPr>
        <w:rFonts w:ascii="Times New Roman" w:eastAsia="Times New Roman" w:hAnsi="Times New Roman" w:cs="Times New Roman"/>
        <w:sz w:val="30"/>
        <w:szCs w:val="30"/>
      </w:rPr>
      <w:t>JJG          622—1997</w:t>
    </w:r>
  </w:p>
  <w:p>
    <w:pPr>
      <w:spacing w:before="155" w:line="10" w:lineRule="exact"/>
    </w:pPr>
    <w:r>
      <w:drawing>
        <wp:inline distT="0" distB="0" distL="0" distR="0">
          <wp:extent cx="10975880" cy="652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
                  <a:stretch>
                    <a:fillRect/>
                  </a:stretch>
                </pic:blipFill>
                <pic:spPr>
                  <a:xfrm>
                    <a:off x="0" y="0"/>
                    <a:ext cx="10975880" cy="652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0" w:lineRule="auto"/>
      <w:ind w:left="7359"/>
      <w:rPr>
        <w:rFonts w:ascii="Times New Roman" w:eastAsia="Times New Roman" w:hAnsi="Times New Roman" w:cs="Times New Roman"/>
        <w:sz w:val="30"/>
        <w:szCs w:val="30"/>
      </w:rPr>
    </w:pPr>
    <w:r>
      <w:rPr>
        <w:rFonts w:ascii="Times New Roman" w:eastAsia="Times New Roman" w:hAnsi="Times New Roman" w:cs="Times New Roman"/>
        <w:sz w:val="30"/>
        <w:szCs w:val="30"/>
      </w:rPr>
      <w:t>JJG          622—1997</w:t>
    </w:r>
  </w:p>
  <w:p>
    <w:pPr>
      <w:spacing w:before="155" w:line="10" w:lineRule="exact"/>
    </w:pPr>
    <w:r>
      <w:drawing>
        <wp:inline distT="0" distB="0" distL="0" distR="0">
          <wp:extent cx="10975880" cy="6525"/>
          <wp:effectExtent l="0" t="0" r="0" b="0"/>
          <wp:docPr id="799724968" name="IM 2"/>
          <wp:cNvGraphicFramePr/>
          <a:graphic xmlns:a="http://schemas.openxmlformats.org/drawingml/2006/main">
            <a:graphicData uri="http://schemas.openxmlformats.org/drawingml/2006/picture">
              <pic:pic xmlns:pic="http://schemas.openxmlformats.org/drawingml/2006/picture">
                <pic:nvPicPr>
                  <pic:cNvPr id="799724968" name="IM 2"/>
                  <pic:cNvPicPr/>
                </pic:nvPicPr>
                <pic:blipFill>
                  <a:blip xmlns:r="http://schemas.openxmlformats.org/officeDocument/2006/relationships" r:embed="rId1"/>
                  <a:stretch>
                    <a:fillRect/>
                  </a:stretch>
                </pic:blipFill>
                <pic:spPr>
                  <a:xfrm>
                    <a:off x="0" y="0"/>
                    <a:ext cx="10975880" cy="65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 w:line="183" w:lineRule="auto"/>
      <w:ind w:left="7343"/>
      <w:rPr>
        <w:sz w:val="31"/>
        <w:szCs w:val="31"/>
      </w:rPr>
    </w:pPr>
    <w:r>
      <w:rPr>
        <w:b/>
        <w:bCs/>
        <w:spacing w:val="-6"/>
        <w:sz w:val="31"/>
        <w:szCs w:val="31"/>
      </w:rPr>
      <w:t>JJG</w:t>
    </w:r>
    <w:r>
      <w:rPr>
        <w:spacing w:val="22"/>
        <w:sz w:val="31"/>
        <w:szCs w:val="31"/>
      </w:rPr>
      <w:t xml:space="preserve">     </w:t>
    </w:r>
    <w:r>
      <w:rPr>
        <w:b/>
        <w:bCs/>
        <w:spacing w:val="-6"/>
        <w:sz w:val="31"/>
        <w:szCs w:val="31"/>
      </w:rPr>
      <w:t>622-1997</w:t>
    </w:r>
  </w:p>
  <w:p>
    <w:pPr>
      <w:spacing w:before="177" w:line="11" w:lineRule="exact"/>
    </w:pPr>
    <w:r>
      <w:drawing>
        <wp:inline distT="0" distB="0" distL="0" distR="0">
          <wp:extent cx="10963006" cy="6523"/>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
                  <a:stretch>
                    <a:fillRect/>
                  </a:stretch>
                </pic:blipFill>
                <pic:spPr>
                  <a:xfrm>
                    <a:off x="0" y="0"/>
                    <a:ext cx="10963006" cy="6523"/>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 w:line="183" w:lineRule="auto"/>
      <w:ind w:left="7343"/>
      <w:rPr>
        <w:sz w:val="31"/>
        <w:szCs w:val="31"/>
      </w:rPr>
    </w:pPr>
    <w:r>
      <w:rPr>
        <w:b/>
        <w:bCs/>
        <w:spacing w:val="-6"/>
        <w:sz w:val="31"/>
        <w:szCs w:val="31"/>
      </w:rPr>
      <w:t>JJG</w:t>
    </w:r>
    <w:r>
      <w:rPr>
        <w:spacing w:val="22"/>
        <w:sz w:val="31"/>
        <w:szCs w:val="31"/>
      </w:rPr>
      <w:t xml:space="preserve">     </w:t>
    </w:r>
    <w:r>
      <w:rPr>
        <w:b/>
        <w:bCs/>
        <w:spacing w:val="-6"/>
        <w:sz w:val="31"/>
        <w:szCs w:val="31"/>
      </w:rPr>
      <w:t>622-1997</w:t>
    </w:r>
  </w:p>
  <w:p>
    <w:pPr>
      <w:spacing w:before="177" w:line="11" w:lineRule="exact"/>
    </w:pPr>
    <w:r>
      <w:drawing>
        <wp:inline distT="0" distB="0" distL="0" distR="0">
          <wp:extent cx="10963006" cy="6523"/>
          <wp:effectExtent l="0" t="0" r="0" b="0"/>
          <wp:docPr id="108806319" name="IM 6"/>
          <wp:cNvGraphicFramePr/>
          <a:graphic xmlns:a="http://schemas.openxmlformats.org/drawingml/2006/main">
            <a:graphicData uri="http://schemas.openxmlformats.org/drawingml/2006/picture">
              <pic:pic xmlns:pic="http://schemas.openxmlformats.org/drawingml/2006/picture">
                <pic:nvPicPr>
                  <pic:cNvPr id="108806319" name="IM 6"/>
                  <pic:cNvPicPr/>
                </pic:nvPicPr>
                <pic:blipFill>
                  <a:blip xmlns:r="http://schemas.openxmlformats.org/officeDocument/2006/relationships" r:embed="rId1"/>
                  <a:stretch>
                    <a:fillRect/>
                  </a:stretch>
                </pic:blipFill>
                <pic:spPr>
                  <a:xfrm>
                    <a:off x="0" y="0"/>
                    <a:ext cx="10963006" cy="6523"/>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84" w:lineRule="auto"/>
      <w:ind w:left="7368"/>
      <w:rPr>
        <w:sz w:val="39"/>
        <w:szCs w:val="39"/>
      </w:rPr>
    </w:pPr>
    <w:r>
      <w:rPr>
        <w:b/>
        <w:bCs/>
        <w:spacing w:val="-7"/>
        <w:sz w:val="39"/>
        <w:szCs w:val="39"/>
      </w:rPr>
      <w:t>JJG</w:t>
    </w:r>
    <w:r>
      <w:rPr>
        <w:spacing w:val="47"/>
        <w:sz w:val="39"/>
        <w:szCs w:val="39"/>
      </w:rPr>
      <w:t xml:space="preserve"> </w:t>
    </w:r>
    <w:r>
      <w:rPr>
        <w:b/>
        <w:bCs/>
        <w:spacing w:val="-7"/>
        <w:sz w:val="39"/>
        <w:szCs w:val="39"/>
      </w:rPr>
      <w:t>622—1997</w:t>
    </w:r>
  </w:p>
  <w:p>
    <w:pPr>
      <w:spacing w:before="144" w:line="10" w:lineRule="exact"/>
    </w:pPr>
    <w:r>
      <w:drawing>
        <wp:inline distT="0" distB="0" distL="0" distR="0">
          <wp:extent cx="10976332" cy="6523"/>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
                  <a:stretch>
                    <a:fillRect/>
                  </a:stretch>
                </pic:blipFill>
                <pic:spPr>
                  <a:xfrm>
                    <a:off x="0" y="0"/>
                    <a:ext cx="10976332" cy="6523"/>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84" w:lineRule="auto"/>
      <w:ind w:left="7368"/>
      <w:rPr>
        <w:sz w:val="39"/>
        <w:szCs w:val="39"/>
      </w:rPr>
    </w:pPr>
    <w:r>
      <w:rPr>
        <w:b/>
        <w:bCs/>
        <w:spacing w:val="-7"/>
        <w:sz w:val="39"/>
        <w:szCs w:val="39"/>
      </w:rPr>
      <w:t>JJG</w:t>
    </w:r>
    <w:r>
      <w:rPr>
        <w:spacing w:val="47"/>
        <w:sz w:val="39"/>
        <w:szCs w:val="39"/>
      </w:rPr>
      <w:t xml:space="preserve"> </w:t>
    </w:r>
    <w:r>
      <w:rPr>
        <w:b/>
        <w:bCs/>
        <w:spacing w:val="-7"/>
        <w:sz w:val="39"/>
        <w:szCs w:val="39"/>
      </w:rPr>
      <w:t>622—1997</w:t>
    </w:r>
  </w:p>
  <w:p>
    <w:pPr>
      <w:spacing w:before="144" w:line="10" w:lineRule="exact"/>
    </w:pPr>
    <w:r>
      <w:drawing>
        <wp:inline distT="0" distB="0" distL="0" distR="0">
          <wp:extent cx="10976332" cy="6523"/>
          <wp:effectExtent l="0" t="0" r="0" b="0"/>
          <wp:docPr id="320759705" name="IM 10"/>
          <wp:cNvGraphicFramePr/>
          <a:graphic xmlns:a="http://schemas.openxmlformats.org/drawingml/2006/main">
            <a:graphicData uri="http://schemas.openxmlformats.org/drawingml/2006/picture">
              <pic:pic xmlns:pic="http://schemas.openxmlformats.org/drawingml/2006/picture">
                <pic:nvPicPr>
                  <pic:cNvPr id="320759705" name="IM 10"/>
                  <pic:cNvPicPr/>
                </pic:nvPicPr>
                <pic:blipFill>
                  <a:blip xmlns:r="http://schemas.openxmlformats.org/officeDocument/2006/relationships" r:embed="rId1"/>
                  <a:stretch>
                    <a:fillRect/>
                  </a:stretch>
                </pic:blipFill>
                <pic:spPr>
                  <a:xfrm>
                    <a:off x="0" y="0"/>
                    <a:ext cx="10976332" cy="6523"/>
                  </a:xfrm>
                  <a:prstGeom prst="rect">
                    <a:avLst/>
                  </a:prstGeom>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84" w:lineRule="auto"/>
      <w:ind w:left="7395"/>
      <w:rPr>
        <w:sz w:val="37"/>
        <w:szCs w:val="37"/>
      </w:rPr>
    </w:pPr>
    <w:r>
      <w:rPr>
        <w:b/>
        <w:bCs/>
        <w:spacing w:val="-6"/>
        <w:sz w:val="37"/>
        <w:szCs w:val="37"/>
      </w:rPr>
      <w:t>JJG</w:t>
    </w:r>
    <w:r>
      <w:rPr>
        <w:spacing w:val="175"/>
        <w:sz w:val="37"/>
        <w:szCs w:val="37"/>
      </w:rPr>
      <w:t xml:space="preserve"> </w:t>
    </w:r>
    <w:r>
      <w:rPr>
        <w:b/>
        <w:bCs/>
        <w:spacing w:val="-6"/>
        <w:sz w:val="37"/>
        <w:szCs w:val="37"/>
      </w:rPr>
      <w:t>622—1997</w:t>
    </w:r>
  </w:p>
  <w:p>
    <w:pPr>
      <w:spacing w:before="147" w:line="10" w:lineRule="exact"/>
    </w:pPr>
    <w:r>
      <w:drawing>
        <wp:inline distT="0" distB="0" distL="0" distR="0">
          <wp:extent cx="11023487" cy="6523"/>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
                  <a:stretch>
                    <a:fillRect/>
                  </a:stretch>
                </pic:blipFill>
                <pic:spPr>
                  <a:xfrm>
                    <a:off x="0" y="0"/>
                    <a:ext cx="11023487" cy="6523"/>
                  </a:xfrm>
                  <a:prstGeom prst="rect">
                    <a:avLst/>
                  </a:prstGeom>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84" w:lineRule="auto"/>
      <w:ind w:left="7395"/>
      <w:rPr>
        <w:sz w:val="37"/>
        <w:szCs w:val="37"/>
      </w:rPr>
    </w:pPr>
    <w:r>
      <w:rPr>
        <w:b/>
        <w:bCs/>
        <w:spacing w:val="-6"/>
        <w:sz w:val="37"/>
        <w:szCs w:val="37"/>
      </w:rPr>
      <w:t>JJG</w:t>
    </w:r>
    <w:r>
      <w:rPr>
        <w:spacing w:val="175"/>
        <w:sz w:val="37"/>
        <w:szCs w:val="37"/>
      </w:rPr>
      <w:t xml:space="preserve"> </w:t>
    </w:r>
    <w:r>
      <w:rPr>
        <w:b/>
        <w:bCs/>
        <w:spacing w:val="-6"/>
        <w:sz w:val="37"/>
        <w:szCs w:val="37"/>
      </w:rPr>
      <w:t>622—1997</w:t>
    </w:r>
  </w:p>
  <w:p>
    <w:pPr>
      <w:spacing w:before="147" w:line="10" w:lineRule="exact"/>
    </w:pPr>
    <w:r>
      <w:drawing>
        <wp:inline distT="0" distB="0" distL="0" distR="0">
          <wp:extent cx="11023487" cy="6523"/>
          <wp:effectExtent l="0" t="0" r="0" b="0"/>
          <wp:docPr id="1564382888" name="IM 12"/>
          <wp:cNvGraphicFramePr/>
          <a:graphic xmlns:a="http://schemas.openxmlformats.org/drawingml/2006/main">
            <a:graphicData uri="http://schemas.openxmlformats.org/drawingml/2006/picture">
              <pic:pic xmlns:pic="http://schemas.openxmlformats.org/drawingml/2006/picture">
                <pic:nvPicPr>
                  <pic:cNvPr id="1564382888" name="IM 12"/>
                  <pic:cNvPicPr/>
                </pic:nvPicPr>
                <pic:blipFill>
                  <a:blip xmlns:r="http://schemas.openxmlformats.org/officeDocument/2006/relationships" r:embed="rId1"/>
                  <a:stretch>
                    <a:fillRect/>
                  </a:stretch>
                </pic:blipFill>
                <pic:spPr>
                  <a:xfrm>
                    <a:off x="0" y="0"/>
                    <a:ext cx="11023487" cy="6523"/>
                  </a:xfrm>
                  <a:prstGeom prst="rect">
                    <a:avLst/>
                  </a:prstGeom>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1" w:line="185" w:lineRule="auto"/>
      <w:ind w:left="7358"/>
      <w:rPr>
        <w:sz w:val="40"/>
        <w:szCs w:val="40"/>
      </w:rPr>
    </w:pPr>
    <w:r>
      <w:rPr>
        <w:b/>
        <w:bCs/>
        <w:spacing w:val="-9"/>
        <w:sz w:val="40"/>
        <w:szCs w:val="40"/>
      </w:rPr>
      <w:t>JJG</w:t>
    </w:r>
    <w:r>
      <w:rPr>
        <w:spacing w:val="-9"/>
        <w:sz w:val="40"/>
        <w:szCs w:val="40"/>
      </w:rPr>
      <w:t xml:space="preserve"> </w:t>
    </w:r>
    <w:r>
      <w:rPr>
        <w:b/>
        <w:bCs/>
        <w:spacing w:val="-9"/>
        <w:sz w:val="40"/>
        <w:szCs w:val="40"/>
      </w:rPr>
      <w:t>622—1997</w:t>
    </w:r>
  </w:p>
  <w:p>
    <w:pPr>
      <w:spacing w:before="149" w:line="10" w:lineRule="exact"/>
    </w:pPr>
    <w:r>
      <w:drawing>
        <wp:inline distT="0" distB="0" distL="0" distR="0">
          <wp:extent cx="10937261" cy="6522"/>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
                  <a:stretch>
                    <a:fillRect/>
                  </a:stretch>
                </pic:blipFill>
                <pic:spPr>
                  <a:xfrm>
                    <a:off x="0" y="0"/>
                    <a:ext cx="10937261" cy="652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Sun" w:eastAsia="SimSun" w:hAnsi="SimSun" w:cs="SimSun"/>
      <w:sz w:val="43"/>
      <w:szCs w:val="43"/>
      <w:lang w:val="en-US" w:eastAsia="en-US" w:bidi="ar-SA"/>
    </w:rPr>
  </w:style>
  <w:style w:type="paragraph" w:customStyle="1" w:styleId="TableText">
    <w:name w:val="Table Text"/>
    <w:basedOn w:val="Normal"/>
    <w:semiHidden/>
    <w:qFormat/>
    <w:rPr>
      <w:rFonts w:ascii="SimSun" w:eastAsia="SimSun" w:hAnsi="SimSun" w:cs="SimSun"/>
      <w:sz w:val="30"/>
      <w:szCs w:val="3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yperlink" Target="https://d.book118.com/636011004045010043" TargetMode="Externa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image" Target="media/image3.jpeg" /></Relationships>
</file>

<file path=word/_rels/header1.xml.rels><?xml version="1.0" encoding="utf-8" standalone="yes"?><Relationships xmlns="http://schemas.openxmlformats.org/package/2006/relationships"><Relationship Id="rId1" Type="http://schemas.openxmlformats.org/officeDocument/2006/relationships/image" Target="media/image2.jpeg" /></Relationships>
</file>

<file path=word/_rels/header2.xml.rels><?xml version="1.0" encoding="utf-8" standalone="yes"?><Relationships xmlns="http://schemas.openxmlformats.org/package/2006/relationships"><Relationship Id="rId1" Type="http://schemas.openxmlformats.org/officeDocument/2006/relationships/image" Target="media/image2.jpeg" /></Relationships>
</file>

<file path=word/_rels/header3.xml.rels><?xml version="1.0" encoding="utf-8" standalone="yes"?><Relationships xmlns="http://schemas.openxmlformats.org/package/2006/relationships"><Relationship Id="rId1" Type="http://schemas.openxmlformats.org/officeDocument/2006/relationships/image" Target="media/image4.jpeg" /></Relationships>
</file>

<file path=word/_rels/header4.xml.rels><?xml version="1.0" encoding="utf-8" standalone="yes"?><Relationships xmlns="http://schemas.openxmlformats.org/package/2006/relationships"><Relationship Id="rId1" Type="http://schemas.openxmlformats.org/officeDocument/2006/relationships/image" Target="media/image4.jpeg" /></Relationships>
</file>

<file path=word/_rels/header5.xml.rels><?xml version="1.0" encoding="utf-8" standalone="yes"?><Relationships xmlns="http://schemas.openxmlformats.org/package/2006/relationships"><Relationship Id="rId1" Type="http://schemas.openxmlformats.org/officeDocument/2006/relationships/image" Target="media/image5.jpeg" /></Relationships>
</file>

<file path=word/_rels/header6.xml.rels><?xml version="1.0" encoding="utf-8" standalone="yes"?><Relationships xmlns="http://schemas.openxmlformats.org/package/2006/relationships"><Relationship Id="rId1" Type="http://schemas.openxmlformats.org/officeDocument/2006/relationships/image" Target="media/image5.jpeg" /></Relationships>
</file>

<file path=word/_rels/header7.xml.rels><?xml version="1.0" encoding="utf-8" standalone="yes"?><Relationships xmlns="http://schemas.openxmlformats.org/package/2006/relationships"><Relationship Id="rId1" Type="http://schemas.openxmlformats.org/officeDocument/2006/relationships/image" Target="media/image6.jpeg" /></Relationships>
</file>

<file path=word/_rels/header8.xml.rels><?xml version="1.0" encoding="utf-8" standalone="yes"?><Relationships xmlns="http://schemas.openxmlformats.org/package/2006/relationships"><Relationship Id="rId1" Type="http://schemas.openxmlformats.org/officeDocument/2006/relationships/image" Target="media/image6.jpeg" /></Relationships>
</file>

<file path=word/_rels/header9.xml.rels><?xml version="1.0" encoding="utf-8" standalone="yes"?><Relationships xmlns="http://schemas.openxmlformats.org/package/2006/relationships"><Relationship Id="rId1" Type="http://schemas.openxmlformats.org/officeDocument/2006/relationships/image" Target="media/image7.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2024-02-02T08:46:56Z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2024-02-02T08:46:58Z</vt:filetime>
  </property>
  <property fmtid="{D5CDD505-2E9C-101B-9397-08002B2CF9AE}" pid="3" name="CRO">
    <vt:lpwstr>wqlLaW5nc29mdCBQREYgdG8gV1BTIDkw</vt:lpwstr>
  </property>
  <property fmtid="{D5CDD505-2E9C-101B-9397-08002B2CF9AE}" pid="4" name="UsrData">
    <vt:lpwstr>65bc3b79e4703b002076ca0dwl</vt:lpwstr>
  </property>
</Properties>
</file>