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生物农药及微生物农药项目规划设计方案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35" w:history="1">
        <w:r>
          <w:rPr>
            <w:rFonts w:ascii="仿宋" w:eastAsia="仿宋" w:hAnsi="仿宋" w:cs="仿宋" w:hint="eastAsia"/>
            <w:lang w:eastAsia="zh-CN"/>
          </w:rPr>
          <w:t>前言</w:t>
        </w:r>
        <w:r>
          <w:tab/>
        </w:r>
        <w:r>
          <w:fldChar w:fldCharType="begin"/>
        </w:r>
        <w:r>
          <w:instrText xml:space="preserve"> PAGEREF _Toc4235 \h </w:instrText>
        </w:r>
        <w:r>
          <w:fldChar w:fldCharType="separate"/>
        </w:r>
        <w:r>
          <w:t>3</w:t>
        </w:r>
        <w:r>
          <w:fldChar w:fldCharType="end"/>
        </w:r>
      </w:hyperlink>
    </w:p>
    <w:p>
      <w:pPr>
        <w:pStyle w:val="TOC1"/>
        <w:tabs>
          <w:tab w:val="right" w:leader="dot" w:pos="8306"/>
        </w:tabs>
      </w:pPr>
      <w:hyperlink w:anchor="_Toc10073" w:history="1">
        <w:r>
          <w:rPr>
            <w:rFonts w:ascii="仿宋" w:eastAsia="仿宋" w:hAnsi="仿宋" w:cs="仿宋" w:hint="eastAsia"/>
            <w:lang w:eastAsia="zh-CN"/>
          </w:rPr>
          <w:t>一、生物农药及微生物农药项目建设单位说明</w:t>
        </w:r>
        <w:r>
          <w:tab/>
        </w:r>
        <w:r>
          <w:fldChar w:fldCharType="begin"/>
        </w:r>
        <w:r>
          <w:instrText xml:space="preserve"> PAGEREF _Toc10073 \h </w:instrText>
        </w:r>
        <w:r>
          <w:fldChar w:fldCharType="separate"/>
        </w:r>
        <w:r>
          <w:t>3</w:t>
        </w:r>
        <w:r>
          <w:fldChar w:fldCharType="end"/>
        </w:r>
      </w:hyperlink>
    </w:p>
    <w:p>
      <w:pPr>
        <w:pStyle w:val="TOC2"/>
        <w:tabs>
          <w:tab w:val="right" w:leader="dot" w:pos="8306"/>
        </w:tabs>
      </w:pPr>
      <w:hyperlink w:anchor="_Toc18833" w:history="1">
        <w:r>
          <w:rPr>
            <w:rFonts w:ascii="仿宋" w:eastAsia="仿宋" w:hAnsi="仿宋" w:cs="仿宋" w:hint="eastAsia"/>
            <w:lang w:eastAsia="zh-CN"/>
          </w:rPr>
          <w:t>(一)、生物农药及微生物农药项目承办单位基本情况</w:t>
        </w:r>
        <w:r>
          <w:tab/>
        </w:r>
        <w:r>
          <w:fldChar w:fldCharType="begin"/>
        </w:r>
        <w:r>
          <w:instrText xml:space="preserve"> PAGEREF _Toc18833 \h </w:instrText>
        </w:r>
        <w:r>
          <w:fldChar w:fldCharType="separate"/>
        </w:r>
        <w:r>
          <w:t>3</w:t>
        </w:r>
        <w:r>
          <w:fldChar w:fldCharType="end"/>
        </w:r>
      </w:hyperlink>
    </w:p>
    <w:p>
      <w:pPr>
        <w:pStyle w:val="TOC2"/>
        <w:tabs>
          <w:tab w:val="right" w:leader="dot" w:pos="8306"/>
        </w:tabs>
      </w:pPr>
      <w:hyperlink w:anchor="_Toc27445" w:history="1">
        <w:r>
          <w:rPr>
            <w:rFonts w:ascii="仿宋" w:eastAsia="仿宋" w:hAnsi="仿宋" w:cs="仿宋" w:hint="eastAsia"/>
            <w:lang w:eastAsia="zh-CN"/>
          </w:rPr>
          <w:t>(二)、公司经济效益分析</w:t>
        </w:r>
        <w:r>
          <w:tab/>
        </w:r>
        <w:r>
          <w:fldChar w:fldCharType="begin"/>
        </w:r>
        <w:r>
          <w:instrText xml:space="preserve"> PAGEREF _Toc27445 \h </w:instrText>
        </w:r>
        <w:r>
          <w:fldChar w:fldCharType="separate"/>
        </w:r>
        <w:r>
          <w:t>4</w:t>
        </w:r>
        <w:r>
          <w:fldChar w:fldCharType="end"/>
        </w:r>
      </w:hyperlink>
    </w:p>
    <w:p>
      <w:pPr>
        <w:pStyle w:val="TOC1"/>
        <w:tabs>
          <w:tab w:val="right" w:leader="dot" w:pos="8306"/>
        </w:tabs>
      </w:pPr>
      <w:hyperlink w:anchor="_Toc30932" w:history="1">
        <w:r>
          <w:rPr>
            <w:rFonts w:ascii="仿宋" w:eastAsia="仿宋" w:hAnsi="仿宋" w:cs="仿宋" w:hint="eastAsia"/>
            <w:lang w:eastAsia="zh-CN"/>
          </w:rPr>
          <w:t>二、生物农药及微生物农药项目绩效评估</w:t>
        </w:r>
        <w:r>
          <w:tab/>
        </w:r>
        <w:r>
          <w:fldChar w:fldCharType="begin"/>
        </w:r>
        <w:r>
          <w:instrText xml:space="preserve"> PAGEREF _Toc30932 \h </w:instrText>
        </w:r>
        <w:r>
          <w:fldChar w:fldCharType="separate"/>
        </w:r>
        <w:r>
          <w:t>5</w:t>
        </w:r>
        <w:r>
          <w:fldChar w:fldCharType="end"/>
        </w:r>
      </w:hyperlink>
    </w:p>
    <w:p>
      <w:pPr>
        <w:pStyle w:val="TOC2"/>
        <w:tabs>
          <w:tab w:val="right" w:leader="dot" w:pos="8306"/>
        </w:tabs>
      </w:pPr>
      <w:hyperlink w:anchor="_Toc5634" w:history="1">
        <w:r>
          <w:rPr>
            <w:rFonts w:ascii="仿宋" w:eastAsia="仿宋" w:hAnsi="仿宋" w:cs="仿宋" w:hint="eastAsia"/>
            <w:lang w:eastAsia="zh-CN"/>
          </w:rPr>
          <w:t>(一)、绩效评估指标</w:t>
        </w:r>
        <w:r>
          <w:tab/>
        </w:r>
        <w:r>
          <w:fldChar w:fldCharType="begin"/>
        </w:r>
        <w:r>
          <w:instrText xml:space="preserve"> PAGEREF _Toc5634 \h </w:instrText>
        </w:r>
        <w:r>
          <w:fldChar w:fldCharType="separate"/>
        </w:r>
        <w:r>
          <w:t>5</w:t>
        </w:r>
        <w:r>
          <w:fldChar w:fldCharType="end"/>
        </w:r>
      </w:hyperlink>
    </w:p>
    <w:p>
      <w:pPr>
        <w:pStyle w:val="TOC2"/>
        <w:tabs>
          <w:tab w:val="right" w:leader="dot" w:pos="8306"/>
        </w:tabs>
      </w:pPr>
      <w:hyperlink w:anchor="_Toc21314" w:history="1">
        <w:r>
          <w:rPr>
            <w:rFonts w:ascii="仿宋" w:eastAsia="仿宋" w:hAnsi="仿宋" w:cs="仿宋" w:hint="eastAsia"/>
            <w:lang w:eastAsia="zh-CN"/>
          </w:rPr>
          <w:t>(二)、绩效评估方法</w:t>
        </w:r>
        <w:r>
          <w:tab/>
        </w:r>
        <w:r>
          <w:fldChar w:fldCharType="begin"/>
        </w:r>
        <w:r>
          <w:instrText xml:space="preserve"> PAGEREF _Toc21314 \h </w:instrText>
        </w:r>
        <w:r>
          <w:fldChar w:fldCharType="separate"/>
        </w:r>
        <w:r>
          <w:t>6</w:t>
        </w:r>
        <w:r>
          <w:fldChar w:fldCharType="end"/>
        </w:r>
      </w:hyperlink>
    </w:p>
    <w:p>
      <w:pPr>
        <w:pStyle w:val="TOC2"/>
        <w:tabs>
          <w:tab w:val="right" w:leader="dot" w:pos="8306"/>
        </w:tabs>
      </w:pPr>
      <w:hyperlink w:anchor="_Toc26711" w:history="1">
        <w:r>
          <w:rPr>
            <w:rFonts w:ascii="仿宋" w:eastAsia="仿宋" w:hAnsi="仿宋" w:cs="仿宋" w:hint="eastAsia"/>
            <w:lang w:eastAsia="zh-CN"/>
          </w:rPr>
          <w:t>(三)、绩效评估周期</w:t>
        </w:r>
        <w:r>
          <w:tab/>
        </w:r>
        <w:r>
          <w:fldChar w:fldCharType="begin"/>
        </w:r>
        <w:r>
          <w:instrText xml:space="preserve"> PAGEREF _Toc26711 \h </w:instrText>
        </w:r>
        <w:r>
          <w:fldChar w:fldCharType="separate"/>
        </w:r>
        <w:r>
          <w:t>7</w:t>
        </w:r>
        <w:r>
          <w:fldChar w:fldCharType="end"/>
        </w:r>
      </w:hyperlink>
    </w:p>
    <w:p>
      <w:pPr>
        <w:pStyle w:val="TOC1"/>
        <w:tabs>
          <w:tab w:val="right" w:leader="dot" w:pos="8306"/>
        </w:tabs>
      </w:pPr>
      <w:hyperlink w:anchor="_Toc24842" w:history="1">
        <w:r>
          <w:rPr>
            <w:rFonts w:ascii="仿宋" w:eastAsia="仿宋" w:hAnsi="仿宋" w:cs="仿宋" w:hint="eastAsia"/>
            <w:lang w:eastAsia="zh-CN"/>
          </w:rPr>
          <w:t>三、生物农药及微生物农药项目可持续发展</w:t>
        </w:r>
        <w:r>
          <w:tab/>
        </w:r>
        <w:r>
          <w:fldChar w:fldCharType="begin"/>
        </w:r>
        <w:r>
          <w:instrText xml:space="preserve"> PAGEREF _Toc24842 \h </w:instrText>
        </w:r>
        <w:r>
          <w:fldChar w:fldCharType="separate"/>
        </w:r>
        <w:r>
          <w:t>8</w:t>
        </w:r>
        <w:r>
          <w:fldChar w:fldCharType="end"/>
        </w:r>
      </w:hyperlink>
    </w:p>
    <w:p>
      <w:pPr>
        <w:pStyle w:val="TOC2"/>
        <w:tabs>
          <w:tab w:val="right" w:leader="dot" w:pos="8306"/>
        </w:tabs>
      </w:pPr>
      <w:hyperlink w:anchor="_Toc13259" w:history="1">
        <w:r>
          <w:rPr>
            <w:rFonts w:ascii="仿宋" w:eastAsia="仿宋" w:hAnsi="仿宋" w:cs="仿宋" w:hint="eastAsia"/>
            <w:lang w:eastAsia="zh-CN"/>
          </w:rPr>
          <w:t>(一)、可持续战略与实践</w:t>
        </w:r>
        <w:r>
          <w:tab/>
        </w:r>
        <w:r>
          <w:fldChar w:fldCharType="begin"/>
        </w:r>
        <w:r>
          <w:instrText xml:space="preserve"> PAGEREF _Toc13259 \h </w:instrText>
        </w:r>
        <w:r>
          <w:fldChar w:fldCharType="separate"/>
        </w:r>
        <w:r>
          <w:t>8</w:t>
        </w:r>
        <w:r>
          <w:fldChar w:fldCharType="end"/>
        </w:r>
      </w:hyperlink>
    </w:p>
    <w:p>
      <w:pPr>
        <w:pStyle w:val="TOC2"/>
        <w:tabs>
          <w:tab w:val="right" w:leader="dot" w:pos="8306"/>
        </w:tabs>
      </w:pPr>
      <w:hyperlink w:anchor="_Toc5862" w:history="1">
        <w:r>
          <w:rPr>
            <w:rFonts w:ascii="仿宋" w:eastAsia="仿宋" w:hAnsi="仿宋" w:cs="仿宋" w:hint="eastAsia"/>
            <w:lang w:eastAsia="zh-CN"/>
          </w:rPr>
          <w:t>(二)、环保与社会责任</w:t>
        </w:r>
        <w:r>
          <w:tab/>
        </w:r>
        <w:r>
          <w:fldChar w:fldCharType="begin"/>
        </w:r>
        <w:r>
          <w:instrText xml:space="preserve"> PAGEREF _Toc5862 \h </w:instrText>
        </w:r>
        <w:r>
          <w:fldChar w:fldCharType="separate"/>
        </w:r>
        <w:r>
          <w:t>9</w:t>
        </w:r>
        <w:r>
          <w:fldChar w:fldCharType="end"/>
        </w:r>
      </w:hyperlink>
    </w:p>
    <w:p>
      <w:pPr>
        <w:pStyle w:val="TOC1"/>
        <w:tabs>
          <w:tab w:val="right" w:leader="dot" w:pos="8306"/>
        </w:tabs>
      </w:pPr>
      <w:hyperlink w:anchor="_Toc26032" w:history="1">
        <w:r>
          <w:rPr>
            <w:rFonts w:ascii="仿宋" w:eastAsia="仿宋" w:hAnsi="仿宋" w:cs="仿宋" w:hint="eastAsia"/>
            <w:lang w:eastAsia="zh-CN"/>
          </w:rPr>
          <w:t>四、市场分析、调研</w:t>
        </w:r>
        <w:r>
          <w:tab/>
        </w:r>
        <w:r>
          <w:fldChar w:fldCharType="begin"/>
        </w:r>
        <w:r>
          <w:instrText xml:space="preserve"> PAGEREF _Toc26032 \h </w:instrText>
        </w:r>
        <w:r>
          <w:fldChar w:fldCharType="separate"/>
        </w:r>
        <w:r>
          <w:t>10</w:t>
        </w:r>
        <w:r>
          <w:fldChar w:fldCharType="end"/>
        </w:r>
      </w:hyperlink>
    </w:p>
    <w:p>
      <w:pPr>
        <w:pStyle w:val="TOC2"/>
        <w:tabs>
          <w:tab w:val="right" w:leader="dot" w:pos="8306"/>
        </w:tabs>
      </w:pPr>
      <w:hyperlink w:anchor="_Toc12918" w:history="1">
        <w:r>
          <w:rPr>
            <w:rFonts w:ascii="仿宋" w:eastAsia="仿宋" w:hAnsi="仿宋" w:cs="仿宋" w:hint="eastAsia"/>
            <w:lang w:eastAsia="zh-CN"/>
          </w:rPr>
          <w:t>(一)、生物农药及微生物农药行业分析</w:t>
        </w:r>
        <w:r>
          <w:tab/>
        </w:r>
        <w:r>
          <w:fldChar w:fldCharType="begin"/>
        </w:r>
        <w:r>
          <w:instrText xml:space="preserve"> PAGEREF _Toc12918 \h </w:instrText>
        </w:r>
        <w:r>
          <w:fldChar w:fldCharType="separate"/>
        </w:r>
        <w:r>
          <w:t>10</w:t>
        </w:r>
        <w:r>
          <w:fldChar w:fldCharType="end"/>
        </w:r>
      </w:hyperlink>
    </w:p>
    <w:p>
      <w:pPr>
        <w:pStyle w:val="TOC2"/>
        <w:tabs>
          <w:tab w:val="right" w:leader="dot" w:pos="8306"/>
        </w:tabs>
      </w:pPr>
      <w:hyperlink w:anchor="_Toc31850" w:history="1">
        <w:r>
          <w:rPr>
            <w:rFonts w:ascii="仿宋" w:eastAsia="仿宋" w:hAnsi="仿宋" w:cs="仿宋" w:hint="eastAsia"/>
            <w:lang w:eastAsia="zh-CN"/>
          </w:rPr>
          <w:t>(二)、生物农药及微生物农药市场分析预测</w:t>
        </w:r>
        <w:r>
          <w:tab/>
        </w:r>
        <w:r>
          <w:fldChar w:fldCharType="begin"/>
        </w:r>
        <w:r>
          <w:instrText xml:space="preserve"> PAGEREF _Toc31850 \h </w:instrText>
        </w:r>
        <w:r>
          <w:fldChar w:fldCharType="separate"/>
        </w:r>
        <w:r>
          <w:t>11</w:t>
        </w:r>
        <w:r>
          <w:fldChar w:fldCharType="end"/>
        </w:r>
      </w:hyperlink>
    </w:p>
    <w:p>
      <w:pPr>
        <w:pStyle w:val="TOC1"/>
        <w:tabs>
          <w:tab w:val="right" w:leader="dot" w:pos="8306"/>
        </w:tabs>
      </w:pPr>
      <w:hyperlink w:anchor="_Toc15017" w:history="1">
        <w:r>
          <w:rPr>
            <w:rFonts w:ascii="仿宋" w:eastAsia="仿宋" w:hAnsi="仿宋" w:cs="仿宋" w:hint="eastAsia"/>
            <w:lang w:eastAsia="zh-CN"/>
          </w:rPr>
          <w:t>五、生物农药及微生物农药项目土建工程</w:t>
        </w:r>
        <w:r>
          <w:tab/>
        </w:r>
        <w:r>
          <w:fldChar w:fldCharType="begin"/>
        </w:r>
        <w:r>
          <w:instrText xml:space="preserve"> PAGEREF _Toc15017 \h </w:instrText>
        </w:r>
        <w:r>
          <w:fldChar w:fldCharType="separate"/>
        </w:r>
        <w:r>
          <w:t>12</w:t>
        </w:r>
        <w:r>
          <w:fldChar w:fldCharType="end"/>
        </w:r>
      </w:hyperlink>
    </w:p>
    <w:p>
      <w:pPr>
        <w:pStyle w:val="TOC2"/>
        <w:tabs>
          <w:tab w:val="right" w:leader="dot" w:pos="8306"/>
        </w:tabs>
      </w:pPr>
      <w:hyperlink w:anchor="_Toc25798" w:history="1">
        <w:r>
          <w:rPr>
            <w:rFonts w:ascii="仿宋" w:eastAsia="仿宋" w:hAnsi="仿宋" w:cs="仿宋" w:hint="eastAsia"/>
            <w:lang w:eastAsia="zh-CN"/>
          </w:rPr>
          <w:t>(一)、建筑工程设计原则</w:t>
        </w:r>
        <w:r>
          <w:tab/>
        </w:r>
        <w:r>
          <w:fldChar w:fldCharType="begin"/>
        </w:r>
        <w:r>
          <w:instrText xml:space="preserve"> PAGEREF _Toc25798 \h </w:instrText>
        </w:r>
        <w:r>
          <w:fldChar w:fldCharType="separate"/>
        </w:r>
        <w:r>
          <w:t>12</w:t>
        </w:r>
        <w:r>
          <w:fldChar w:fldCharType="end"/>
        </w:r>
      </w:hyperlink>
    </w:p>
    <w:p>
      <w:pPr>
        <w:pStyle w:val="TOC2"/>
        <w:tabs>
          <w:tab w:val="right" w:leader="dot" w:pos="8306"/>
        </w:tabs>
      </w:pPr>
      <w:hyperlink w:anchor="_Toc19538" w:history="1">
        <w:r>
          <w:rPr>
            <w:rFonts w:ascii="仿宋" w:eastAsia="仿宋" w:hAnsi="仿宋" w:cs="仿宋" w:hint="eastAsia"/>
            <w:lang w:eastAsia="zh-CN"/>
          </w:rPr>
          <w:t>(二)、土建工程设计年限及安全等级</w:t>
        </w:r>
        <w:r>
          <w:tab/>
        </w:r>
        <w:r>
          <w:fldChar w:fldCharType="begin"/>
        </w:r>
        <w:r>
          <w:instrText xml:space="preserve"> PAGEREF _Toc19538 \h </w:instrText>
        </w:r>
        <w:r>
          <w:fldChar w:fldCharType="separate"/>
        </w:r>
        <w:r>
          <w:t>13</w:t>
        </w:r>
        <w:r>
          <w:fldChar w:fldCharType="end"/>
        </w:r>
      </w:hyperlink>
    </w:p>
    <w:p>
      <w:pPr>
        <w:pStyle w:val="TOC2"/>
        <w:tabs>
          <w:tab w:val="right" w:leader="dot" w:pos="8306"/>
        </w:tabs>
      </w:pPr>
      <w:hyperlink w:anchor="_Toc26299" w:history="1">
        <w:r>
          <w:rPr>
            <w:rFonts w:ascii="仿宋" w:eastAsia="仿宋" w:hAnsi="仿宋" w:cs="仿宋" w:hint="eastAsia"/>
            <w:lang w:eastAsia="zh-CN"/>
          </w:rPr>
          <w:t>(三)、建筑工程设计总体要求</w:t>
        </w:r>
        <w:r>
          <w:tab/>
        </w:r>
        <w:r>
          <w:fldChar w:fldCharType="begin"/>
        </w:r>
        <w:r>
          <w:instrText xml:space="preserve"> PAGEREF _Toc26299 \h </w:instrText>
        </w:r>
        <w:r>
          <w:fldChar w:fldCharType="separate"/>
        </w:r>
        <w:r>
          <w:t>14</w:t>
        </w:r>
        <w:r>
          <w:fldChar w:fldCharType="end"/>
        </w:r>
      </w:hyperlink>
    </w:p>
    <w:p>
      <w:pPr>
        <w:pStyle w:val="TOC2"/>
        <w:tabs>
          <w:tab w:val="right" w:leader="dot" w:pos="8306"/>
        </w:tabs>
      </w:pPr>
      <w:hyperlink w:anchor="_Toc23624" w:history="1">
        <w:r>
          <w:rPr>
            <w:rFonts w:ascii="仿宋" w:eastAsia="仿宋" w:hAnsi="仿宋" w:cs="仿宋" w:hint="eastAsia"/>
            <w:lang w:eastAsia="zh-CN"/>
          </w:rPr>
          <w:t>(四)、土建工程建设指标</w:t>
        </w:r>
        <w:r>
          <w:tab/>
        </w:r>
        <w:r>
          <w:fldChar w:fldCharType="begin"/>
        </w:r>
        <w:r>
          <w:instrText xml:space="preserve"> PAGEREF _Toc23624 \h </w:instrText>
        </w:r>
        <w:r>
          <w:fldChar w:fldCharType="separate"/>
        </w:r>
        <w:r>
          <w:t>15</w:t>
        </w:r>
        <w:r>
          <w:fldChar w:fldCharType="end"/>
        </w:r>
      </w:hyperlink>
    </w:p>
    <w:p>
      <w:pPr>
        <w:pStyle w:val="TOC1"/>
        <w:tabs>
          <w:tab w:val="right" w:leader="dot" w:pos="8306"/>
        </w:tabs>
      </w:pPr>
      <w:hyperlink w:anchor="_Toc17784" w:history="1">
        <w:r>
          <w:rPr>
            <w:rFonts w:ascii="仿宋" w:eastAsia="仿宋" w:hAnsi="仿宋" w:cs="仿宋" w:hint="eastAsia"/>
            <w:lang w:eastAsia="zh-CN"/>
          </w:rPr>
          <w:t>六、生物农药及微生物农药项目建设背景及必要性分析</w:t>
        </w:r>
        <w:r>
          <w:tab/>
        </w:r>
        <w:r>
          <w:fldChar w:fldCharType="begin"/>
        </w:r>
        <w:r>
          <w:instrText xml:space="preserve"> PAGEREF _Toc17784 \h </w:instrText>
        </w:r>
        <w:r>
          <w:fldChar w:fldCharType="separate"/>
        </w:r>
        <w:r>
          <w:t>15</w:t>
        </w:r>
        <w:r>
          <w:fldChar w:fldCharType="end"/>
        </w:r>
      </w:hyperlink>
    </w:p>
    <w:p>
      <w:pPr>
        <w:pStyle w:val="TOC2"/>
        <w:tabs>
          <w:tab w:val="right" w:leader="dot" w:pos="8306"/>
        </w:tabs>
      </w:pPr>
      <w:hyperlink w:anchor="_Toc9170" w:history="1">
        <w:r>
          <w:rPr>
            <w:rFonts w:ascii="仿宋" w:eastAsia="仿宋" w:hAnsi="仿宋" w:cs="仿宋" w:hint="eastAsia"/>
            <w:lang w:eastAsia="zh-CN"/>
          </w:rPr>
          <w:t>(一)、生物农药及微生物农药项目背景分析</w:t>
        </w:r>
        <w:r>
          <w:tab/>
        </w:r>
        <w:r>
          <w:fldChar w:fldCharType="begin"/>
        </w:r>
        <w:r>
          <w:instrText xml:space="preserve"> PAGEREF _Toc9170 \h </w:instrText>
        </w:r>
        <w:r>
          <w:fldChar w:fldCharType="separate"/>
        </w:r>
        <w:r>
          <w:t>15</w:t>
        </w:r>
        <w:r>
          <w:fldChar w:fldCharType="end"/>
        </w:r>
      </w:hyperlink>
    </w:p>
    <w:p>
      <w:pPr>
        <w:pStyle w:val="TOC2"/>
        <w:tabs>
          <w:tab w:val="right" w:leader="dot" w:pos="8306"/>
        </w:tabs>
      </w:pPr>
      <w:hyperlink w:anchor="_Toc5300" w:history="1">
        <w:r>
          <w:rPr>
            <w:rFonts w:ascii="仿宋" w:eastAsia="仿宋" w:hAnsi="仿宋" w:cs="仿宋" w:hint="eastAsia"/>
            <w:lang w:eastAsia="zh-CN"/>
          </w:rPr>
          <w:t>(二)、生物农药及微生物农药项目建设必要性分析</w:t>
        </w:r>
        <w:r>
          <w:tab/>
        </w:r>
        <w:r>
          <w:fldChar w:fldCharType="begin"/>
        </w:r>
        <w:r>
          <w:instrText xml:space="preserve"> PAGEREF _Toc5300 \h </w:instrText>
        </w:r>
        <w:r>
          <w:fldChar w:fldCharType="separate"/>
        </w:r>
        <w:r>
          <w:t>17</w:t>
        </w:r>
        <w:r>
          <w:fldChar w:fldCharType="end"/>
        </w:r>
      </w:hyperlink>
    </w:p>
    <w:p>
      <w:pPr>
        <w:pStyle w:val="TOC1"/>
        <w:tabs>
          <w:tab w:val="right" w:leader="dot" w:pos="8306"/>
        </w:tabs>
      </w:pPr>
      <w:hyperlink w:anchor="_Toc20781" w:history="1">
        <w:r>
          <w:rPr>
            <w:rFonts w:ascii="仿宋" w:eastAsia="仿宋" w:hAnsi="仿宋" w:cs="仿宋" w:hint="eastAsia"/>
            <w:lang w:eastAsia="zh-CN"/>
          </w:rPr>
          <w:t>七、生物农药及微生物农药项目人力资源培养与发展</w:t>
        </w:r>
        <w:r>
          <w:tab/>
        </w:r>
        <w:r>
          <w:fldChar w:fldCharType="begin"/>
        </w:r>
        <w:r>
          <w:instrText xml:space="preserve"> PAGEREF _Toc20781 \h </w:instrText>
        </w:r>
        <w:r>
          <w:fldChar w:fldCharType="separate"/>
        </w:r>
        <w:r>
          <w:t>18</w:t>
        </w:r>
        <w:r>
          <w:fldChar w:fldCharType="end"/>
        </w:r>
      </w:hyperlink>
    </w:p>
    <w:p>
      <w:pPr>
        <w:pStyle w:val="TOC2"/>
        <w:tabs>
          <w:tab w:val="right" w:leader="dot" w:pos="8306"/>
        </w:tabs>
      </w:pPr>
      <w:hyperlink w:anchor="_Toc5522" w:history="1">
        <w:r>
          <w:rPr>
            <w:rFonts w:ascii="仿宋" w:eastAsia="仿宋" w:hAnsi="仿宋" w:cs="仿宋" w:hint="eastAsia"/>
            <w:lang w:eastAsia="zh-CN"/>
          </w:rPr>
          <w:t>(一)、人才需求与规划</w:t>
        </w:r>
        <w:r>
          <w:tab/>
        </w:r>
        <w:r>
          <w:fldChar w:fldCharType="begin"/>
        </w:r>
        <w:r>
          <w:instrText xml:space="preserve"> PAGEREF _Toc5522 \h </w:instrText>
        </w:r>
        <w:r>
          <w:fldChar w:fldCharType="separate"/>
        </w:r>
        <w:r>
          <w:t>18</w:t>
        </w:r>
        <w:r>
          <w:fldChar w:fldCharType="end"/>
        </w:r>
      </w:hyperlink>
    </w:p>
    <w:p>
      <w:pPr>
        <w:pStyle w:val="TOC2"/>
        <w:tabs>
          <w:tab w:val="right" w:leader="dot" w:pos="8306"/>
        </w:tabs>
      </w:pPr>
      <w:hyperlink w:anchor="_Toc9573" w:history="1">
        <w:r>
          <w:rPr>
            <w:rFonts w:ascii="仿宋" w:eastAsia="仿宋" w:hAnsi="仿宋" w:cs="仿宋" w:hint="eastAsia"/>
            <w:lang w:eastAsia="zh-CN"/>
          </w:rPr>
          <w:t>(二)、培训与发展计划</w:t>
        </w:r>
        <w:r>
          <w:tab/>
        </w:r>
        <w:r>
          <w:fldChar w:fldCharType="begin"/>
        </w:r>
        <w:r>
          <w:instrText xml:space="preserve"> PAGEREF _Toc9573 \h </w:instrText>
        </w:r>
        <w:r>
          <w:fldChar w:fldCharType="separate"/>
        </w:r>
        <w:r>
          <w:t>19</w:t>
        </w:r>
        <w:r>
          <w:fldChar w:fldCharType="end"/>
        </w:r>
      </w:hyperlink>
    </w:p>
    <w:p>
      <w:pPr>
        <w:pStyle w:val="TOC1"/>
        <w:tabs>
          <w:tab w:val="right" w:leader="dot" w:pos="8306"/>
        </w:tabs>
      </w:pPr>
      <w:hyperlink w:anchor="_Toc16283" w:history="1">
        <w:r>
          <w:rPr>
            <w:rFonts w:ascii="仿宋" w:eastAsia="仿宋" w:hAnsi="仿宋" w:cs="仿宋" w:hint="eastAsia"/>
            <w:lang w:eastAsia="zh-CN"/>
          </w:rPr>
          <w:t>八、生物农药及微生物农药项目计划安排</w:t>
        </w:r>
        <w:r>
          <w:tab/>
        </w:r>
        <w:r>
          <w:fldChar w:fldCharType="begin"/>
        </w:r>
        <w:r>
          <w:instrText xml:space="preserve"> PAGEREF _Toc16283 \h </w:instrText>
        </w:r>
        <w:r>
          <w:fldChar w:fldCharType="separate"/>
        </w:r>
        <w:r>
          <w:t>19</w:t>
        </w:r>
        <w:r>
          <w:fldChar w:fldCharType="end"/>
        </w:r>
      </w:hyperlink>
    </w:p>
    <w:p>
      <w:pPr>
        <w:pStyle w:val="TOC2"/>
        <w:tabs>
          <w:tab w:val="right" w:leader="dot" w:pos="8306"/>
        </w:tabs>
      </w:pPr>
      <w:hyperlink w:anchor="_Toc12764" w:history="1">
        <w:r>
          <w:rPr>
            <w:rFonts w:ascii="仿宋" w:eastAsia="仿宋" w:hAnsi="仿宋" w:cs="仿宋" w:hint="eastAsia"/>
            <w:lang w:eastAsia="zh-CN"/>
          </w:rPr>
          <w:t>(一)、建设周期</w:t>
        </w:r>
        <w:r>
          <w:tab/>
        </w:r>
        <w:r>
          <w:fldChar w:fldCharType="begin"/>
        </w:r>
        <w:r>
          <w:instrText xml:space="preserve"> PAGEREF _Toc12764 \h </w:instrText>
        </w:r>
        <w:r>
          <w:fldChar w:fldCharType="separate"/>
        </w:r>
        <w:r>
          <w:t>19</w:t>
        </w:r>
        <w:r>
          <w:fldChar w:fldCharType="end"/>
        </w:r>
      </w:hyperlink>
    </w:p>
    <w:p>
      <w:pPr>
        <w:pStyle w:val="TOC2"/>
        <w:tabs>
          <w:tab w:val="right" w:leader="dot" w:pos="8306"/>
        </w:tabs>
      </w:pPr>
      <w:hyperlink w:anchor="_Toc32415" w:history="1">
        <w:r>
          <w:rPr>
            <w:rFonts w:ascii="仿宋" w:eastAsia="仿宋" w:hAnsi="仿宋" w:cs="仿宋" w:hint="eastAsia"/>
            <w:lang w:eastAsia="zh-CN"/>
          </w:rPr>
          <w:t>(二)、建设进度</w:t>
        </w:r>
        <w:r>
          <w:tab/>
        </w:r>
        <w:r>
          <w:fldChar w:fldCharType="begin"/>
        </w:r>
        <w:r>
          <w:instrText xml:space="preserve"> PAGEREF _Toc32415 \h </w:instrText>
        </w:r>
        <w:r>
          <w:fldChar w:fldCharType="separate"/>
        </w:r>
        <w:r>
          <w:t>20</w:t>
        </w:r>
        <w:r>
          <w:fldChar w:fldCharType="end"/>
        </w:r>
      </w:hyperlink>
    </w:p>
    <w:p>
      <w:pPr>
        <w:pStyle w:val="TOC2"/>
        <w:tabs>
          <w:tab w:val="right" w:leader="dot" w:pos="8306"/>
        </w:tabs>
      </w:pPr>
      <w:hyperlink w:anchor="_Toc15160" w:history="1">
        <w:r>
          <w:rPr>
            <w:rFonts w:ascii="仿宋" w:eastAsia="仿宋" w:hAnsi="仿宋" w:cs="仿宋" w:hint="eastAsia"/>
            <w:lang w:eastAsia="zh-CN"/>
          </w:rPr>
          <w:t>(三)、进度安排注意事项</w:t>
        </w:r>
        <w:r>
          <w:tab/>
        </w:r>
        <w:r>
          <w:fldChar w:fldCharType="begin"/>
        </w:r>
        <w:r>
          <w:instrText xml:space="preserve"> PAGEREF _Toc15160 \h </w:instrText>
        </w:r>
        <w:r>
          <w:fldChar w:fldCharType="separate"/>
        </w:r>
        <w:r>
          <w:t>21</w:t>
        </w:r>
        <w:r>
          <w:fldChar w:fldCharType="end"/>
        </w:r>
      </w:hyperlink>
    </w:p>
    <w:p>
      <w:pPr>
        <w:pStyle w:val="TOC2"/>
        <w:tabs>
          <w:tab w:val="right" w:leader="dot" w:pos="8306"/>
        </w:tabs>
      </w:pPr>
      <w:hyperlink w:anchor="_Toc13430" w:history="1">
        <w:r>
          <w:rPr>
            <w:rFonts w:ascii="仿宋" w:eastAsia="仿宋" w:hAnsi="仿宋" w:cs="仿宋" w:hint="eastAsia"/>
            <w:lang w:eastAsia="zh-CN"/>
          </w:rPr>
          <w:t>(四)、人力资源配置</w:t>
        </w:r>
        <w:r>
          <w:tab/>
        </w:r>
        <w:r>
          <w:fldChar w:fldCharType="begin"/>
        </w:r>
        <w:r>
          <w:instrText xml:space="preserve"> PAGEREF _Toc13430 \h </w:instrText>
        </w:r>
        <w:r>
          <w:fldChar w:fldCharType="separate"/>
        </w:r>
        <w:r>
          <w:t>23</w:t>
        </w:r>
        <w:r>
          <w:fldChar w:fldCharType="end"/>
        </w:r>
      </w:hyperlink>
    </w:p>
    <w:p>
      <w:pPr>
        <w:pStyle w:val="TOC1"/>
        <w:tabs>
          <w:tab w:val="right" w:leader="dot" w:pos="8306"/>
        </w:tabs>
      </w:pPr>
      <w:hyperlink w:anchor="_Toc13453" w:history="1">
        <w:r>
          <w:rPr>
            <w:rFonts w:ascii="仿宋" w:eastAsia="仿宋" w:hAnsi="仿宋" w:cs="仿宋" w:hint="eastAsia"/>
            <w:lang w:eastAsia="zh-CN"/>
          </w:rPr>
          <w:t>九、生物农药及微生物农药项目环境影响分析</w:t>
        </w:r>
        <w:r>
          <w:tab/>
        </w:r>
        <w:r>
          <w:fldChar w:fldCharType="begin"/>
        </w:r>
        <w:r>
          <w:instrText xml:space="preserve"> PAGEREF _Toc13453 \h </w:instrText>
        </w:r>
        <w:r>
          <w:fldChar w:fldCharType="separate"/>
        </w:r>
        <w:r>
          <w:t>24</w:t>
        </w:r>
        <w:r>
          <w:fldChar w:fldCharType="end"/>
        </w:r>
      </w:hyperlink>
    </w:p>
    <w:p>
      <w:pPr>
        <w:pStyle w:val="TOC2"/>
        <w:tabs>
          <w:tab w:val="right" w:leader="dot" w:pos="8306"/>
        </w:tabs>
      </w:pPr>
      <w:hyperlink w:anchor="_Toc17918" w:history="1">
        <w:r>
          <w:rPr>
            <w:rFonts w:ascii="仿宋" w:eastAsia="仿宋" w:hAnsi="仿宋" w:cs="仿宋" w:hint="eastAsia"/>
            <w:lang w:eastAsia="zh-CN"/>
          </w:rPr>
          <w:t>(一)、建设区域环境质量现状</w:t>
        </w:r>
        <w:r>
          <w:tab/>
        </w:r>
        <w:r>
          <w:fldChar w:fldCharType="begin"/>
        </w:r>
        <w:r>
          <w:instrText xml:space="preserve"> PAGEREF _Toc17918 \h </w:instrText>
        </w:r>
        <w:r>
          <w:fldChar w:fldCharType="separate"/>
        </w:r>
        <w:r>
          <w:t>24</w:t>
        </w:r>
        <w:r>
          <w:fldChar w:fldCharType="end"/>
        </w:r>
      </w:hyperlink>
    </w:p>
    <w:p>
      <w:pPr>
        <w:pStyle w:val="TOC2"/>
        <w:tabs>
          <w:tab w:val="right" w:leader="dot" w:pos="8306"/>
        </w:tabs>
      </w:pPr>
      <w:hyperlink w:anchor="_Toc7419" w:history="1">
        <w:r>
          <w:rPr>
            <w:rFonts w:ascii="仿宋" w:eastAsia="仿宋" w:hAnsi="仿宋" w:cs="仿宋" w:hint="eastAsia"/>
            <w:lang w:eastAsia="zh-CN"/>
          </w:rPr>
          <w:t>(二)、建设期环境保护</w:t>
        </w:r>
        <w:r>
          <w:tab/>
        </w:r>
        <w:r>
          <w:fldChar w:fldCharType="begin"/>
        </w:r>
        <w:r>
          <w:instrText xml:space="preserve"> PAGEREF _Toc7419 \h </w:instrText>
        </w:r>
        <w:r>
          <w:fldChar w:fldCharType="separate"/>
        </w:r>
        <w:r>
          <w:t>25</w:t>
        </w:r>
        <w:r>
          <w:fldChar w:fldCharType="end"/>
        </w:r>
      </w:hyperlink>
    </w:p>
    <w:p>
      <w:pPr>
        <w:pStyle w:val="TOC2"/>
        <w:tabs>
          <w:tab w:val="right" w:leader="dot" w:pos="8306"/>
        </w:tabs>
      </w:pPr>
      <w:hyperlink w:anchor="_Toc29892" w:history="1">
        <w:r>
          <w:rPr>
            <w:rFonts w:ascii="仿宋" w:eastAsia="仿宋" w:hAnsi="仿宋" w:cs="仿宋" w:hint="eastAsia"/>
            <w:lang w:eastAsia="zh-CN"/>
          </w:rPr>
          <w:t>(三)、运营期环境保护</w:t>
        </w:r>
        <w:r>
          <w:tab/>
        </w:r>
        <w:r>
          <w:fldChar w:fldCharType="begin"/>
        </w:r>
        <w:r>
          <w:instrText xml:space="preserve"> PAGEREF _Toc29892 \h </w:instrText>
        </w:r>
        <w:r>
          <w:fldChar w:fldCharType="separate"/>
        </w:r>
        <w:r>
          <w:t>27</w:t>
        </w:r>
        <w:r>
          <w:fldChar w:fldCharType="end"/>
        </w:r>
      </w:hyperlink>
    </w:p>
    <w:p>
      <w:pPr>
        <w:pStyle w:val="TOC2"/>
        <w:tabs>
          <w:tab w:val="right" w:leader="dot" w:pos="8306"/>
        </w:tabs>
      </w:pPr>
      <w:hyperlink w:anchor="_Toc6938" w:history="1">
        <w:r>
          <w:rPr>
            <w:rFonts w:ascii="仿宋" w:eastAsia="仿宋" w:hAnsi="仿宋" w:cs="仿宋" w:hint="eastAsia"/>
            <w:lang w:eastAsia="zh-CN"/>
          </w:rPr>
          <w:t>(四)、生物农药及微生物农药项目建设对区域经济的影响</w:t>
        </w:r>
        <w:r>
          <w:tab/>
        </w:r>
        <w:r>
          <w:fldChar w:fldCharType="begin"/>
        </w:r>
        <w:r>
          <w:instrText xml:space="preserve"> PAGEREF _Toc6938 \h </w:instrText>
        </w:r>
        <w:r>
          <w:fldChar w:fldCharType="separate"/>
        </w:r>
        <w:r>
          <w:t>28</w:t>
        </w:r>
        <w:r>
          <w:fldChar w:fldCharType="end"/>
        </w:r>
      </w:hyperlink>
    </w:p>
    <w:p>
      <w:pPr>
        <w:pStyle w:val="TOC2"/>
        <w:tabs>
          <w:tab w:val="right" w:leader="dot" w:pos="8306"/>
        </w:tabs>
      </w:pPr>
      <w:hyperlink w:anchor="_Toc4920" w:history="1">
        <w:r>
          <w:rPr>
            <w:rFonts w:ascii="仿宋" w:eastAsia="仿宋" w:hAnsi="仿宋" w:cs="仿宋" w:hint="eastAsia"/>
            <w:lang w:eastAsia="zh-CN"/>
          </w:rPr>
          <w:t>(五)、废弃物处理</w:t>
        </w:r>
        <w:r>
          <w:tab/>
        </w:r>
        <w:r>
          <w:fldChar w:fldCharType="begin"/>
        </w:r>
        <w:r>
          <w:instrText xml:space="preserve"> PAGEREF _Toc4920 \h </w:instrText>
        </w:r>
        <w:r>
          <w:fldChar w:fldCharType="separate"/>
        </w:r>
        <w:r>
          <w:t>30</w:t>
        </w:r>
        <w:r>
          <w:fldChar w:fldCharType="end"/>
        </w:r>
      </w:hyperlink>
    </w:p>
    <w:p>
      <w:pPr>
        <w:pStyle w:val="TOC2"/>
        <w:tabs>
          <w:tab w:val="right" w:leader="dot" w:pos="8306"/>
        </w:tabs>
      </w:pPr>
      <w:hyperlink w:anchor="_Toc19689" w:history="1">
        <w:r>
          <w:rPr>
            <w:rFonts w:ascii="仿宋" w:eastAsia="仿宋" w:hAnsi="仿宋" w:cs="仿宋" w:hint="eastAsia"/>
            <w:lang w:eastAsia="zh-CN"/>
          </w:rPr>
          <w:t>(六)、特殊环境影响分析</w:t>
        </w:r>
        <w:r>
          <w:tab/>
        </w:r>
        <w:r>
          <w:fldChar w:fldCharType="begin"/>
        </w:r>
        <w:r>
          <w:instrText xml:space="preserve"> PAGEREF _Toc19689 \h </w:instrText>
        </w:r>
        <w:r>
          <w:fldChar w:fldCharType="separate"/>
        </w:r>
        <w:r>
          <w:t>31</w:t>
        </w:r>
        <w:r>
          <w:fldChar w:fldCharType="end"/>
        </w:r>
      </w:hyperlink>
    </w:p>
    <w:p>
      <w:pPr>
        <w:pStyle w:val="TOC2"/>
        <w:tabs>
          <w:tab w:val="right" w:leader="dot" w:pos="8306"/>
        </w:tabs>
      </w:pPr>
      <w:hyperlink w:anchor="_Toc20330" w:history="1">
        <w:r>
          <w:rPr>
            <w:rFonts w:ascii="仿宋" w:eastAsia="仿宋" w:hAnsi="仿宋" w:cs="仿宋" w:hint="eastAsia"/>
            <w:lang w:eastAsia="zh-CN"/>
          </w:rPr>
          <w:t>(七)、清洁生产</w:t>
        </w:r>
        <w:r>
          <w:tab/>
        </w:r>
        <w:r>
          <w:fldChar w:fldCharType="begin"/>
        </w:r>
        <w:r>
          <w:instrText xml:space="preserve"> PAGEREF _Toc20330 \h </w:instrText>
        </w:r>
        <w:r>
          <w:fldChar w:fldCharType="separate"/>
        </w:r>
        <w:r>
          <w:t>32</w:t>
        </w:r>
        <w:r>
          <w:fldChar w:fldCharType="end"/>
        </w:r>
      </w:hyperlink>
    </w:p>
    <w:p>
      <w:pPr>
        <w:pStyle w:val="TOC2"/>
        <w:tabs>
          <w:tab w:val="right" w:leader="dot" w:pos="8306"/>
        </w:tabs>
      </w:pPr>
      <w:hyperlink w:anchor="_Toc14364" w:history="1">
        <w:r>
          <w:rPr>
            <w:rFonts w:ascii="仿宋" w:eastAsia="仿宋" w:hAnsi="仿宋" w:cs="仿宋" w:hint="eastAsia"/>
            <w:lang w:eastAsia="zh-CN"/>
          </w:rPr>
          <w:t>(八)、环境保护综合评价</w:t>
        </w:r>
        <w:r>
          <w:tab/>
        </w:r>
        <w:r>
          <w:fldChar w:fldCharType="begin"/>
        </w:r>
        <w:r>
          <w:instrText xml:space="preserve"> PAGEREF _Toc14364 \h </w:instrText>
        </w:r>
        <w:r>
          <w:fldChar w:fldCharType="separate"/>
        </w:r>
        <w:r>
          <w:t>34</w:t>
        </w:r>
        <w:r>
          <w:fldChar w:fldCharType="end"/>
        </w:r>
      </w:hyperlink>
    </w:p>
    <w:p>
      <w:pPr>
        <w:pStyle w:val="TOC1"/>
        <w:tabs>
          <w:tab w:val="right" w:leader="dot" w:pos="8306"/>
        </w:tabs>
      </w:pPr>
      <w:hyperlink w:anchor="_Toc28817" w:history="1">
        <w:r>
          <w:rPr>
            <w:rFonts w:ascii="仿宋" w:eastAsia="仿宋" w:hAnsi="仿宋" w:cs="仿宋" w:hint="eastAsia"/>
            <w:lang w:eastAsia="zh-CN"/>
          </w:rPr>
          <w:t>十、生物农药及微生物农药项目财务管理</w:t>
        </w:r>
        <w:r>
          <w:tab/>
        </w:r>
        <w:r>
          <w:fldChar w:fldCharType="begin"/>
        </w:r>
        <w:r>
          <w:instrText xml:space="preserve"> PAGEREF _Toc28817 \h </w:instrText>
        </w:r>
        <w:r>
          <w:fldChar w:fldCharType="separate"/>
        </w:r>
        <w:r>
          <w:t>35</w:t>
        </w:r>
        <w:r>
          <w:fldChar w:fldCharType="end"/>
        </w:r>
      </w:hyperlink>
    </w:p>
    <w:p>
      <w:pPr>
        <w:pStyle w:val="TOC2"/>
        <w:tabs>
          <w:tab w:val="right" w:leader="dot" w:pos="8306"/>
        </w:tabs>
      </w:pPr>
      <w:hyperlink w:anchor="_Toc26114" w:history="1">
        <w:r>
          <w:rPr>
            <w:rFonts w:ascii="仿宋" w:eastAsia="仿宋" w:hAnsi="仿宋" w:cs="仿宋" w:hint="eastAsia"/>
            <w:lang w:eastAsia="zh-CN"/>
          </w:rPr>
          <w:t>(一)、资金需求大</w:t>
        </w:r>
        <w:r>
          <w:tab/>
        </w:r>
        <w:r>
          <w:fldChar w:fldCharType="begin"/>
        </w:r>
        <w:r>
          <w:instrText xml:space="preserve"> PAGEREF _Toc26114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0" w:history="1">
        <w:r>
          <w:rPr>
            <w:rFonts w:ascii="仿宋" w:eastAsia="仿宋" w:hAnsi="仿宋" w:cs="仿宋" w:hint="eastAsia"/>
            <w:lang w:eastAsia="zh-CN"/>
          </w:rPr>
          <w:t>(二)、研发周期长</w:t>
        </w:r>
        <w:r>
          <w:tab/>
        </w:r>
        <w:r>
          <w:fldChar w:fldCharType="begin"/>
        </w:r>
        <w:r>
          <w:instrText xml:space="preserve"> PAGEREF _Toc1520 \h </w:instrText>
        </w:r>
        <w:r>
          <w:fldChar w:fldCharType="separate"/>
        </w:r>
        <w:r>
          <w:t>36</w:t>
        </w:r>
        <w:r>
          <w:fldChar w:fldCharType="end"/>
        </w:r>
      </w:hyperlink>
    </w:p>
    <w:p>
      <w:pPr>
        <w:pStyle w:val="TOC2"/>
        <w:tabs>
          <w:tab w:val="right" w:leader="dot" w:pos="8306"/>
        </w:tabs>
      </w:pPr>
      <w:hyperlink w:anchor="_Toc20305" w:history="1">
        <w:r>
          <w:rPr>
            <w:rFonts w:ascii="仿宋" w:eastAsia="仿宋" w:hAnsi="仿宋" w:cs="仿宋" w:hint="eastAsia"/>
            <w:lang w:eastAsia="zh-CN"/>
          </w:rPr>
          <w:t>(三)、市场风险大</w:t>
        </w:r>
        <w:r>
          <w:tab/>
        </w:r>
        <w:r>
          <w:fldChar w:fldCharType="begin"/>
        </w:r>
        <w:r>
          <w:instrText xml:space="preserve"> PAGEREF _Toc20305 \h </w:instrText>
        </w:r>
        <w:r>
          <w:fldChar w:fldCharType="separate"/>
        </w:r>
        <w:r>
          <w:t>38</w:t>
        </w:r>
        <w:r>
          <w:fldChar w:fldCharType="end"/>
        </w:r>
      </w:hyperlink>
    </w:p>
    <w:p>
      <w:pPr>
        <w:pStyle w:val="TOC2"/>
        <w:tabs>
          <w:tab w:val="right" w:leader="dot" w:pos="8306"/>
        </w:tabs>
      </w:pPr>
      <w:hyperlink w:anchor="_Toc14813" w:history="1">
        <w:r>
          <w:rPr>
            <w:rFonts w:ascii="仿宋" w:eastAsia="仿宋" w:hAnsi="仿宋" w:cs="仿宋" w:hint="eastAsia"/>
            <w:lang w:eastAsia="zh-CN"/>
          </w:rPr>
          <w:t>(四)、利润率高</w:t>
        </w:r>
        <w:r>
          <w:tab/>
        </w:r>
        <w:r>
          <w:fldChar w:fldCharType="begin"/>
        </w:r>
        <w:r>
          <w:instrText xml:space="preserve"> PAGEREF _Toc14813 \h </w:instrText>
        </w:r>
        <w:r>
          <w:fldChar w:fldCharType="separate"/>
        </w:r>
        <w:r>
          <w:t>40</w:t>
        </w:r>
        <w:r>
          <w:fldChar w:fldCharType="end"/>
        </w:r>
      </w:hyperlink>
    </w:p>
    <w:p>
      <w:pPr>
        <w:pStyle w:val="TOC1"/>
        <w:tabs>
          <w:tab w:val="right" w:leader="dot" w:pos="8306"/>
        </w:tabs>
      </w:pPr>
      <w:hyperlink w:anchor="_Toc8091" w:history="1">
        <w:r>
          <w:rPr>
            <w:rFonts w:ascii="仿宋" w:eastAsia="仿宋" w:hAnsi="仿宋" w:cs="仿宋" w:hint="eastAsia"/>
            <w:lang w:eastAsia="zh-CN"/>
          </w:rPr>
          <w:t>十一、生物农药及微生物农药项目投资规划</w:t>
        </w:r>
        <w:r>
          <w:tab/>
        </w:r>
        <w:r>
          <w:fldChar w:fldCharType="begin"/>
        </w:r>
        <w:r>
          <w:instrText xml:space="preserve"> PAGEREF _Toc8091 \h </w:instrText>
        </w:r>
        <w:r>
          <w:fldChar w:fldCharType="separate"/>
        </w:r>
        <w:r>
          <w:t>43</w:t>
        </w:r>
        <w:r>
          <w:fldChar w:fldCharType="end"/>
        </w:r>
      </w:hyperlink>
    </w:p>
    <w:p>
      <w:pPr>
        <w:pStyle w:val="TOC2"/>
        <w:tabs>
          <w:tab w:val="right" w:leader="dot" w:pos="8306"/>
        </w:tabs>
      </w:pPr>
      <w:hyperlink w:anchor="_Toc20973" w:history="1">
        <w:r>
          <w:rPr>
            <w:rFonts w:ascii="仿宋" w:eastAsia="仿宋" w:hAnsi="仿宋" w:cs="仿宋" w:hint="eastAsia"/>
            <w:lang w:eastAsia="zh-CN"/>
          </w:rPr>
          <w:t>(一)、生物农药及微生物农药项目总投资估算</w:t>
        </w:r>
        <w:r>
          <w:tab/>
        </w:r>
        <w:r>
          <w:fldChar w:fldCharType="begin"/>
        </w:r>
        <w:r>
          <w:instrText xml:space="preserve"> PAGEREF _Toc20973 \h </w:instrText>
        </w:r>
        <w:r>
          <w:fldChar w:fldCharType="separate"/>
        </w:r>
        <w:r>
          <w:t>43</w:t>
        </w:r>
        <w:r>
          <w:fldChar w:fldCharType="end"/>
        </w:r>
      </w:hyperlink>
    </w:p>
    <w:p>
      <w:pPr>
        <w:pStyle w:val="TOC2"/>
        <w:tabs>
          <w:tab w:val="right" w:leader="dot" w:pos="8306"/>
        </w:tabs>
      </w:pPr>
      <w:hyperlink w:anchor="_Toc21826" w:history="1">
        <w:r>
          <w:rPr>
            <w:rFonts w:ascii="仿宋" w:eastAsia="仿宋" w:hAnsi="仿宋" w:cs="仿宋" w:hint="eastAsia"/>
            <w:lang w:eastAsia="zh-CN"/>
          </w:rPr>
          <w:t>(二)、资金筹措</w:t>
        </w:r>
        <w:r>
          <w:tab/>
        </w:r>
        <w:r>
          <w:fldChar w:fldCharType="begin"/>
        </w:r>
        <w:r>
          <w:instrText xml:space="preserve"> PAGEREF _Toc21826 \h </w:instrText>
        </w:r>
        <w:r>
          <w:fldChar w:fldCharType="separate"/>
        </w:r>
        <w:r>
          <w:t>44</w:t>
        </w:r>
        <w:r>
          <w:fldChar w:fldCharType="end"/>
        </w:r>
      </w:hyperlink>
    </w:p>
    <w:p>
      <w:pPr>
        <w:pStyle w:val="TOC1"/>
        <w:tabs>
          <w:tab w:val="right" w:leader="dot" w:pos="8306"/>
        </w:tabs>
      </w:pPr>
      <w:hyperlink w:anchor="_Toc28053" w:history="1">
        <w:r>
          <w:rPr>
            <w:rFonts w:ascii="仿宋" w:eastAsia="仿宋" w:hAnsi="仿宋" w:cs="仿宋" w:hint="eastAsia"/>
            <w:lang w:eastAsia="zh-CN"/>
          </w:rPr>
          <w:t>十二、生物农药及微生物农药项目风险管理</w:t>
        </w:r>
        <w:r>
          <w:tab/>
        </w:r>
        <w:r>
          <w:fldChar w:fldCharType="begin"/>
        </w:r>
        <w:r>
          <w:instrText xml:space="preserve"> PAGEREF _Toc28053 \h </w:instrText>
        </w:r>
        <w:r>
          <w:fldChar w:fldCharType="separate"/>
        </w:r>
        <w:r>
          <w:t>45</w:t>
        </w:r>
        <w:r>
          <w:fldChar w:fldCharType="end"/>
        </w:r>
      </w:hyperlink>
    </w:p>
    <w:p>
      <w:pPr>
        <w:pStyle w:val="TOC2"/>
        <w:tabs>
          <w:tab w:val="right" w:leader="dot" w:pos="8306"/>
        </w:tabs>
      </w:pPr>
      <w:hyperlink w:anchor="_Toc10777" w:history="1">
        <w:r>
          <w:rPr>
            <w:rFonts w:ascii="仿宋" w:eastAsia="仿宋" w:hAnsi="仿宋" w:cs="仿宋" w:hint="eastAsia"/>
            <w:lang w:eastAsia="zh-CN"/>
          </w:rPr>
          <w:t>(一)、风险识别与评估</w:t>
        </w:r>
        <w:r>
          <w:tab/>
        </w:r>
        <w:r>
          <w:fldChar w:fldCharType="begin"/>
        </w:r>
        <w:r>
          <w:instrText xml:space="preserve"> PAGEREF _Toc10777 \h </w:instrText>
        </w:r>
        <w:r>
          <w:fldChar w:fldCharType="separate"/>
        </w:r>
        <w:r>
          <w:t>45</w:t>
        </w:r>
        <w:r>
          <w:fldChar w:fldCharType="end"/>
        </w:r>
      </w:hyperlink>
    </w:p>
    <w:p>
      <w:pPr>
        <w:pStyle w:val="TOC2"/>
        <w:tabs>
          <w:tab w:val="right" w:leader="dot" w:pos="8306"/>
        </w:tabs>
      </w:pPr>
      <w:hyperlink w:anchor="_Toc24256" w:history="1">
        <w:r>
          <w:rPr>
            <w:rFonts w:ascii="仿宋" w:eastAsia="仿宋" w:hAnsi="仿宋" w:cs="仿宋" w:hint="eastAsia"/>
            <w:lang w:eastAsia="zh-CN"/>
          </w:rPr>
          <w:t>(二)、风险应对策略</w:t>
        </w:r>
        <w:r>
          <w:tab/>
        </w:r>
        <w:r>
          <w:fldChar w:fldCharType="begin"/>
        </w:r>
        <w:r>
          <w:instrText xml:space="preserve"> PAGEREF _Toc24256 \h </w:instrText>
        </w:r>
        <w:r>
          <w:fldChar w:fldCharType="separate"/>
        </w:r>
        <w:r>
          <w:t>46</w:t>
        </w:r>
        <w:r>
          <w:fldChar w:fldCharType="end"/>
        </w:r>
      </w:hyperlink>
    </w:p>
    <w:p>
      <w:pPr>
        <w:pStyle w:val="TOC2"/>
        <w:tabs>
          <w:tab w:val="right" w:leader="dot" w:pos="8306"/>
        </w:tabs>
      </w:pPr>
      <w:hyperlink w:anchor="_Toc21026" w:history="1">
        <w:r>
          <w:rPr>
            <w:rFonts w:ascii="仿宋" w:eastAsia="仿宋" w:hAnsi="仿宋" w:cs="仿宋" w:hint="eastAsia"/>
            <w:lang w:eastAsia="zh-CN"/>
          </w:rPr>
          <w:t>(三)、风险监控与控制</w:t>
        </w:r>
        <w:r>
          <w:tab/>
        </w:r>
        <w:r>
          <w:fldChar w:fldCharType="begin"/>
        </w:r>
        <w:r>
          <w:instrText xml:space="preserve"> PAGEREF _Toc21026 \h </w:instrText>
        </w:r>
        <w:r>
          <w:fldChar w:fldCharType="separate"/>
        </w:r>
        <w:r>
          <w:t>48</w:t>
        </w:r>
        <w:r>
          <w:fldChar w:fldCharType="end"/>
        </w:r>
      </w:hyperlink>
    </w:p>
    <w:p>
      <w:pPr>
        <w:pStyle w:val="TOC1"/>
        <w:tabs>
          <w:tab w:val="right" w:leader="dot" w:pos="8306"/>
        </w:tabs>
      </w:pPr>
      <w:hyperlink w:anchor="_Toc5162" w:history="1">
        <w:r>
          <w:rPr>
            <w:rFonts w:ascii="仿宋" w:eastAsia="仿宋" w:hAnsi="仿宋" w:cs="仿宋" w:hint="eastAsia"/>
            <w:lang w:eastAsia="zh-CN"/>
          </w:rPr>
          <w:t>十三、利益相关者分析与沟通计划</w:t>
        </w:r>
        <w:r>
          <w:tab/>
        </w:r>
        <w:r>
          <w:fldChar w:fldCharType="begin"/>
        </w:r>
        <w:r>
          <w:instrText xml:space="preserve"> PAGEREF _Toc5162 \h </w:instrText>
        </w:r>
        <w:r>
          <w:fldChar w:fldCharType="separate"/>
        </w:r>
        <w:r>
          <w:t>49</w:t>
        </w:r>
        <w:r>
          <w:fldChar w:fldCharType="end"/>
        </w:r>
      </w:hyperlink>
    </w:p>
    <w:p>
      <w:pPr>
        <w:pStyle w:val="TOC2"/>
        <w:tabs>
          <w:tab w:val="right" w:leader="dot" w:pos="8306"/>
        </w:tabs>
      </w:pPr>
      <w:hyperlink w:anchor="_Toc18682" w:history="1">
        <w:r>
          <w:rPr>
            <w:rFonts w:ascii="仿宋" w:eastAsia="仿宋" w:hAnsi="仿宋" w:cs="仿宋" w:hint="eastAsia"/>
            <w:lang w:eastAsia="zh-CN"/>
          </w:rPr>
          <w:t>(一)、利益相关者分析</w:t>
        </w:r>
        <w:r>
          <w:tab/>
        </w:r>
        <w:r>
          <w:fldChar w:fldCharType="begin"/>
        </w:r>
        <w:r>
          <w:instrText xml:space="preserve"> PAGEREF _Toc18682 \h </w:instrText>
        </w:r>
        <w:r>
          <w:fldChar w:fldCharType="separate"/>
        </w:r>
        <w:r>
          <w:t>49</w:t>
        </w:r>
        <w:r>
          <w:fldChar w:fldCharType="end"/>
        </w:r>
      </w:hyperlink>
    </w:p>
    <w:p>
      <w:pPr>
        <w:pStyle w:val="TOC2"/>
        <w:tabs>
          <w:tab w:val="right" w:leader="dot" w:pos="8306"/>
        </w:tabs>
      </w:pPr>
      <w:hyperlink w:anchor="_Toc2945" w:history="1">
        <w:r>
          <w:rPr>
            <w:rFonts w:ascii="仿宋" w:eastAsia="仿宋" w:hAnsi="仿宋" w:cs="仿宋" w:hint="eastAsia"/>
            <w:lang w:eastAsia="zh-CN"/>
          </w:rPr>
          <w:t>(二)、沟通计划</w:t>
        </w:r>
        <w:r>
          <w:tab/>
        </w:r>
        <w:r>
          <w:fldChar w:fldCharType="begin"/>
        </w:r>
        <w:r>
          <w:instrText xml:space="preserve"> PAGEREF _Toc2945 \h </w:instrText>
        </w:r>
        <w:r>
          <w:fldChar w:fldCharType="separate"/>
        </w:r>
        <w:r>
          <w:t>50</w:t>
        </w:r>
        <w:r>
          <w:fldChar w:fldCharType="end"/>
        </w:r>
      </w:hyperlink>
    </w:p>
    <w:p>
      <w:pPr>
        <w:pStyle w:val="TOC1"/>
        <w:tabs>
          <w:tab w:val="right" w:leader="dot" w:pos="8306"/>
        </w:tabs>
      </w:pPr>
      <w:hyperlink w:anchor="_Toc27640" w:history="1">
        <w:r>
          <w:rPr>
            <w:rFonts w:ascii="仿宋" w:eastAsia="仿宋" w:hAnsi="仿宋" w:cs="仿宋" w:hint="eastAsia"/>
            <w:lang w:eastAsia="zh-CN"/>
          </w:rPr>
          <w:t>十四、生物农药及微生物农药项目实施时间节点</w:t>
        </w:r>
        <w:r>
          <w:tab/>
        </w:r>
        <w:r>
          <w:fldChar w:fldCharType="begin"/>
        </w:r>
        <w:r>
          <w:instrText xml:space="preserve"> PAGEREF _Toc27640 \h </w:instrText>
        </w:r>
        <w:r>
          <w:fldChar w:fldCharType="separate"/>
        </w:r>
        <w:r>
          <w:t>51</w:t>
        </w:r>
        <w:r>
          <w:fldChar w:fldCharType="end"/>
        </w:r>
      </w:hyperlink>
    </w:p>
    <w:p>
      <w:pPr>
        <w:pStyle w:val="TOC2"/>
        <w:tabs>
          <w:tab w:val="right" w:leader="dot" w:pos="8306"/>
        </w:tabs>
      </w:pPr>
      <w:hyperlink w:anchor="_Toc12697" w:history="1">
        <w:r>
          <w:rPr>
            <w:rFonts w:ascii="仿宋" w:eastAsia="仿宋" w:hAnsi="仿宋" w:cs="仿宋" w:hint="eastAsia"/>
            <w:lang w:eastAsia="zh-CN"/>
          </w:rPr>
          <w:t>(一)、生物农药及微生物农药项目启动阶段时间节点</w:t>
        </w:r>
        <w:r>
          <w:tab/>
        </w:r>
        <w:r>
          <w:fldChar w:fldCharType="begin"/>
        </w:r>
        <w:r>
          <w:instrText xml:space="preserve"> PAGEREF _Toc12697 \h </w:instrText>
        </w:r>
        <w:r>
          <w:fldChar w:fldCharType="separate"/>
        </w:r>
        <w:r>
          <w:t>51</w:t>
        </w:r>
        <w:r>
          <w:fldChar w:fldCharType="end"/>
        </w:r>
      </w:hyperlink>
    </w:p>
    <w:p>
      <w:pPr>
        <w:pStyle w:val="TOC2"/>
        <w:tabs>
          <w:tab w:val="right" w:leader="dot" w:pos="8306"/>
        </w:tabs>
      </w:pPr>
      <w:hyperlink w:anchor="_Toc19989" w:history="1">
        <w:r>
          <w:rPr>
            <w:rFonts w:ascii="仿宋" w:eastAsia="仿宋" w:hAnsi="仿宋" w:cs="仿宋" w:hint="eastAsia"/>
            <w:lang w:eastAsia="zh-CN"/>
          </w:rPr>
          <w:t>(二)、生物农药及微生物农药项目执行阶段时间节点</w:t>
        </w:r>
        <w:r>
          <w:tab/>
        </w:r>
        <w:r>
          <w:fldChar w:fldCharType="begin"/>
        </w:r>
        <w:r>
          <w:instrText xml:space="preserve"> PAGEREF _Toc19989 \h </w:instrText>
        </w:r>
        <w:r>
          <w:fldChar w:fldCharType="separate"/>
        </w:r>
        <w:r>
          <w:t>53</w:t>
        </w:r>
        <w:r>
          <w:fldChar w:fldCharType="end"/>
        </w:r>
      </w:hyperlink>
    </w:p>
    <w:p>
      <w:pPr>
        <w:pStyle w:val="TOC2"/>
        <w:tabs>
          <w:tab w:val="right" w:leader="dot" w:pos="8306"/>
        </w:tabs>
      </w:pPr>
      <w:hyperlink w:anchor="_Toc2360" w:history="1">
        <w:r>
          <w:rPr>
            <w:rFonts w:ascii="仿宋" w:eastAsia="仿宋" w:hAnsi="仿宋" w:cs="仿宋" w:hint="eastAsia"/>
            <w:lang w:eastAsia="zh-CN"/>
          </w:rPr>
          <w:t>(三)、生物农药及微生物农药项目完成阶段时间节点</w:t>
        </w:r>
        <w:r>
          <w:tab/>
        </w:r>
        <w:r>
          <w:fldChar w:fldCharType="begin"/>
        </w:r>
        <w:r>
          <w:instrText xml:space="preserve"> PAGEREF _Toc2360 \h </w:instrText>
        </w:r>
        <w:r>
          <w:fldChar w:fldCharType="separate"/>
        </w:r>
        <w:r>
          <w:t>54</w:t>
        </w:r>
        <w:r>
          <w:fldChar w:fldCharType="end"/>
        </w:r>
      </w:hyperlink>
    </w:p>
    <w:p>
      <w:pPr>
        <w:pStyle w:val="TOC1"/>
        <w:tabs>
          <w:tab w:val="right" w:leader="dot" w:pos="8306"/>
        </w:tabs>
      </w:pPr>
      <w:hyperlink w:anchor="_Toc23553" w:history="1">
        <w:r>
          <w:rPr>
            <w:rFonts w:ascii="仿宋" w:eastAsia="仿宋" w:hAnsi="仿宋" w:cs="仿宋" w:hint="eastAsia"/>
            <w:lang w:eastAsia="zh-CN"/>
          </w:rPr>
          <w:t>十五、生物农药及微生物农药项目实施保障措施</w:t>
        </w:r>
        <w:r>
          <w:tab/>
        </w:r>
        <w:r>
          <w:fldChar w:fldCharType="begin"/>
        </w:r>
        <w:r>
          <w:instrText xml:space="preserve"> PAGEREF _Toc23553 \h </w:instrText>
        </w:r>
        <w:r>
          <w:fldChar w:fldCharType="separate"/>
        </w:r>
        <w:r>
          <w:t>55</w:t>
        </w:r>
        <w:r>
          <w:fldChar w:fldCharType="end"/>
        </w:r>
      </w:hyperlink>
    </w:p>
    <w:p>
      <w:pPr>
        <w:pStyle w:val="TOC2"/>
        <w:tabs>
          <w:tab w:val="right" w:leader="dot" w:pos="8306"/>
        </w:tabs>
      </w:pPr>
      <w:hyperlink w:anchor="_Toc30016" w:history="1">
        <w:r>
          <w:rPr>
            <w:rFonts w:ascii="仿宋" w:eastAsia="仿宋" w:hAnsi="仿宋" w:cs="仿宋" w:hint="eastAsia"/>
            <w:lang w:eastAsia="zh-CN"/>
          </w:rPr>
          <w:t>(一)、生物农药及微生物农药项目实施保障机制</w:t>
        </w:r>
        <w:r>
          <w:tab/>
        </w:r>
        <w:r>
          <w:fldChar w:fldCharType="begin"/>
        </w:r>
        <w:r>
          <w:instrText xml:space="preserve"> PAGEREF _Toc30016 \h </w:instrText>
        </w:r>
        <w:r>
          <w:fldChar w:fldCharType="separate"/>
        </w:r>
        <w:r>
          <w:t>55</w:t>
        </w:r>
        <w:r>
          <w:fldChar w:fldCharType="end"/>
        </w:r>
      </w:hyperlink>
    </w:p>
    <w:p>
      <w:pPr>
        <w:pStyle w:val="TOC2"/>
        <w:tabs>
          <w:tab w:val="right" w:leader="dot" w:pos="8306"/>
        </w:tabs>
      </w:pPr>
      <w:hyperlink w:anchor="_Toc23074" w:history="1">
        <w:r>
          <w:rPr>
            <w:rFonts w:ascii="仿宋" w:eastAsia="仿宋" w:hAnsi="仿宋" w:cs="仿宋" w:hint="eastAsia"/>
            <w:lang w:eastAsia="zh-CN"/>
          </w:rPr>
          <w:t>(二)、生物农药及微生物农药项目法律合规要求</w:t>
        </w:r>
        <w:r>
          <w:tab/>
        </w:r>
        <w:r>
          <w:fldChar w:fldCharType="begin"/>
        </w:r>
        <w:r>
          <w:instrText xml:space="preserve"> PAGEREF _Toc23074 \h </w:instrText>
        </w:r>
        <w:r>
          <w:fldChar w:fldCharType="separate"/>
        </w:r>
        <w:r>
          <w:t>59</w:t>
        </w:r>
        <w:r>
          <w:fldChar w:fldCharType="end"/>
        </w:r>
      </w:hyperlink>
    </w:p>
    <w:p>
      <w:pPr>
        <w:pStyle w:val="TOC2"/>
        <w:tabs>
          <w:tab w:val="right" w:leader="dot" w:pos="8306"/>
        </w:tabs>
      </w:pPr>
      <w:hyperlink w:anchor="_Toc10572" w:history="1">
        <w:r>
          <w:rPr>
            <w:rFonts w:ascii="仿宋" w:eastAsia="仿宋" w:hAnsi="仿宋" w:cs="仿宋" w:hint="eastAsia"/>
            <w:lang w:eastAsia="zh-CN"/>
          </w:rPr>
          <w:t>(三)、生物农药及微生物农药项目合同管理与法律事务</w:t>
        </w:r>
        <w:r>
          <w:tab/>
        </w:r>
        <w:r>
          <w:fldChar w:fldCharType="begin"/>
        </w:r>
        <w:r>
          <w:instrText xml:space="preserve"> PAGEREF _Toc10572 \h </w:instrText>
        </w:r>
        <w:r>
          <w:fldChar w:fldCharType="separate"/>
        </w:r>
        <w:r>
          <w:t>64</w:t>
        </w:r>
        <w:r>
          <w:fldChar w:fldCharType="end"/>
        </w:r>
      </w:hyperlink>
    </w:p>
    <w:p>
      <w:pPr>
        <w:pStyle w:val="TOC2"/>
        <w:tabs>
          <w:tab w:val="right" w:leader="dot" w:pos="8306"/>
        </w:tabs>
      </w:pPr>
      <w:hyperlink w:anchor="_Toc21327" w:history="1">
        <w:r>
          <w:rPr>
            <w:rFonts w:ascii="仿宋" w:eastAsia="仿宋" w:hAnsi="仿宋" w:cs="仿宋" w:hint="eastAsia"/>
            <w:lang w:eastAsia="zh-CN"/>
          </w:rPr>
          <w:t>(四)、生物农药及微生物农药项目知识产权保护策略</w:t>
        </w:r>
        <w:r>
          <w:tab/>
        </w:r>
        <w:r>
          <w:fldChar w:fldCharType="begin"/>
        </w:r>
        <w:r>
          <w:instrText xml:space="preserve"> PAGEREF _Toc21327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073"/>
      <w:r>
        <w:rPr>
          <w:rFonts w:ascii="仿宋" w:eastAsia="仿宋" w:hAnsi="仿宋" w:cs="仿宋" w:hint="eastAsia"/>
          <w:sz w:val="28"/>
          <w:lang w:eastAsia="zh-CN"/>
        </w:rPr>
        <w:t>一、生物农药及微生物农药项目建设单位说明</w:t>
      </w:r>
      <w:bookmarkEnd w:id="2"/>
    </w:p>
    <w:p>
      <w:pPr>
        <w:pStyle w:val="Heading2"/>
        <w:rPr>
          <w:rFonts w:ascii="仿宋" w:eastAsia="仿宋" w:hAnsi="仿宋" w:cs="仿宋" w:hint="eastAsia"/>
          <w:lang w:eastAsia="zh-CN"/>
        </w:rPr>
      </w:pPr>
      <w:bookmarkStart w:id="3" w:name="_Toc18833"/>
      <w:r>
        <w:rPr>
          <w:rFonts w:ascii="仿宋" w:eastAsia="仿宋" w:hAnsi="仿宋" w:cs="仿宋" w:hint="eastAsia"/>
          <w:lang w:eastAsia="zh-CN"/>
        </w:rPr>
        <w:t>(一)、生物农药及微生物农药项目承办单位基本情况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44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物农药及微生物农药项目承办单位的XXXX，我们着眼于实现可持续的经济效益。通过技术创新和解决方案的提供，公司预计在生物农药及微生物农药项目执行期间将获得可观的收入增长。这一收入来源主要包括生物农药及微生物农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同时，我们注重成本控制和效率提升，以确保生物农药及微生物农药项目的可持续盈利。透过精细的管理和资源优化，公司期望实现生物农药及微生物农药项目利润最大化。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物农药及微生物农药项目实施进行全面的投资评估，包括生物农药及微生物农药项目启动阶段的资金投入和后续运营成本。通过对生物农药及微生物农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生物农药及微生物农药项目实施过程中具备足够的资金流动性，公司将进行详尽的现金流分析。这包括资金需求的合理预测、生物农药及微生物农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932"/>
      <w:r>
        <w:rPr>
          <w:rFonts w:ascii="仿宋" w:eastAsia="仿宋" w:hAnsi="仿宋" w:cs="仿宋" w:hint="eastAsia"/>
          <w:sz w:val="28"/>
          <w:lang w:eastAsia="zh-CN"/>
        </w:rPr>
        <w:t>二、生物农药及微生物农药项目绩效评估</w:t>
      </w:r>
      <w:bookmarkEnd w:id="5"/>
    </w:p>
    <w:p>
      <w:pPr>
        <w:pStyle w:val="Heading2"/>
        <w:rPr>
          <w:rFonts w:ascii="仿宋" w:eastAsia="仿宋" w:hAnsi="仿宋" w:cs="仿宋" w:hint="eastAsia"/>
          <w:lang w:eastAsia="zh-CN"/>
        </w:rPr>
      </w:pPr>
      <w:bookmarkStart w:id="6" w:name="_Toc563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农药及微生物农药项目中，我们设计了一套全面的绩效评估指标，以确保生物农药及微生物农药项目的可控和成功交付。这些指标跨足生物农药及微生物农药项目目标、成本、进度和质量等多个维度，为我们提供了全面洞察生物农药及微生物农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目标达成率是我们关注的首要指标。我们设定了明确的目标，并通过定期监测和评估，迅速发现并应对潜在的目标偏差。这为生物农药及微生物农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成本绩效是另一个核心关注点。通过实际成本与预算成本的对比分析，我们深入了解成本差异的原因，及时调整资源分配，保持生物农药及微生物农药项目在经济效益方面的合理水平。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进度作为关键的绩效指标之一，得到了精心的关注。我们制定了详细的生物农药及微生物农药项目进度计划，并设立了进度符合度指标，确保实际进度与计划进度保持一致。这使我们能够快速发现和解决潜在的进度问题，保持生物农药及微生物农药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物农药及微生物农药项目绩效的不可或缺的一环。我们引入了一系列的质量标准和客户满意度指标，以确保生物农药及微生物农药项目交付的成果在质量上达到或超越预期水平。通过持续监测这些指标，我们努力提升生物农药及微生物农药项目整体质量水平，为生物农药及微生物农药项目的成功交付提供有力保障。通过这些科学且全面的绩效评估，我们能够更好地引导生物农药及微生物农药项目的持续改进，确保生物农药及微生物农药项目目标的顺利达成。</w:t>
      </w:r>
    </w:p>
    <w:p>
      <w:pPr>
        <w:pStyle w:val="Heading2"/>
        <w:ind w:firstLine="560" w:firstLineChars="200"/>
        <w:rPr>
          <w:rFonts w:ascii="仿宋" w:eastAsia="仿宋" w:hAnsi="仿宋" w:cs="仿宋" w:hint="eastAsia"/>
          <w:sz w:val="28"/>
          <w:lang w:eastAsia="zh-CN"/>
        </w:rPr>
      </w:pPr>
      <w:bookmarkStart w:id="7" w:name="_Toc2131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绩效评估是生物农药及微生物农药项目中的关键环节，为确保生物农药及微生物农药项目达到预期目标，我们采用了多层次、多维度的绩效评估方法。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物农药及微生物农药项目的战略目标对齐，确保每个决策和行动都与生物农药及微生物农药项目整体目标保持一致。团队会定期召开战略对齐会议，审视当前工作与生物农药及微生物农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物农药及微生物农药项目进度、质量、成本和风险等方面。这些指标通过数据收集和分析，为生物农药及微生物农药项目管理团队提供了客观的评估依据。例如，我们通过生物农药及微生物农药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物农药及微生物农药项目内部，还考虑了生物农药及微生物农药项目对外部环境的影响。我们定期进行干系人满意度调查，以了解各利益相关方对生物农药及微生物农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这种多层次、多角度的绩效评估方法，使得我们能够全面了解生物农药及微生物农药项目的运行状态，及时做出调整，确保生物农药及微生物农药项目在不断变化的环境中保持稳健前行。</w:t>
      </w:r>
    </w:p>
    <w:p>
      <w:pPr>
        <w:pStyle w:val="Heading2"/>
        <w:ind w:firstLine="560" w:firstLineChars="200"/>
        <w:rPr>
          <w:rFonts w:ascii="仿宋" w:eastAsia="仿宋" w:hAnsi="仿宋" w:cs="仿宋" w:hint="eastAsia"/>
          <w:sz w:val="28"/>
          <w:lang w:eastAsia="zh-CN"/>
        </w:rPr>
      </w:pPr>
      <w:bookmarkStart w:id="8" w:name="_Toc2671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为了确保生物农药及微生物农药项目的有效管理和不断优化，我们采用了精心设计的绩效评估周期。这个周期旨在实现灵活、实时和全面的评估，以适应生物农药及微生物农药项目执行中的各种挑战。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物农药及微生物农药项目的不同需求，分为短期、中期和长期。短期评估关注每个迭代或工作周期，以及时发现和解决当前任务中的问题。中期评估涵盖几个迭代，深入了解整体生物农药及微生物农药项目的趋势和性能。长期评估则着眼于整个生物农药及微生物农药项目阶段，确保生物农药及微生物农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物农药及微生物农药项目管理工具和协作平台，团队成员能够随时更新和分享生物农药及微生物农药项目数据。这种实时性的反馈机制使我们能够及时察觉潜在问题，快速调整，保持生物农药及微生物农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物农药及微生物农药项目的决策制定密不可分。每个周期的生物农药及微生物农药项目回顾会议成为集体总结经验、识别问题深层次原因并找到创新解决方案的平台。这种定期的反思与调整机制使生物农药及微生物农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842"/>
      <w:r>
        <w:rPr>
          <w:rFonts w:ascii="仿宋" w:eastAsia="仿宋" w:hAnsi="仿宋" w:cs="仿宋" w:hint="eastAsia"/>
          <w:sz w:val="28"/>
          <w:lang w:eastAsia="zh-CN"/>
        </w:rPr>
        <w:t>三、生物农药及微生物农药项目可持续发展</w:t>
      </w:r>
      <w:bookmarkEnd w:id="9"/>
    </w:p>
    <w:p>
      <w:pPr>
        <w:pStyle w:val="Heading2"/>
        <w:rPr>
          <w:rFonts w:ascii="仿宋" w:eastAsia="仿宋" w:hAnsi="仿宋" w:cs="仿宋" w:hint="eastAsia"/>
          <w:lang w:eastAsia="zh-CN"/>
        </w:rPr>
      </w:pPr>
      <w:bookmarkStart w:id="10" w:name="_Toc1325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农药及微生物农药项目中，生物农药及微生物农药项目团队着眼于未来，明确了可持续发展的战略方向。制定的具体可持续发展目标包括降低资源使用、采用环保技术、最大化社会效益等。这一步骤不仅有助于生物农药及微生物农药项目在环保和社会责任方面达到最高标准，也为未来提供了明确的指引，确保生物农药及微生物农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可持续实践的融入生物农药及微生物农药项目管理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物农药及微生物农药项目管理周期。从生物农药及微生物农药项目规划开始，生物农药及微生物农药项目团队就考虑了环境和社会的因素。在执行阶段，生物农药及微生物农药项目团队积极推动绿色技术的应用，优化资源利用。此外，关注员工的社会责任，通过培训和沟通活动提高员工对可持续发展的认知，使他们能够在日常工作中践行可持续实践。这些举措不仅为生物农药及微生物农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586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物农药及微生物农药项目的可持续发展理念，我们深信环保与社会责任是生物农药及微生物农药项目成功的关键支柱。在生物农药及微生物农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团队通过引入先进的环保技术、建立高效的废物处理系统以及推动能源节约措施，积极履行环保责任。定期的环保监测和评估确保生物农药及微生物农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不仅致力于自身可持续发展，还注重对社会的回馈。通过支持社区生物农药及微生物农药项目、参与慈善事业、提供培训机会等方式，生物农药及微生物农药项目积极履行社会责任。与当地社区建立积极互动，关注员工的工作与生活平衡，以及员工的身心健康，是生物农药及微生物农药项目在社会责任层面的关键举措。这样的实践不仅增强了生物农药及微生物农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603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2918"/>
      <w:r>
        <w:rPr>
          <w:rFonts w:ascii="仿宋" w:eastAsia="仿宋" w:hAnsi="仿宋" w:cs="仿宋" w:hint="eastAsia"/>
          <w:lang w:eastAsia="zh-CN"/>
        </w:rPr>
        <w:t>(一)、生物农药及微生物农药行业分析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行业一直以来都是市场的关注焦点。行业内的发展趋势、竞争态势以及潜在机会都对生物农药及微生物农药项目的推进产生深远的影响。通过深入研究行业的整体概貌，我们将更好地理解行业的核心特征，为生物农药及微生物农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农药及微生物农药行业，技术一直是推动创新和发展的关键因素。我们将对当前技术趋势进行详尽分析，包括但不限于人工智能、大数据应用、先进制造技术等。这有助于生物农药及微生物农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物农药及微生物农药项目成功的基础。我们将对主要竞争对手进行深入研究，包括其市场份额、产品特点、市场定位等。通过全面了解竞争对手的优势和劣势，生物农药及微生物农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1850"/>
      <w:r>
        <w:rPr>
          <w:rFonts w:ascii="仿宋" w:eastAsia="仿宋" w:hAnsi="仿宋" w:cs="仿宋" w:hint="eastAsia"/>
          <w:sz w:val="28"/>
          <w:lang w:eastAsia="zh-CN"/>
        </w:rPr>
        <w:t>(二)、生物农药及微生物农药市场分析预测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物农药及微生物农药市场未来的增长趋势。这包括市场的整体规模、各细分领域的发展趋势等。生物农药及微生物农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物农药及微生物农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生物农药及微生物农药项目实施过程中需要充分考虑的因素。我们将对市场风险进行全面评估，包括但不限于政策法规风险、市场竞争风险、技术变革风险等。通过对潜在风险的深入分析，生物农药及微生物农药项目可以制定相应的风险缓解策略，降低不确定性对生物农药及微生物农药项目的影响。</w:t>
      </w:r>
    </w:p>
    <w:p>
      <w:pPr>
        <w:pStyle w:val="Heading1"/>
        <w:ind w:firstLine="560" w:firstLineChars="200"/>
        <w:rPr>
          <w:rFonts w:ascii="仿宋" w:eastAsia="仿宋" w:hAnsi="仿宋" w:cs="仿宋" w:hint="eastAsia"/>
          <w:sz w:val="28"/>
          <w:lang w:eastAsia="zh-CN"/>
        </w:rPr>
      </w:pPr>
      <w:bookmarkStart w:id="15" w:name="_Toc15017"/>
      <w:r>
        <w:rPr>
          <w:rFonts w:ascii="仿宋" w:eastAsia="仿宋" w:hAnsi="仿宋" w:cs="仿宋" w:hint="eastAsia"/>
          <w:sz w:val="28"/>
          <w:lang w:eastAsia="zh-CN"/>
        </w:rPr>
        <w:t>五、生物农药及微生物农药项目土建工程</w:t>
      </w:r>
      <w:bookmarkEnd w:id="15"/>
    </w:p>
    <w:p>
      <w:pPr>
        <w:pStyle w:val="Heading2"/>
        <w:rPr>
          <w:rFonts w:ascii="仿宋" w:eastAsia="仿宋" w:hAnsi="仿宋" w:cs="仿宋" w:hint="eastAsia"/>
          <w:lang w:eastAsia="zh-CN"/>
        </w:rPr>
      </w:pPr>
      <w:bookmarkStart w:id="16" w:name="_Toc2579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在生物农药及微生物农药项目的建筑工程设计中，我们将秉承一系列重要的设计原则，以确保生物农药及微生物农药项目建筑在功能、美观、可持续性等方面达到最佳效果。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首要原则是确保建筑的功能性得到最大化的发挥。我们将充分理解生物农药及微生物农药项目的实际需求，合理布局各个功能区域，保证建筑在满足业务需求的同时，提供高效的工作环境。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在建筑设计中，我们将综合考虑建设和运营成本。通过精细的经济效益分析，确保设计方案在高效利用资源的同时，对生物农药及微生物农药项目的长期盈利能力有积极的贡献。</w:t>
      </w:r>
    </w:p>
    <w:p>
      <w:pPr>
        <w:pStyle w:val="Heading2"/>
        <w:ind w:firstLine="560" w:firstLineChars="200"/>
        <w:rPr>
          <w:rFonts w:ascii="仿宋" w:eastAsia="仿宋" w:hAnsi="仿宋" w:cs="仿宋" w:hint="eastAsia"/>
          <w:sz w:val="28"/>
          <w:lang w:eastAsia="zh-CN"/>
        </w:rPr>
      </w:pPr>
      <w:bookmarkStart w:id="17" w:name="_Toc1953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农药及微生物农药项目的土建工程设计中，我们将精准设定设计年限，结合生物农药及微生物农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农药及微生物农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629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农药及微生物农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农药及微生物农药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农药及微生物农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362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本期工程生物农药及微生物农药项目预计总建筑面积XXX平方米，其中：计容建筑面积XXX平方米，计划建筑工程投资XX万元，占生物农药及微生物农药项目总投资的XX%。</w:t>
      </w:r>
    </w:p>
    <w:p>
      <w:pPr>
        <w:pStyle w:val="Heading1"/>
        <w:ind w:firstLine="560" w:firstLineChars="200"/>
        <w:rPr>
          <w:rFonts w:ascii="仿宋" w:eastAsia="仿宋" w:hAnsi="仿宋" w:cs="仿宋" w:hint="eastAsia"/>
          <w:sz w:val="28"/>
          <w:lang w:eastAsia="zh-CN"/>
        </w:rPr>
      </w:pPr>
      <w:bookmarkStart w:id="20" w:name="_Toc17784"/>
      <w:r>
        <w:rPr>
          <w:rFonts w:ascii="仿宋" w:eastAsia="仿宋" w:hAnsi="仿宋" w:cs="仿宋" w:hint="eastAsia"/>
          <w:sz w:val="28"/>
          <w:lang w:eastAsia="zh-CN"/>
        </w:rPr>
        <w:t>六、生物农药及微生物农药项目建设背景及必要性分析</w:t>
      </w:r>
      <w:bookmarkEnd w:id="20"/>
    </w:p>
    <w:p>
      <w:pPr>
        <w:pStyle w:val="Heading2"/>
        <w:rPr>
          <w:rFonts w:ascii="仿宋" w:eastAsia="仿宋" w:hAnsi="仿宋" w:cs="仿宋" w:hint="eastAsia"/>
          <w:lang w:eastAsia="zh-CN"/>
        </w:rPr>
      </w:pPr>
      <w:bookmarkStart w:id="21" w:name="_Toc9170"/>
      <w:r>
        <w:rPr>
          <w:rFonts w:ascii="仿宋" w:eastAsia="仿宋" w:hAnsi="仿宋" w:cs="仿宋" w:hint="eastAsia"/>
          <w:lang w:eastAsia="zh-CN"/>
        </w:rPr>
        <w:t>(一)、生物农药及微生物农药项目背景分析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农药及微生物农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农药及微生物农药项目在这个潮流中的定位。同时，我们将关注行业内涌现的新兴机遇，以便生物农药及微生物农药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物农药及微生物农药项目提供了强大的发展动力。我们将聚焦于行业内最新的技术发展趋势，包括但不限于人工智能、大数据分析、物联网等领域。通过深度的技术研究，我们将确保生物农药及微生物农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农药及微生物农药项目发展的源泉。我们将投入更多的精力对市场需求进行深入剖析，超越表面的需求，深入挖掘潜在的市场痛点和机遇。通过对市场需求的细致了解，生物农药及微生物农药项目将更有针对性地设计解决方案，满足市场的多样化需求，从而更好地促进生物农药及微生物农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农药及微生物农药项目战略至关重要。我们将对竞争态势进行更为深入的分析，包括但不限于市场份额、产品特点、客户满意度等多个维度。通过深度的竞争分析，生物农药及微生物农药项目将能够更准确地把握市场脉搏，制定具有竞争力的生物农药及微生物农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https://d.book118.com/636045051215010050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A53D85"/>
    <w:rsid w:val="6FA53D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04505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2024-02-10T09:48:00Z</dcterms:created>
  <dcterms:modified xsi:type="dcterms:W3CDTF">2024-02-10T09:48:24Z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5232E0DE9A464D6CADCB8B934731CBFE_11</vt:lpwstr>
  </property>
  <property fmtid="{D5CDD505-2E9C-101B-9397-08002B2CF9AE}" pid="3" name="KSOProductBuildVer">
    <vt:lpwstr>2052-12.1.0.16250</vt:lpwstr>
  </property>
</Properties>
</file>