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2015-2023年广州番禺职业技术学院高职单招（数学／语文／英语）历年参考题库带答案解析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“大都不过参国之一”中“参国之一”的意思是（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A.三个国家中的一个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B.国都的三分之一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C.参加国之一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D.三个国都中的一个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“文章合为时而著，歌诗合为事而作”的口号是谁提出的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C.白居易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下列诗人中，诗风苍凉悲壮的是（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A.曹操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B.陶渊明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D.王维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奠定郭沫若在中国现代文学史上的地位的是他于1921年出版的诗集（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A.《尝试集》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B.《红烛》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C.《女神》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D.《北方》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在《爱尔克的灯光》中，“爱尔克的灯光”的象征意义是（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A.封建家庭和礼教的没落与崩溃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B.对新生活的信念和对理想的追求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C.对旧家庭的憎恶和对财富的鄙弃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D.美好希望的破灭和生活的悲剧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准确描述《五代史伶官传序》中心论点的一组对应词语是（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A.兴盛与衰败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B.天命与人事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C.自满与谦虚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D.忧劳与逸豫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小说《断魂枪》写的悲剧是（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A.王三胜的失败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B.拳师沙子龙被人遗忘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C.孙老者的沦落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D.江湖艺人的命运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下列句子中，含有“名词用如动词”的是（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A.万川归之，不知何时止而盈。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B.彼以艰苦忍耐之力，冒其逆而突过之。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C.故人不独亲其亲，不独子其子。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D.远人不服，则修文德以来之。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柳永的词集是（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A.《漱玉词》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B.《乐章集》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C.《淮海词》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D.《稼轩词》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以1870年“普法战争”为背景的小说是（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A.《断魂枪》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B.《米龙老爹》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C.《麦琪的礼物》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D.《苦恼》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1921年7月，郭沫若和谁在日本创建了文学社团“创造社”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A.鲁迅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B.周作人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C.茅盾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D.郁达夫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在先秦诸子中，文风以想象丰富、辞藻瑰丽、汪洋恣肆而著称的是（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A.孟子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B.庄子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C.韩非子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D.墨子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李白《行路难》中运用行为细节描写揭示内心悲愤的诗句是（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A.金樽清酒斗十千，玉盘珍羞直万钱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B.停杯投箸不能食，拔剑四顾心茫然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C.行路难，行路难，多歧路，今安在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D.闲来垂钓碧溪上，忽复乘舟梦日边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辛弃疾在《水龙吟》（登建康赏心亭）中自称（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A.刘郎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B.季鹰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https://d.book118.com/636114035042010053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636114035042010053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