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spacing w:before="3"/>
        <w:rPr>
          <w:rFonts w:ascii="Times New Roman"/>
          <w:sz w:val="18"/>
        </w:rPr>
      </w:pPr>
    </w:p>
    <w:p>
      <w:pPr>
        <w:pStyle w:val="BodyText"/>
        <w:ind w:left="6984"/>
        <w:rPr>
          <w:rFonts w:ascii="Times New Roman"/>
          <w:sz w:val="20"/>
        </w:rPr>
      </w:pPr>
      <w:r>
        <w:rPr>
          <w:rFonts w:ascii="Times New Roman"/>
          <w:sz w:val="20"/>
        </w:rPr>
        <w:pict>
          <v:group id="_x0000_i1025" style="width:136.5pt;height:25.3pt;mso-position-horizontal-relative:char;mso-position-vertical-relative:line" coordorigin="0,0" coordsize="2730,506">
            <v:shape id="_x0000_s1026" style="width:2730;height:481;position:absolute;top:15" coordorigin="0,15" coordsize="2730,481" path="m15,30l15,496m2715,30l2715,496m,15l2730,15e" filled="f" stroked="t" strokecolor="black" strokeweight="1.5pt">
              <v:stroke dashstyle="solid"/>
              <v:path arrowok="t"/>
            </v:shape>
            <v:line id="_x0000_s1027" style="position:absolute" from="0,501" to="2730,501" stroked="t" strokecolor="black" strokeweight="0.5pt">
              <v:stroke dashstyle="solid"/>
            </v:line>
            <v:shapetype id="_x0000_t202" coordsize="21600,21600" o:spt="202" path="m,l,21600r21600,l21600,xe">
              <v:stroke joinstyle="miter"/>
              <v:path gradientshapeok="t" o:connecttype="rect"/>
            </v:shapetype>
            <v:shape id="_x0000_s1028" type="#_x0000_t202" style="width:2670;height:466;left:30;position:absolute;top:30" filled="f" stroked="f">
              <v:textbox inset="0,0,0,0">
                <w:txbxContent>
                  <w:p>
                    <w:pPr>
                      <w:tabs>
                        <w:tab w:val="left" w:pos="2539"/>
                      </w:tabs>
                      <w:spacing w:before="2"/>
                      <w:ind w:left="93" w:right="0" w:firstLine="0"/>
                      <w:jc w:val="left"/>
                      <w:rPr>
                        <w:rFonts w:ascii="Microsoft JhengHei" w:eastAsia="Microsoft JhengHei" w:hAnsi="Microsoft JhengHei"/>
                        <w:b/>
                        <w:sz w:val="24"/>
                      </w:rPr>
                    </w:pPr>
                    <w:r>
                      <w:rPr>
                        <w:rFonts w:ascii="Times New Roman" w:eastAsia="Times New Roman" w:hAnsi="Times New Roman"/>
                        <w:spacing w:val="-2"/>
                        <w:sz w:val="24"/>
                      </w:rPr>
                      <w:t>No</w:t>
                    </w:r>
                    <w:r>
                      <w:rPr>
                        <w:spacing w:val="-2"/>
                        <w:sz w:val="24"/>
                      </w:rPr>
                      <w:t>：</w:t>
                    </w:r>
                    <w:r>
                      <w:rPr>
                        <w:rFonts w:ascii="Microsoft JhengHei" w:eastAsia="Microsoft JhengHei" w:hAnsi="Microsoft JhengHei"/>
                        <w:b/>
                        <w:spacing w:val="-2"/>
                        <w:sz w:val="24"/>
                      </w:rPr>
                      <w:t>细则—</w:t>
                    </w:r>
                    <w:r>
                      <w:rPr>
                        <w:rFonts w:ascii="Microsoft JhengHei" w:eastAsia="Microsoft JhengHei" w:hAnsi="Microsoft JhengHei"/>
                        <w:b/>
                        <w:spacing w:val="40"/>
                        <w:sz w:val="24"/>
                      </w:rPr>
                      <w:t xml:space="preserve"> </w:t>
                    </w:r>
                    <w:r>
                      <w:rPr>
                        <w:rFonts w:ascii="Microsoft JhengHei" w:eastAsia="Microsoft JhengHei" w:hAnsi="Microsoft JhengHei"/>
                        <w:b/>
                        <w:sz w:val="24"/>
                        <w:u w:val="single"/>
                      </w:rPr>
                      <w:tab/>
                    </w:r>
                  </w:p>
                </w:txbxContent>
              </v:textbox>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Title"/>
      </w:pPr>
      <w:r>
        <w:t>监</w:t>
      </w:r>
      <w:r>
        <w:rPr>
          <w:rFonts w:ascii="Yu Gothic" w:eastAsia="Yu Gothic"/>
        </w:rPr>
        <w:t>理</w:t>
      </w:r>
      <w:r>
        <w:t>实</w:t>
      </w:r>
      <w:r>
        <w:rPr>
          <w:rFonts w:ascii="Yu Gothic" w:eastAsia="Yu Gothic"/>
        </w:rPr>
        <w:t>施</w:t>
      </w:r>
      <w:r>
        <w:rPr>
          <w:spacing w:val="-5"/>
        </w:rPr>
        <w:t>细则</w:t>
      </w:r>
    </w:p>
    <w:p>
      <w:pPr>
        <w:pStyle w:val="BodyText"/>
        <w:spacing w:before="16"/>
        <w:rPr>
          <w:rFonts w:ascii="Microsoft JhengHei"/>
          <w:b/>
          <w:sz w:val="71"/>
        </w:rPr>
      </w:pPr>
    </w:p>
    <w:p>
      <w:pPr>
        <w:tabs>
          <w:tab w:val="left" w:pos="5390"/>
        </w:tabs>
        <w:spacing w:before="0"/>
        <w:ind w:left="0" w:right="446" w:firstLine="0"/>
        <w:jc w:val="center"/>
        <w:rPr>
          <w:rFonts w:ascii="Times New Roman" w:eastAsia="Times New Roman"/>
          <w:b/>
          <w:sz w:val="28"/>
        </w:rPr>
      </w:pPr>
      <w:r>
        <w:rPr>
          <w:rFonts w:ascii="Microsoft JhengHei" w:eastAsia="Microsoft JhengHei"/>
          <w:b/>
          <w:sz w:val="28"/>
        </w:rPr>
        <w:t>工</w:t>
      </w:r>
      <w:r>
        <w:rPr>
          <w:rFonts w:ascii="Microsoft JhengHei" w:eastAsia="Microsoft JhengHei"/>
          <w:b/>
          <w:sz w:val="28"/>
        </w:rPr>
        <w:t>程</w:t>
      </w:r>
      <w:r>
        <w:rPr>
          <w:rFonts w:ascii="Microsoft JhengHei" w:eastAsia="Microsoft JhengHei"/>
          <w:b/>
          <w:sz w:val="28"/>
        </w:rPr>
        <w:t>名</w:t>
      </w:r>
      <w:r>
        <w:rPr>
          <w:rFonts w:ascii="Microsoft JhengHei" w:eastAsia="Microsoft JhengHei"/>
          <w:b/>
          <w:sz w:val="28"/>
        </w:rPr>
        <w:t>称</w:t>
      </w:r>
      <w:r>
        <w:rPr>
          <w:rFonts w:ascii="Microsoft JhengHei" w:eastAsia="Microsoft JhengHei"/>
          <w:b/>
          <w:spacing w:val="-10"/>
          <w:sz w:val="28"/>
        </w:rPr>
        <w:t>：</w:t>
      </w:r>
      <w:r>
        <w:rPr>
          <w:rFonts w:ascii="Times New Roman" w:eastAsia="Times New Roman"/>
          <w:b/>
          <w:sz w:val="28"/>
          <w:u w:val="thick"/>
        </w:rPr>
        <w:tab/>
      </w:r>
    </w:p>
    <w:p>
      <w:pPr>
        <w:pStyle w:val="BodyText"/>
        <w:rPr>
          <w:rFonts w:ascii="Times New Roman"/>
          <w:b/>
          <w:sz w:val="20"/>
        </w:rPr>
      </w:pPr>
    </w:p>
    <w:p>
      <w:pPr>
        <w:pStyle w:val="BodyText"/>
        <w:rPr>
          <w:rFonts w:ascii="Times New Roman"/>
          <w:b/>
          <w:sz w:val="20"/>
        </w:rPr>
      </w:pPr>
    </w:p>
    <w:p>
      <w:pPr>
        <w:pStyle w:val="BodyText"/>
        <w:spacing w:before="9"/>
        <w:rPr>
          <w:rFonts w:ascii="Times New Roman"/>
          <w:b/>
          <w:sz w:val="25"/>
        </w:rPr>
      </w:pPr>
    </w:p>
    <w:p>
      <w:pPr>
        <w:tabs>
          <w:tab w:val="left" w:pos="841"/>
          <w:tab w:val="left" w:pos="2103"/>
          <w:tab w:val="left" w:pos="5332"/>
        </w:tabs>
        <w:spacing w:before="0" w:line="492" w:lineRule="exact"/>
        <w:ind w:left="0" w:right="505" w:firstLine="0"/>
        <w:jc w:val="center"/>
        <w:rPr>
          <w:rFonts w:ascii="Microsoft JhengHei" w:eastAsia="Microsoft JhengHei"/>
          <w:b/>
          <w:sz w:val="28"/>
        </w:rPr>
      </w:pPr>
      <w:r>
        <w:rPr>
          <w:rFonts w:ascii="Microsoft JhengHei" w:eastAsia="Microsoft JhengHei"/>
          <w:b/>
          <w:spacing w:val="-10"/>
          <w:sz w:val="28"/>
        </w:rPr>
        <w:t>专</w:t>
      </w:r>
      <w:r>
        <w:rPr>
          <w:rFonts w:ascii="Microsoft JhengHei" w:eastAsia="Microsoft JhengHei"/>
          <w:b/>
          <w:sz w:val="28"/>
        </w:rPr>
        <w:tab/>
        <w:t>业</w:t>
      </w:r>
      <w:r>
        <w:rPr>
          <w:rFonts w:ascii="Microsoft JhengHei" w:eastAsia="Microsoft JhengHei"/>
          <w:b/>
          <w:spacing w:val="-10"/>
          <w:sz w:val="28"/>
        </w:rPr>
        <w:t>：</w:t>
      </w:r>
      <w:r>
        <w:rPr>
          <w:rFonts w:ascii="Times New Roman" w:eastAsia="Times New Roman"/>
          <w:b/>
          <w:sz w:val="28"/>
          <w:u w:val="thick"/>
        </w:rPr>
        <w:tab/>
      </w:r>
      <w:r>
        <w:rPr>
          <w:rFonts w:ascii="Microsoft JhengHei" w:eastAsia="Microsoft JhengHei"/>
          <w:b/>
          <w:sz w:val="28"/>
          <w:u w:val="thick"/>
        </w:rPr>
        <w:t>安</w:t>
      </w:r>
      <w:r>
        <w:rPr>
          <w:rFonts w:ascii="Microsoft JhengHei" w:eastAsia="Microsoft JhengHei"/>
          <w:b/>
          <w:sz w:val="28"/>
          <w:u w:val="thick"/>
        </w:rPr>
        <w:t>全</w:t>
      </w:r>
      <w:r>
        <w:rPr>
          <w:rFonts w:ascii="Microsoft JhengHei" w:eastAsia="Microsoft JhengHei"/>
          <w:b/>
          <w:sz w:val="28"/>
          <w:u w:val="thick"/>
        </w:rPr>
        <w:t>监</w:t>
      </w:r>
      <w:r>
        <w:rPr>
          <w:rFonts w:ascii="Microsoft JhengHei" w:eastAsia="Microsoft JhengHei"/>
          <w:b/>
          <w:sz w:val="28"/>
          <w:u w:val="thick"/>
        </w:rPr>
        <w:t>理</w:t>
      </w:r>
      <w:r>
        <w:rPr>
          <w:rFonts w:ascii="Microsoft JhengHei" w:eastAsia="Microsoft JhengHei"/>
          <w:b/>
          <w:sz w:val="28"/>
          <w:u w:val="thick"/>
        </w:rPr>
        <w:t>实</w:t>
      </w:r>
      <w:r>
        <w:rPr>
          <w:rFonts w:ascii="Microsoft JhengHei" w:eastAsia="Microsoft JhengHei"/>
          <w:b/>
          <w:sz w:val="28"/>
          <w:u w:val="thick"/>
        </w:rPr>
        <w:t>施</w:t>
      </w:r>
      <w:r>
        <w:rPr>
          <w:rFonts w:ascii="Microsoft JhengHei" w:eastAsia="Microsoft JhengHei"/>
          <w:b/>
          <w:sz w:val="28"/>
          <w:u w:val="thick"/>
        </w:rPr>
        <w:t>细</w:t>
      </w:r>
      <w:r>
        <w:rPr>
          <w:rFonts w:ascii="Microsoft JhengHei" w:eastAsia="Microsoft JhengHei"/>
          <w:b/>
          <w:spacing w:val="-10"/>
          <w:sz w:val="28"/>
          <w:u w:val="thick"/>
        </w:rPr>
        <w:t>则</w:t>
      </w:r>
      <w:r>
        <w:rPr>
          <w:rFonts w:ascii="Microsoft JhengHei" w:eastAsia="Microsoft JhengHei"/>
          <w:b/>
          <w:sz w:val="28"/>
          <w:u w:val="thick"/>
        </w:rPr>
        <w:tab/>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15"/>
        </w:rPr>
      </w:pPr>
    </w:p>
    <w:p>
      <w:pPr>
        <w:tabs>
          <w:tab w:val="left" w:pos="5590"/>
          <w:tab w:val="left" w:pos="7898"/>
        </w:tabs>
        <w:spacing w:before="0" w:line="493" w:lineRule="exact"/>
        <w:ind w:left="396" w:right="0" w:firstLine="0"/>
        <w:jc w:val="center"/>
        <w:rPr>
          <w:rFonts w:ascii="Times New Roman" w:eastAsia="Times New Roman"/>
          <w:b/>
          <w:sz w:val="28"/>
        </w:rPr>
      </w:pPr>
      <w:r>
        <w:rPr>
          <w:rFonts w:ascii="Microsoft JhengHei" w:eastAsia="Microsoft JhengHei"/>
          <w:b/>
          <w:sz w:val="28"/>
        </w:rPr>
        <w:t>编</w:t>
      </w:r>
      <w:r>
        <w:rPr>
          <w:rFonts w:ascii="Microsoft JhengHei" w:eastAsia="Microsoft JhengHei"/>
          <w:b/>
          <w:sz w:val="28"/>
        </w:rPr>
        <w:t>制</w:t>
      </w:r>
      <w:r>
        <w:rPr>
          <w:rFonts w:ascii="Microsoft JhengHei" w:eastAsia="Microsoft JhengHei"/>
          <w:b/>
          <w:sz w:val="28"/>
        </w:rPr>
        <w:t>（</w:t>
      </w:r>
      <w:r>
        <w:rPr>
          <w:rFonts w:ascii="Microsoft JhengHei" w:eastAsia="Microsoft JhengHei"/>
          <w:b/>
          <w:sz w:val="28"/>
        </w:rPr>
        <w:t>专</w:t>
      </w:r>
      <w:r>
        <w:rPr>
          <w:rFonts w:ascii="Microsoft JhengHei" w:eastAsia="Microsoft JhengHei"/>
          <w:b/>
          <w:sz w:val="28"/>
        </w:rPr>
        <w:t>业</w:t>
      </w:r>
      <w:r>
        <w:rPr>
          <w:rFonts w:ascii="Microsoft JhengHei" w:eastAsia="Microsoft JhengHei"/>
          <w:b/>
          <w:sz w:val="28"/>
        </w:rPr>
        <w:t>监</w:t>
      </w:r>
      <w:r>
        <w:rPr>
          <w:rFonts w:ascii="Microsoft JhengHei" w:eastAsia="Microsoft JhengHei"/>
          <w:b/>
          <w:sz w:val="28"/>
        </w:rPr>
        <w:t>理</w:t>
      </w:r>
      <w:r>
        <w:rPr>
          <w:rFonts w:ascii="Microsoft JhengHei" w:eastAsia="Microsoft JhengHei"/>
          <w:b/>
          <w:sz w:val="28"/>
        </w:rPr>
        <w:t>工</w:t>
      </w:r>
      <w:r>
        <w:rPr>
          <w:rFonts w:ascii="Microsoft JhengHei" w:eastAsia="Microsoft JhengHei"/>
          <w:b/>
          <w:sz w:val="28"/>
        </w:rPr>
        <w:t>程</w:t>
      </w:r>
      <w:r>
        <w:rPr>
          <w:rFonts w:ascii="Microsoft JhengHei" w:eastAsia="Microsoft JhengHei"/>
          <w:b/>
          <w:sz w:val="28"/>
        </w:rPr>
        <w:t>师</w:t>
      </w:r>
      <w:r>
        <w:rPr>
          <w:rFonts w:ascii="Microsoft JhengHei" w:eastAsia="Microsoft JhengHei"/>
          <w:b/>
          <w:spacing w:val="-5"/>
          <w:sz w:val="28"/>
        </w:rPr>
        <w:t>）：</w:t>
      </w:r>
      <w:r>
        <w:rPr>
          <w:rFonts w:ascii="Times New Roman" w:eastAsia="Times New Roman"/>
          <w:b/>
          <w:sz w:val="28"/>
          <w:u w:val="thick"/>
        </w:rPr>
        <w:tab/>
      </w:r>
      <w:r>
        <w:rPr>
          <w:rFonts w:ascii="Microsoft JhengHei" w:eastAsia="Microsoft JhengHei"/>
          <w:b/>
          <w:sz w:val="28"/>
        </w:rPr>
        <w:t>日</w:t>
      </w:r>
      <w:r>
        <w:rPr>
          <w:rFonts w:ascii="Microsoft JhengHei" w:eastAsia="Microsoft JhengHei"/>
          <w:b/>
          <w:sz w:val="28"/>
        </w:rPr>
        <w:t>期</w:t>
      </w:r>
      <w:r>
        <w:rPr>
          <w:rFonts w:ascii="Microsoft JhengHei" w:eastAsia="Microsoft JhengHei"/>
          <w:b/>
          <w:spacing w:val="-10"/>
          <w:sz w:val="28"/>
        </w:rPr>
        <w:t>：</w:t>
      </w:r>
      <w:r>
        <w:rPr>
          <w:rFonts w:ascii="Times New Roman" w:eastAsia="Times New Roman"/>
          <w:b/>
          <w:sz w:val="28"/>
          <w:u w:val="thick"/>
        </w:rPr>
        <w:tab/>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tabs>
          <w:tab w:val="left" w:pos="5554"/>
          <w:tab w:val="left" w:pos="7862"/>
        </w:tabs>
        <w:spacing w:before="0" w:line="492" w:lineRule="exact"/>
        <w:ind w:left="362" w:right="0" w:firstLine="0"/>
        <w:jc w:val="center"/>
        <w:rPr>
          <w:rFonts w:ascii="Times New Roman" w:eastAsia="Times New Roman"/>
          <w:b/>
          <w:sz w:val="28"/>
        </w:rPr>
      </w:pPr>
      <w:r>
        <w:rPr>
          <w:rFonts w:ascii="Microsoft JhengHei" w:eastAsia="Microsoft JhengHei"/>
          <w:b/>
          <w:sz w:val="28"/>
        </w:rPr>
        <w:t>审</w:t>
      </w:r>
      <w:r>
        <w:rPr>
          <w:rFonts w:ascii="Microsoft JhengHei" w:eastAsia="Microsoft JhengHei"/>
          <w:b/>
          <w:sz w:val="28"/>
        </w:rPr>
        <w:t>核</w:t>
      </w:r>
      <w:r>
        <w:rPr>
          <w:rFonts w:ascii="Microsoft JhengHei" w:eastAsia="Microsoft JhengHei"/>
          <w:b/>
          <w:sz w:val="28"/>
        </w:rPr>
        <w:t>（</w:t>
      </w:r>
      <w:r>
        <w:rPr>
          <w:rFonts w:ascii="Microsoft JhengHei" w:eastAsia="Microsoft JhengHei"/>
          <w:b/>
          <w:spacing w:val="74"/>
          <w:sz w:val="28"/>
        </w:rPr>
        <w:t xml:space="preserve"> </w:t>
      </w:r>
      <w:r>
        <w:rPr>
          <w:rFonts w:ascii="Microsoft JhengHei" w:eastAsia="Microsoft JhengHei"/>
          <w:b/>
          <w:sz w:val="28"/>
        </w:rPr>
        <w:t>总</w:t>
      </w:r>
      <w:r>
        <w:rPr>
          <w:rFonts w:ascii="Microsoft JhengHei" w:eastAsia="Microsoft JhengHei"/>
          <w:b/>
          <w:sz w:val="28"/>
        </w:rPr>
        <w:t>监</w:t>
      </w:r>
      <w:r>
        <w:rPr>
          <w:rFonts w:ascii="Microsoft JhengHei" w:eastAsia="Microsoft JhengHei"/>
          <w:b/>
          <w:sz w:val="28"/>
        </w:rPr>
        <w:t>理</w:t>
      </w:r>
      <w:r>
        <w:rPr>
          <w:rFonts w:ascii="Microsoft JhengHei" w:eastAsia="Microsoft JhengHei"/>
          <w:b/>
          <w:sz w:val="28"/>
        </w:rPr>
        <w:t>工</w:t>
      </w:r>
      <w:r>
        <w:rPr>
          <w:rFonts w:ascii="Microsoft JhengHei" w:eastAsia="Microsoft JhengHei"/>
          <w:b/>
          <w:sz w:val="28"/>
        </w:rPr>
        <w:t>程</w:t>
      </w:r>
      <w:r>
        <w:rPr>
          <w:rFonts w:ascii="Microsoft JhengHei" w:eastAsia="Microsoft JhengHei"/>
          <w:b/>
          <w:sz w:val="28"/>
        </w:rPr>
        <w:t>师</w:t>
      </w:r>
      <w:r>
        <w:rPr>
          <w:rFonts w:ascii="Microsoft JhengHei" w:eastAsia="Microsoft JhengHei"/>
          <w:b/>
          <w:spacing w:val="75"/>
          <w:sz w:val="28"/>
        </w:rPr>
        <w:t xml:space="preserve"> </w:t>
      </w:r>
      <w:r>
        <w:rPr>
          <w:rFonts w:ascii="Microsoft JhengHei" w:eastAsia="Microsoft JhengHei"/>
          <w:b/>
          <w:spacing w:val="-5"/>
          <w:sz w:val="28"/>
        </w:rPr>
        <w:t>）：</w:t>
      </w:r>
      <w:r>
        <w:rPr>
          <w:rFonts w:ascii="Times New Roman" w:eastAsia="Times New Roman"/>
          <w:b/>
          <w:sz w:val="28"/>
          <w:u w:val="thick"/>
        </w:rPr>
        <w:tab/>
      </w:r>
      <w:r>
        <w:rPr>
          <w:rFonts w:ascii="Microsoft JhengHei" w:eastAsia="Microsoft JhengHei"/>
          <w:b/>
          <w:sz w:val="28"/>
        </w:rPr>
        <w:t>日</w:t>
      </w:r>
      <w:r>
        <w:rPr>
          <w:rFonts w:ascii="Microsoft JhengHei" w:eastAsia="Microsoft JhengHei"/>
          <w:b/>
          <w:sz w:val="28"/>
        </w:rPr>
        <w:t>期</w:t>
      </w:r>
      <w:r>
        <w:rPr>
          <w:rFonts w:ascii="Microsoft JhengHei" w:eastAsia="Microsoft JhengHei"/>
          <w:b/>
          <w:spacing w:val="-10"/>
          <w:sz w:val="28"/>
        </w:rPr>
        <w:t>：</w:t>
      </w:r>
      <w:r>
        <w:rPr>
          <w:rFonts w:ascii="Times New Roman" w:eastAsia="Times New Roman"/>
          <w:b/>
          <w:sz w:val="28"/>
          <w:u w:val="thick"/>
        </w:rPr>
        <w:tab/>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spacing w:before="141" w:line="290" w:lineRule="auto"/>
        <w:ind w:left="2876" w:right="3374" w:firstLine="0"/>
        <w:jc w:val="center"/>
        <w:rPr>
          <w:rFonts w:ascii="Microsoft JhengHei" w:eastAsia="Microsoft JhengHei"/>
          <w:b/>
          <w:sz w:val="28"/>
        </w:rPr>
      </w:pPr>
      <w:r>
        <w:rPr>
          <w:rFonts w:ascii="Microsoft JhengHei" w:eastAsia="Microsoft JhengHei"/>
          <w:b/>
          <w:spacing w:val="-2"/>
          <w:sz w:val="28"/>
        </w:rPr>
        <w:t>温州市长城建设监理有限公司</w:t>
      </w:r>
      <w:r>
        <w:rPr>
          <w:rFonts w:ascii="Microsoft JhengHei" w:eastAsia="Microsoft JhengHei"/>
          <w:b/>
          <w:spacing w:val="-2"/>
          <w:sz w:val="28"/>
        </w:rPr>
        <w:t>项目监理机构（盖章）</w:t>
      </w:r>
    </w:p>
    <w:p>
      <w:pPr>
        <w:tabs>
          <w:tab w:val="left" w:pos="701"/>
          <w:tab w:val="left" w:pos="1402"/>
        </w:tabs>
        <w:spacing w:before="2"/>
        <w:ind w:left="0" w:right="996" w:firstLine="0"/>
        <w:jc w:val="center"/>
        <w:rPr>
          <w:rFonts w:ascii="Microsoft JhengHei" w:eastAsia="Microsoft JhengHei"/>
          <w:b/>
          <w:sz w:val="28"/>
        </w:rPr>
      </w:pPr>
      <w:r>
        <w:rPr>
          <w:rFonts w:ascii="Microsoft JhengHei" w:eastAsia="Microsoft JhengHei"/>
          <w:b/>
          <w:spacing w:val="-10"/>
          <w:sz w:val="28"/>
        </w:rPr>
        <w:t>年</w:t>
      </w:r>
      <w:r>
        <w:rPr>
          <w:rFonts w:ascii="Times New Roman" w:eastAsia="Times New Roman"/>
          <w:b/>
          <w:sz w:val="28"/>
          <w:u w:val="thick"/>
        </w:rPr>
        <w:tab/>
      </w:r>
      <w:r>
        <w:rPr>
          <w:rFonts w:ascii="Microsoft JhengHei" w:eastAsia="Microsoft JhengHei"/>
          <w:b/>
          <w:spacing w:val="-10"/>
          <w:sz w:val="28"/>
        </w:rPr>
        <w:t>月</w:t>
      </w:r>
      <w:r>
        <w:rPr>
          <w:rFonts w:ascii="Times New Roman" w:eastAsia="Times New Roman"/>
          <w:b/>
          <w:sz w:val="28"/>
          <w:u w:val="thick"/>
        </w:rPr>
        <w:tab/>
      </w:r>
      <w:r>
        <w:rPr>
          <w:rFonts w:ascii="Microsoft JhengHei" w:eastAsia="Microsoft JhengHei"/>
          <w:b/>
          <w:spacing w:val="-10"/>
          <w:sz w:val="28"/>
        </w:rPr>
        <w:t>日</w:t>
      </w:r>
    </w:p>
    <w:p>
      <w:pPr>
        <w:spacing w:after="0"/>
        <w:jc w:val="center"/>
        <w:rPr>
          <w:rFonts w:ascii="Microsoft JhengHei" w:eastAsia="Microsoft JhengHei"/>
          <w:sz w:val="28"/>
        </w:rPr>
        <w:sectPr>
          <w:headerReference w:type="default" r:id="rId4"/>
          <w:footerReference w:type="default" r:id="rId5"/>
          <w:type w:val="continuous"/>
          <w:pgSz w:w="11910" w:h="16840"/>
          <w:pgMar w:top="2020" w:right="1060" w:bottom="1080" w:left="940" w:header="1000" w:footer="882"/>
          <w:pgNumType w:start="1"/>
          <w:cols w:space="708"/>
        </w:sectPr>
      </w:pPr>
    </w:p>
    <w:p>
      <w:pPr>
        <w:tabs>
          <w:tab w:val="left" w:pos="759"/>
        </w:tabs>
        <w:spacing w:before="0" w:line="563" w:lineRule="exact"/>
        <w:ind w:left="118" w:right="0" w:firstLine="0"/>
        <w:jc w:val="center"/>
        <w:rPr>
          <w:rFonts w:ascii="Microsoft JhengHei" w:eastAsia="Microsoft JhengHei"/>
          <w:b/>
          <w:sz w:val="32"/>
        </w:rPr>
      </w:pPr>
      <w:r>
        <w:rPr>
          <w:rFonts w:ascii="Microsoft JhengHei" w:eastAsia="Microsoft JhengHei"/>
          <w:b/>
          <w:spacing w:val="-10"/>
          <w:sz w:val="32"/>
        </w:rPr>
        <w:t>目</w:t>
      </w:r>
      <w:r>
        <w:rPr>
          <w:rFonts w:ascii="Microsoft JhengHei" w:eastAsia="Microsoft JhengHei"/>
          <w:b/>
          <w:sz w:val="32"/>
        </w:rPr>
        <w:tab/>
      </w:r>
      <w:r>
        <w:rPr>
          <w:rFonts w:ascii="Microsoft JhengHei" w:eastAsia="Microsoft JhengHei"/>
          <w:b/>
          <w:spacing w:val="-10"/>
          <w:sz w:val="32"/>
        </w:rPr>
        <w:t>录</w:t>
      </w:r>
    </w:p>
    <w:sdt>
      <w:sdtPr>
        <w:id w:val="1918219841"/>
        <w:docPartObj>
          <w:docPartGallery w:val="Table of Contents"/>
          <w:docPartUnique/>
        </w:docPartObj>
      </w:sdtPr>
      <w:sdtContent>
        <w:p>
          <w:pPr>
            <w:pStyle w:val="TOC1"/>
            <w:tabs>
              <w:tab w:val="right" w:leader="dot" w:pos="9481"/>
            </w:tabs>
            <w:spacing w:before="19"/>
            <w:rPr>
              <w:rFonts w:ascii="Times New Roman" w:eastAsia="Times New Roman"/>
            </w:rPr>
          </w:pPr>
          <w:r>
            <w:t>－、工程概</w:t>
          </w:r>
          <w:r>
            <w:rPr>
              <w:spacing w:val="-10"/>
            </w:rPr>
            <w:t>况</w:t>
          </w:r>
          <w:r>
            <w:rPr>
              <w:rFonts w:ascii="Times New Roman" w:eastAsia="Times New Roman"/>
              <w:b/>
            </w:rPr>
            <w:tab/>
          </w:r>
          <w:hyperlink w:anchor="_bookmark0" w:history="1">
            <w:r>
              <w:rPr>
                <w:rFonts w:ascii="Times New Roman" w:eastAsia="Times New Roman"/>
                <w:spacing w:val="-10"/>
              </w:rPr>
              <w:t>1</w:t>
            </w:r>
          </w:hyperlink>
        </w:p>
        <w:p>
          <w:pPr>
            <w:pStyle w:val="TOC1"/>
            <w:tabs>
              <w:tab w:val="right" w:leader="dot" w:pos="9481"/>
            </w:tabs>
            <w:spacing w:before="161"/>
            <w:rPr>
              <w:rFonts w:ascii="Times New Roman" w:eastAsia="Times New Roman"/>
            </w:rPr>
          </w:pPr>
          <w:r>
            <w:t>二、监理依</w:t>
          </w:r>
          <w:r>
            <w:rPr>
              <w:spacing w:val="-10"/>
            </w:rPr>
            <w:t>据</w:t>
          </w:r>
          <w:r>
            <w:rPr>
              <w:rFonts w:ascii="Times New Roman" w:eastAsia="Times New Roman"/>
              <w:b/>
            </w:rPr>
            <w:tab/>
          </w:r>
          <w:hyperlink w:anchor="_bookmark1" w:history="1">
            <w:r>
              <w:rPr>
                <w:rFonts w:ascii="Times New Roman" w:eastAsia="Times New Roman"/>
                <w:spacing w:val="-10"/>
              </w:rPr>
              <w:t>1</w:t>
            </w:r>
          </w:hyperlink>
        </w:p>
        <w:p>
          <w:pPr>
            <w:pStyle w:val="TOC1"/>
            <w:tabs>
              <w:tab w:val="right" w:leader="dot" w:pos="9481"/>
            </w:tabs>
            <w:rPr>
              <w:rFonts w:ascii="Times New Roman" w:eastAsia="Times New Roman"/>
            </w:rPr>
          </w:pPr>
          <w:hyperlink w:anchor="_TOC_250022" w:history="1">
            <w:r>
              <w:t>三、安全监理岗位职</w:t>
            </w:r>
            <w:r>
              <w:rPr>
                <w:spacing w:val="-10"/>
              </w:rPr>
              <w:t>责</w:t>
            </w:r>
            <w:r>
              <w:rPr>
                <w:rFonts w:ascii="Times New Roman" w:eastAsia="Times New Roman"/>
                <w:b/>
              </w:rPr>
              <w:tab/>
            </w:r>
            <w:r>
              <w:rPr>
                <w:rFonts w:ascii="Times New Roman" w:eastAsia="Times New Roman"/>
                <w:spacing w:val="-10"/>
              </w:rPr>
              <w:t>2</w:t>
            </w:r>
          </w:hyperlink>
        </w:p>
        <w:p>
          <w:pPr>
            <w:pStyle w:val="TOC2"/>
            <w:tabs>
              <w:tab w:val="right" w:leader="dot" w:pos="9481"/>
            </w:tabs>
            <w:rPr>
              <w:rFonts w:ascii="Times New Roman" w:eastAsia="Times New Roman"/>
            </w:rPr>
          </w:pPr>
          <w:hyperlink w:anchor="_TOC_250021" w:history="1">
            <w:r>
              <w:rPr>
                <w:rFonts w:ascii="Times New Roman" w:eastAsia="Times New Roman"/>
              </w:rPr>
              <w:t>1</w:t>
            </w:r>
            <w:r>
              <w:t>、总监理工程师职</w:t>
            </w:r>
            <w:r>
              <w:rPr>
                <w:spacing w:val="-10"/>
              </w:rPr>
              <w:t>责</w:t>
            </w:r>
            <w:r>
              <w:rPr>
                <w:rFonts w:ascii="Times New Roman" w:eastAsia="Times New Roman"/>
                <w:b/>
              </w:rPr>
              <w:tab/>
            </w:r>
            <w:r>
              <w:rPr>
                <w:rFonts w:ascii="Times New Roman" w:eastAsia="Times New Roman"/>
                <w:spacing w:val="-10"/>
              </w:rPr>
              <w:t>2</w:t>
            </w:r>
          </w:hyperlink>
        </w:p>
        <w:p>
          <w:pPr>
            <w:pStyle w:val="TOC2"/>
            <w:tabs>
              <w:tab w:val="right" w:leader="dot" w:pos="9481"/>
            </w:tabs>
            <w:spacing w:before="160"/>
            <w:rPr>
              <w:rFonts w:ascii="Times New Roman" w:eastAsia="Times New Roman"/>
            </w:rPr>
          </w:pPr>
          <w:r>
            <w:rPr>
              <w:rFonts w:ascii="Times New Roman" w:eastAsia="Times New Roman"/>
            </w:rPr>
            <w:t>2</w:t>
          </w:r>
          <w:r>
            <w:t>、专业监理工程师职</w:t>
          </w:r>
          <w:r>
            <w:rPr>
              <w:spacing w:val="-10"/>
            </w:rPr>
            <w:t>责</w:t>
          </w:r>
          <w:r>
            <w:rPr>
              <w:rFonts w:ascii="Times New Roman" w:eastAsia="Times New Roman"/>
              <w:b/>
            </w:rPr>
            <w:tab/>
          </w:r>
          <w:r>
            <w:rPr>
              <w:rFonts w:ascii="Times New Roman" w:eastAsia="Times New Roman"/>
              <w:spacing w:val="-10"/>
            </w:rPr>
            <w:t>3</w:t>
          </w:r>
        </w:p>
        <w:p>
          <w:pPr>
            <w:pStyle w:val="TOC2"/>
            <w:tabs>
              <w:tab w:val="right" w:leader="dot" w:pos="9481"/>
            </w:tabs>
            <w:rPr>
              <w:rFonts w:ascii="Times New Roman" w:eastAsia="Times New Roman"/>
            </w:rPr>
          </w:pPr>
          <w:r>
            <w:rPr>
              <w:rFonts w:ascii="Times New Roman" w:eastAsia="Times New Roman"/>
            </w:rPr>
            <w:t>3</w:t>
          </w:r>
          <w:r>
            <w:t>、安全监理人员职</w:t>
          </w:r>
          <w:r>
            <w:rPr>
              <w:spacing w:val="-10"/>
            </w:rPr>
            <w:t>责</w:t>
          </w:r>
          <w:r>
            <w:rPr>
              <w:rFonts w:ascii="Times New Roman" w:eastAsia="Times New Roman"/>
              <w:b/>
            </w:rPr>
            <w:tab/>
          </w:r>
          <w:r>
            <w:rPr>
              <w:rFonts w:ascii="Times New Roman" w:eastAsia="Times New Roman"/>
              <w:spacing w:val="-10"/>
            </w:rPr>
            <w:t>3</w:t>
          </w:r>
        </w:p>
        <w:p>
          <w:pPr>
            <w:pStyle w:val="TOC1"/>
            <w:tabs>
              <w:tab w:val="right" w:leader="dot" w:pos="9481"/>
            </w:tabs>
            <w:rPr>
              <w:rFonts w:ascii="Times New Roman" w:eastAsia="Times New Roman"/>
            </w:rPr>
          </w:pPr>
          <w:hyperlink w:anchor="_TOC_250020" w:history="1">
            <w:r>
              <w:t>四、安全监理工作流</w:t>
            </w:r>
            <w:r>
              <w:rPr>
                <w:spacing w:val="-10"/>
              </w:rPr>
              <w:t>程</w:t>
            </w:r>
            <w:r>
              <w:rPr>
                <w:rFonts w:ascii="Times New Roman" w:eastAsia="Times New Roman"/>
                <w:b/>
              </w:rPr>
              <w:tab/>
            </w:r>
            <w:r>
              <w:rPr>
                <w:rFonts w:ascii="Times New Roman" w:eastAsia="Times New Roman"/>
                <w:spacing w:val="-10"/>
              </w:rPr>
              <w:t>3</w:t>
            </w:r>
          </w:hyperlink>
        </w:p>
        <w:p>
          <w:pPr>
            <w:pStyle w:val="TOC1"/>
            <w:tabs>
              <w:tab w:val="right" w:leader="dot" w:pos="9481"/>
            </w:tabs>
            <w:spacing w:before="161"/>
            <w:rPr>
              <w:rFonts w:ascii="Times New Roman" w:eastAsia="Times New Roman"/>
            </w:rPr>
          </w:pPr>
          <w:hyperlink w:anchor="_TOC_250019" w:history="1">
            <w:r>
              <w:t>五、安全监理控制措</w:t>
            </w:r>
            <w:r>
              <w:rPr>
                <w:spacing w:val="-10"/>
              </w:rPr>
              <w:t>施</w:t>
            </w:r>
            <w:r>
              <w:rPr>
                <w:rFonts w:ascii="Times New Roman" w:eastAsia="Times New Roman"/>
                <w:b/>
              </w:rPr>
              <w:tab/>
            </w:r>
            <w:r>
              <w:rPr>
                <w:rFonts w:ascii="Times New Roman" w:eastAsia="Times New Roman"/>
                <w:spacing w:val="-10"/>
              </w:rPr>
              <w:t>5</w:t>
            </w:r>
          </w:hyperlink>
        </w:p>
        <w:p>
          <w:pPr>
            <w:pStyle w:val="TOC2"/>
            <w:tabs>
              <w:tab w:val="right" w:leader="dot" w:pos="9481"/>
            </w:tabs>
            <w:spacing w:before="160"/>
            <w:rPr>
              <w:rFonts w:ascii="Times New Roman" w:eastAsia="Times New Roman"/>
            </w:rPr>
          </w:pPr>
          <w:hyperlink w:anchor="_TOC_250018" w:history="1">
            <w:r>
              <w:rPr>
                <w:rFonts w:ascii="Times New Roman" w:eastAsia="Times New Roman"/>
              </w:rPr>
              <w:t>1</w:t>
            </w:r>
            <w:r>
              <w:t>、组织措</w:t>
            </w:r>
            <w:r>
              <w:rPr>
                <w:spacing w:val="-10"/>
              </w:rPr>
              <w:t>施</w:t>
            </w:r>
            <w:r>
              <w:rPr>
                <w:rFonts w:ascii="Times New Roman" w:eastAsia="Times New Roman"/>
                <w:b/>
              </w:rPr>
              <w:tab/>
            </w:r>
            <w:r>
              <w:rPr>
                <w:rFonts w:ascii="Times New Roman" w:eastAsia="Times New Roman"/>
                <w:spacing w:val="-10"/>
              </w:rPr>
              <w:t>5</w:t>
            </w:r>
          </w:hyperlink>
        </w:p>
        <w:p>
          <w:pPr>
            <w:pStyle w:val="TOC2"/>
            <w:tabs>
              <w:tab w:val="right" w:leader="dot" w:pos="9481"/>
            </w:tabs>
            <w:rPr>
              <w:rFonts w:ascii="Times New Roman" w:eastAsia="Times New Roman"/>
            </w:rPr>
          </w:pPr>
          <w:hyperlink w:anchor="_TOC_250017" w:history="1">
            <w:r>
              <w:rPr>
                <w:rFonts w:ascii="Times New Roman" w:eastAsia="Times New Roman"/>
              </w:rPr>
              <w:t>2</w:t>
            </w:r>
            <w:r>
              <w:t>、技术措</w:t>
            </w:r>
            <w:r>
              <w:rPr>
                <w:spacing w:val="-10"/>
              </w:rPr>
              <w:t>施</w:t>
            </w:r>
            <w:r>
              <w:rPr>
                <w:rFonts w:ascii="Times New Roman" w:eastAsia="Times New Roman"/>
                <w:b/>
              </w:rPr>
              <w:tab/>
            </w:r>
            <w:r>
              <w:rPr>
                <w:rFonts w:ascii="Times New Roman" w:eastAsia="Times New Roman"/>
                <w:spacing w:val="-10"/>
              </w:rPr>
              <w:t>6</w:t>
            </w:r>
          </w:hyperlink>
        </w:p>
        <w:p>
          <w:pPr>
            <w:pStyle w:val="TOC2"/>
            <w:tabs>
              <w:tab w:val="right" w:leader="dot" w:pos="9481"/>
            </w:tabs>
            <w:spacing w:before="160"/>
            <w:rPr>
              <w:rFonts w:ascii="Times New Roman" w:eastAsia="Times New Roman"/>
            </w:rPr>
          </w:pPr>
          <w:hyperlink w:anchor="_TOC_250016" w:history="1">
            <w:r>
              <w:rPr>
                <w:rFonts w:ascii="Times New Roman" w:eastAsia="Times New Roman"/>
              </w:rPr>
              <w:t>3</w:t>
            </w:r>
            <w:r>
              <w:t>、经济措</w:t>
            </w:r>
            <w:r>
              <w:rPr>
                <w:spacing w:val="-10"/>
              </w:rPr>
              <w:t>施</w:t>
            </w:r>
            <w:r>
              <w:rPr>
                <w:rFonts w:ascii="Times New Roman" w:eastAsia="Times New Roman"/>
                <w:b/>
              </w:rPr>
              <w:tab/>
            </w:r>
            <w:r>
              <w:rPr>
                <w:rFonts w:ascii="Times New Roman" w:eastAsia="Times New Roman"/>
                <w:spacing w:val="-10"/>
              </w:rPr>
              <w:t>7</w:t>
            </w:r>
          </w:hyperlink>
        </w:p>
        <w:p>
          <w:pPr>
            <w:pStyle w:val="TOC2"/>
            <w:tabs>
              <w:tab w:val="right" w:leader="dot" w:pos="9481"/>
            </w:tabs>
            <w:rPr>
              <w:rFonts w:ascii="Times New Roman" w:eastAsia="Times New Roman"/>
            </w:rPr>
          </w:pPr>
          <w:hyperlink w:anchor="_TOC_250015" w:history="1">
            <w:r>
              <w:rPr>
                <w:rFonts w:ascii="Times New Roman" w:eastAsia="Times New Roman"/>
              </w:rPr>
              <w:t>4</w:t>
            </w:r>
            <w:r>
              <w:t>、其他措</w:t>
            </w:r>
            <w:r>
              <w:rPr>
                <w:spacing w:val="-10"/>
              </w:rPr>
              <w:t>施</w:t>
            </w:r>
            <w:r>
              <w:rPr>
                <w:rFonts w:ascii="Times New Roman" w:eastAsia="Times New Roman"/>
                <w:b/>
              </w:rPr>
              <w:tab/>
            </w:r>
            <w:r>
              <w:rPr>
                <w:rFonts w:ascii="Times New Roman" w:eastAsia="Times New Roman"/>
                <w:spacing w:val="-10"/>
              </w:rPr>
              <w:t>7</w:t>
            </w:r>
          </w:hyperlink>
        </w:p>
        <w:p>
          <w:pPr>
            <w:pStyle w:val="TOC1"/>
            <w:tabs>
              <w:tab w:val="right" w:leader="dot" w:pos="9481"/>
            </w:tabs>
            <w:rPr>
              <w:rFonts w:ascii="Times New Roman" w:eastAsia="Times New Roman"/>
            </w:rPr>
          </w:pPr>
          <w:hyperlink w:anchor="_TOC_250014" w:history="1">
            <w:r>
              <w:t>六、安全控制方</w:t>
            </w:r>
            <w:r>
              <w:rPr>
                <w:spacing w:val="-10"/>
              </w:rPr>
              <w:t>法</w:t>
            </w:r>
            <w:r>
              <w:rPr>
                <w:rFonts w:ascii="Times New Roman" w:eastAsia="Times New Roman"/>
                <w:b/>
              </w:rPr>
              <w:tab/>
            </w:r>
            <w:r>
              <w:rPr>
                <w:rFonts w:ascii="Times New Roman" w:eastAsia="Times New Roman"/>
                <w:spacing w:val="-10"/>
              </w:rPr>
              <w:t>7</w:t>
            </w:r>
          </w:hyperlink>
        </w:p>
        <w:p>
          <w:pPr>
            <w:pStyle w:val="TOC2"/>
            <w:tabs>
              <w:tab w:val="right" w:leader="dot" w:pos="9481"/>
            </w:tabs>
            <w:rPr>
              <w:rFonts w:ascii="Times New Roman" w:eastAsia="Times New Roman"/>
            </w:rPr>
          </w:pPr>
          <w:hyperlink w:anchor="_TOC_250013" w:history="1">
            <w:r>
              <w:rPr>
                <w:rFonts w:ascii="Times New Roman" w:eastAsia="Times New Roman"/>
              </w:rPr>
              <w:t>1</w:t>
            </w:r>
            <w:r>
              <w:t>、施工准备阶段安全监理方</w:t>
            </w:r>
            <w:r>
              <w:rPr>
                <w:spacing w:val="-10"/>
              </w:rPr>
              <w:t>法</w:t>
            </w:r>
            <w:r>
              <w:rPr>
                <w:rFonts w:ascii="Times New Roman" w:eastAsia="Times New Roman"/>
                <w:b/>
              </w:rPr>
              <w:tab/>
            </w:r>
            <w:r>
              <w:rPr>
                <w:rFonts w:ascii="Times New Roman" w:eastAsia="Times New Roman"/>
                <w:spacing w:val="-10"/>
              </w:rPr>
              <w:t>7</w:t>
            </w:r>
          </w:hyperlink>
        </w:p>
        <w:p>
          <w:pPr>
            <w:pStyle w:val="TOC2"/>
            <w:tabs>
              <w:tab w:val="right" w:leader="dot" w:pos="9481"/>
            </w:tabs>
            <w:spacing w:before="160"/>
            <w:rPr>
              <w:rFonts w:ascii="Times New Roman" w:eastAsia="Times New Roman"/>
            </w:rPr>
          </w:pPr>
          <w:hyperlink w:anchor="_TOC_250012" w:history="1">
            <w:r>
              <w:rPr>
                <w:rFonts w:ascii="Times New Roman" w:eastAsia="Times New Roman"/>
              </w:rPr>
              <w:t>2</w:t>
            </w:r>
            <w:r>
              <w:t>、施工过程中安全监理方</w:t>
            </w:r>
            <w:r>
              <w:rPr>
                <w:spacing w:val="-10"/>
              </w:rPr>
              <w:t>法</w:t>
            </w:r>
            <w:r>
              <w:rPr>
                <w:rFonts w:ascii="Times New Roman" w:eastAsia="Times New Roman"/>
                <w:b/>
              </w:rPr>
              <w:tab/>
            </w:r>
            <w:r>
              <w:rPr>
                <w:rFonts w:ascii="Times New Roman" w:eastAsia="Times New Roman"/>
                <w:spacing w:val="-10"/>
              </w:rPr>
              <w:t>8</w:t>
            </w:r>
          </w:hyperlink>
        </w:p>
        <w:p>
          <w:pPr>
            <w:pStyle w:val="TOC2"/>
            <w:tabs>
              <w:tab w:val="right" w:leader="dot" w:pos="9481"/>
            </w:tabs>
            <w:rPr>
              <w:rFonts w:ascii="Times New Roman" w:eastAsia="Times New Roman"/>
            </w:rPr>
          </w:pPr>
          <w:hyperlink w:anchor="_TOC_250011" w:history="1">
            <w:r>
              <w:t>3、事后控</w:t>
            </w:r>
            <w:r>
              <w:rPr>
                <w:spacing w:val="-10"/>
              </w:rPr>
              <w:t>制</w:t>
            </w:r>
            <w:r>
              <w:rPr>
                <w:rFonts w:ascii="Times New Roman" w:eastAsia="Times New Roman"/>
                <w:b/>
              </w:rPr>
              <w:tab/>
            </w:r>
            <w:r>
              <w:rPr>
                <w:rFonts w:ascii="Times New Roman" w:eastAsia="Times New Roman"/>
                <w:spacing w:val="-10"/>
              </w:rPr>
              <w:t>8</w:t>
            </w:r>
          </w:hyperlink>
        </w:p>
        <w:p>
          <w:pPr>
            <w:pStyle w:val="TOC1"/>
            <w:tabs>
              <w:tab w:val="right" w:leader="dot" w:pos="9481"/>
            </w:tabs>
            <w:rPr>
              <w:rFonts w:ascii="Times New Roman" w:eastAsia="Times New Roman"/>
            </w:rPr>
          </w:pPr>
          <w:hyperlink w:anchor="_TOC_250010" w:history="1">
            <w:r>
              <w:t>七、安全监理控制要</w:t>
            </w:r>
            <w:r>
              <w:rPr>
                <w:spacing w:val="-10"/>
              </w:rPr>
              <w:t>点</w:t>
            </w:r>
            <w:r>
              <w:rPr>
                <w:rFonts w:ascii="Times New Roman" w:eastAsia="Times New Roman"/>
                <w:b/>
              </w:rPr>
              <w:tab/>
            </w:r>
            <w:r>
              <w:rPr>
                <w:rFonts w:ascii="Times New Roman" w:eastAsia="Times New Roman"/>
                <w:spacing w:val="-10"/>
              </w:rPr>
              <w:t>9</w:t>
            </w:r>
          </w:hyperlink>
        </w:p>
        <w:p>
          <w:pPr>
            <w:pStyle w:val="TOC2"/>
            <w:tabs>
              <w:tab w:val="right" w:leader="dot" w:pos="9481"/>
            </w:tabs>
            <w:rPr>
              <w:rFonts w:ascii="Times New Roman" w:eastAsia="Times New Roman"/>
            </w:rPr>
          </w:pPr>
          <w:hyperlink w:anchor="_TOC_250009" w:history="1">
            <w:r>
              <w:t>1、临时用</w:t>
            </w:r>
            <w:r>
              <w:rPr>
                <w:spacing w:val="-10"/>
              </w:rPr>
              <w:t>电</w:t>
            </w:r>
            <w:r>
              <w:rPr>
                <w:rFonts w:ascii="Times New Roman" w:eastAsia="Times New Roman"/>
                <w:b/>
              </w:rPr>
              <w:tab/>
            </w:r>
            <w:r>
              <w:rPr>
                <w:rFonts w:ascii="Times New Roman" w:eastAsia="Times New Roman"/>
                <w:spacing w:val="-10"/>
              </w:rPr>
              <w:t>9</w:t>
            </w:r>
          </w:hyperlink>
        </w:p>
        <w:p>
          <w:pPr>
            <w:pStyle w:val="TOC2"/>
            <w:tabs>
              <w:tab w:val="right" w:leader="dot" w:pos="9481"/>
            </w:tabs>
            <w:spacing w:before="160"/>
            <w:rPr>
              <w:rFonts w:ascii="Times New Roman" w:eastAsia="Times New Roman"/>
            </w:rPr>
          </w:pPr>
          <w:hyperlink w:anchor="_TOC_250008" w:history="1">
            <w:r>
              <w:t>2、土方工</w:t>
            </w:r>
            <w:r>
              <w:rPr>
                <w:spacing w:val="-10"/>
              </w:rPr>
              <w:t>程</w:t>
            </w:r>
            <w:r>
              <w:rPr>
                <w:rFonts w:ascii="Times New Roman" w:eastAsia="Times New Roman"/>
                <w:b/>
              </w:rPr>
              <w:tab/>
            </w:r>
            <w:r>
              <w:rPr>
                <w:rFonts w:ascii="Times New Roman" w:eastAsia="Times New Roman"/>
                <w:spacing w:val="-10"/>
              </w:rPr>
              <w:t>9</w:t>
            </w:r>
          </w:hyperlink>
        </w:p>
        <w:p>
          <w:pPr>
            <w:pStyle w:val="TOC2"/>
            <w:tabs>
              <w:tab w:val="right" w:leader="dot" w:pos="9481"/>
            </w:tabs>
            <w:rPr>
              <w:rFonts w:ascii="Times New Roman" w:eastAsia="Times New Roman"/>
            </w:rPr>
          </w:pPr>
          <w:hyperlink w:anchor="_TOC_250007" w:history="1">
            <w:r>
              <w:t>3、钢筋混凝土工</w:t>
            </w:r>
            <w:r>
              <w:rPr>
                <w:spacing w:val="-10"/>
              </w:rPr>
              <w:t>程</w:t>
            </w:r>
            <w:r>
              <w:rPr>
                <w:rFonts w:ascii="Times New Roman" w:eastAsia="Times New Roman"/>
                <w:b/>
              </w:rPr>
              <w:tab/>
            </w:r>
            <w:r>
              <w:rPr>
                <w:rFonts w:ascii="Times New Roman" w:eastAsia="Times New Roman"/>
                <w:spacing w:val="-5"/>
              </w:rPr>
              <w:t>10</w:t>
            </w:r>
          </w:hyperlink>
        </w:p>
        <w:p>
          <w:pPr>
            <w:pStyle w:val="TOC2"/>
            <w:tabs>
              <w:tab w:val="right" w:leader="dot" w:pos="9481"/>
            </w:tabs>
            <w:spacing w:before="160"/>
            <w:rPr>
              <w:rFonts w:ascii="Times New Roman" w:eastAsia="Times New Roman"/>
            </w:rPr>
          </w:pPr>
          <w:hyperlink w:anchor="_TOC_250006" w:history="1">
            <w:r>
              <w:t>4、砌体工</w:t>
            </w:r>
            <w:r>
              <w:rPr>
                <w:spacing w:val="-10"/>
              </w:rPr>
              <w:t>程</w:t>
            </w:r>
            <w:r>
              <w:rPr>
                <w:rFonts w:ascii="Times New Roman" w:eastAsia="Times New Roman"/>
                <w:b/>
              </w:rPr>
              <w:tab/>
            </w:r>
            <w:r>
              <w:rPr>
                <w:rFonts w:ascii="Times New Roman" w:eastAsia="Times New Roman"/>
                <w:spacing w:val="-5"/>
              </w:rPr>
              <w:t>11</w:t>
            </w:r>
          </w:hyperlink>
        </w:p>
        <w:p>
          <w:pPr>
            <w:pStyle w:val="TOC2"/>
            <w:tabs>
              <w:tab w:val="right" w:leader="dot" w:pos="9481"/>
            </w:tabs>
            <w:rPr>
              <w:rFonts w:ascii="Times New Roman" w:eastAsia="Times New Roman"/>
            </w:rPr>
          </w:pPr>
          <w:hyperlink w:anchor="_TOC_250005" w:history="1">
            <w:r>
              <w:t>5、构件吊装工</w:t>
            </w:r>
            <w:r>
              <w:rPr>
                <w:spacing w:val="-10"/>
              </w:rPr>
              <w:t>程</w:t>
            </w:r>
            <w:r>
              <w:rPr>
                <w:rFonts w:ascii="Times New Roman" w:eastAsia="Times New Roman"/>
                <w:b/>
              </w:rPr>
              <w:tab/>
            </w:r>
            <w:r>
              <w:rPr>
                <w:rFonts w:ascii="Times New Roman" w:eastAsia="Times New Roman"/>
                <w:spacing w:val="-5"/>
              </w:rPr>
              <w:t>11</w:t>
            </w:r>
          </w:hyperlink>
        </w:p>
        <w:p>
          <w:pPr>
            <w:pStyle w:val="TOC2"/>
            <w:tabs>
              <w:tab w:val="right" w:leader="dot" w:pos="9481"/>
            </w:tabs>
            <w:spacing w:before="160"/>
            <w:rPr>
              <w:rFonts w:ascii="Times New Roman" w:eastAsia="Times New Roman"/>
            </w:rPr>
          </w:pPr>
          <w:hyperlink w:anchor="_TOC_250004" w:history="1">
            <w:r>
              <w:t>6、脚手架搭设工</w:t>
            </w:r>
            <w:r>
              <w:rPr>
                <w:spacing w:val="-10"/>
              </w:rPr>
              <w:t>程</w:t>
            </w:r>
            <w:r>
              <w:rPr>
                <w:rFonts w:ascii="Times New Roman" w:eastAsia="Times New Roman"/>
                <w:b/>
              </w:rPr>
              <w:tab/>
            </w:r>
            <w:r>
              <w:rPr>
                <w:rFonts w:ascii="Times New Roman" w:eastAsia="Times New Roman"/>
                <w:spacing w:val="-5"/>
              </w:rPr>
              <w:t>11</w:t>
            </w:r>
          </w:hyperlink>
        </w:p>
        <w:p>
          <w:pPr>
            <w:pStyle w:val="TOC2"/>
            <w:tabs>
              <w:tab w:val="right" w:leader="dot" w:pos="9481"/>
            </w:tabs>
            <w:rPr>
              <w:rFonts w:ascii="Times New Roman" w:eastAsia="Times New Roman"/>
            </w:rPr>
          </w:pPr>
          <w:hyperlink w:anchor="_TOC_250003" w:history="1">
            <w:r>
              <w:t>7、油漆、防腐蚀工</w:t>
            </w:r>
            <w:r>
              <w:rPr>
                <w:spacing w:val="-10"/>
              </w:rPr>
              <w:t>程</w:t>
            </w:r>
            <w:r>
              <w:rPr>
                <w:rFonts w:ascii="Times New Roman" w:eastAsia="Times New Roman"/>
                <w:b/>
              </w:rPr>
              <w:tab/>
            </w:r>
            <w:r>
              <w:rPr>
                <w:rFonts w:ascii="Times New Roman" w:eastAsia="Times New Roman"/>
                <w:spacing w:val="-5"/>
              </w:rPr>
              <w:t>11</w:t>
            </w:r>
          </w:hyperlink>
        </w:p>
        <w:p>
          <w:pPr>
            <w:pStyle w:val="TOC2"/>
            <w:tabs>
              <w:tab w:val="right" w:leader="dot" w:pos="9481"/>
            </w:tabs>
            <w:spacing w:before="160"/>
            <w:rPr>
              <w:rFonts w:ascii="Times New Roman" w:eastAsia="Times New Roman"/>
            </w:rPr>
          </w:pPr>
          <w:hyperlink w:anchor="_TOC_250002" w:history="1">
            <w:r>
              <w:t>8、施工机</w:t>
            </w:r>
            <w:r>
              <w:rPr>
                <w:spacing w:val="-10"/>
              </w:rPr>
              <w:t>械</w:t>
            </w:r>
            <w:r>
              <w:rPr>
                <w:rFonts w:ascii="Times New Roman" w:eastAsia="Times New Roman"/>
                <w:b/>
              </w:rPr>
              <w:tab/>
            </w:r>
            <w:r>
              <w:rPr>
                <w:rFonts w:ascii="Times New Roman" w:eastAsia="Times New Roman"/>
                <w:spacing w:val="-5"/>
              </w:rPr>
              <w:t>12</w:t>
            </w:r>
          </w:hyperlink>
        </w:p>
        <w:p>
          <w:pPr>
            <w:pStyle w:val="TOC2"/>
            <w:tabs>
              <w:tab w:val="right" w:leader="dot" w:pos="9481"/>
            </w:tabs>
            <w:rPr>
              <w:rFonts w:ascii="Times New Roman" w:eastAsia="Times New Roman"/>
            </w:rPr>
          </w:pPr>
          <w:hyperlink w:anchor="_TOC_250001" w:history="1">
            <w:r>
              <w:t>9、其它安全控制要</w:t>
            </w:r>
            <w:r>
              <w:rPr>
                <w:spacing w:val="-10"/>
              </w:rPr>
              <w:t>点</w:t>
            </w:r>
            <w:r>
              <w:rPr>
                <w:rFonts w:ascii="Times New Roman" w:eastAsia="Times New Roman"/>
                <w:b/>
              </w:rPr>
              <w:tab/>
            </w:r>
            <w:r>
              <w:rPr>
                <w:rFonts w:ascii="Times New Roman" w:eastAsia="Times New Roman"/>
                <w:spacing w:val="-5"/>
              </w:rPr>
              <w:t>13</w:t>
            </w:r>
          </w:hyperlink>
        </w:p>
        <w:p>
          <w:pPr>
            <w:pStyle w:val="TOC1"/>
            <w:tabs>
              <w:tab w:val="right" w:leader="dot" w:pos="9481"/>
            </w:tabs>
            <w:rPr>
              <w:rFonts w:ascii="Times New Roman" w:eastAsia="Times New Roman"/>
            </w:rPr>
          </w:pPr>
          <w:hyperlink w:anchor="_TOC_250000" w:history="1">
            <w:r>
              <w:t>八、安全监理的资料管</w:t>
            </w:r>
            <w:r>
              <w:rPr>
                <w:spacing w:val="-10"/>
              </w:rPr>
              <w:t>理</w:t>
            </w:r>
            <w:r>
              <w:rPr>
                <w:rFonts w:ascii="Times New Roman" w:eastAsia="Times New Roman"/>
                <w:b/>
              </w:rPr>
              <w:tab/>
            </w:r>
            <w:r>
              <w:rPr>
                <w:rFonts w:ascii="Times New Roman" w:eastAsia="Times New Roman"/>
                <w:spacing w:val="-5"/>
              </w:rPr>
              <w:t>14</w:t>
            </w:r>
          </w:hyperlink>
        </w:p>
      </w:sdtContent>
    </w:sdt>
    <w:p>
      <w:pPr>
        <w:spacing w:after="0"/>
        <w:rPr>
          <w:rFonts w:ascii="Times New Roman" w:eastAsia="Times New Roman"/>
        </w:rPr>
        <w:sectPr>
          <w:headerReference w:type="default" r:id="rId6"/>
          <w:footerReference w:type="default" r:id="rId7"/>
          <w:pgSz w:w="11910" w:h="16840"/>
          <w:pgMar w:top="2020" w:right="1060" w:bottom="1400" w:left="940" w:header="1000" w:footer="1201"/>
          <w:pgNumType w:start="1"/>
          <w:cols w:space="708"/>
        </w:sectPr>
      </w:pPr>
    </w:p>
    <w:p>
      <w:pPr>
        <w:pStyle w:val="BodyText"/>
        <w:rPr>
          <w:rFonts w:ascii="Times New Roman"/>
          <w:sz w:val="32"/>
        </w:rPr>
      </w:pPr>
    </w:p>
    <w:p>
      <w:pPr>
        <w:pStyle w:val="Heading1"/>
        <w:spacing w:before="208"/>
      </w:pPr>
      <w:bookmarkStart w:id="0" w:name="_bookmark0"/>
      <w:bookmarkEnd w:id="0"/>
      <w:r>
        <w:rPr>
          <w:spacing w:val="-2"/>
        </w:rPr>
        <w:t>－、工程概况</w:t>
      </w:r>
    </w:p>
    <w:p>
      <w:pPr>
        <w:pStyle w:val="BodyText"/>
        <w:spacing w:before="17"/>
        <w:rPr>
          <w:rFonts w:ascii="Microsoft JhengHei"/>
          <w:b/>
          <w:sz w:val="21"/>
        </w:rPr>
      </w:pPr>
    </w:p>
    <w:p>
      <w:pPr>
        <w:pStyle w:val="BodyText"/>
        <w:spacing w:line="343" w:lineRule="auto"/>
        <w:ind w:left="421" w:right="299" w:firstLine="480"/>
      </w:pPr>
      <w:r>
        <w:rPr>
          <w:spacing w:val="-2"/>
        </w:rPr>
        <w:t>简单阐述工程项目情况，描述工程施工过程中安全、文明施工的特点，指出安全文</w:t>
      </w:r>
      <w:r>
        <w:rPr>
          <w:spacing w:val="-2"/>
        </w:rPr>
        <w:t>明施工的重点、难点和要求加强监控的部位。</w:t>
      </w:r>
    </w:p>
    <w:p>
      <w:pPr>
        <w:pStyle w:val="Heading1"/>
        <w:spacing w:before="153"/>
      </w:pPr>
      <w:bookmarkStart w:id="1" w:name="_bookmark1"/>
      <w:bookmarkEnd w:id="1"/>
      <w:r>
        <w:rPr>
          <w:spacing w:val="-2"/>
        </w:rPr>
        <w:t>二、监理依据</w:t>
      </w:r>
    </w:p>
    <w:p>
      <w:pPr>
        <w:pStyle w:val="BodyText"/>
        <w:spacing w:before="17"/>
        <w:rPr>
          <w:rFonts w:ascii="Microsoft JhengHei"/>
          <w:b/>
          <w:sz w:val="21"/>
        </w:rPr>
      </w:pPr>
    </w:p>
    <w:p>
      <w:pPr>
        <w:pStyle w:val="BodyText"/>
        <w:ind w:left="901"/>
      </w:pPr>
      <w:r>
        <w:t>1</w:t>
      </w:r>
      <w:r>
        <w:rPr>
          <w:spacing w:val="-24"/>
        </w:rPr>
        <w:t>、《建设工程监理规范》</w:t>
      </w:r>
      <w:r>
        <w:rPr>
          <w:spacing w:val="6"/>
        </w:rPr>
        <w:t>（GB50319－2000</w:t>
      </w:r>
      <w:r>
        <w:rPr>
          <w:spacing w:val="-114"/>
        </w:rPr>
        <w:t>）</w:t>
      </w:r>
      <w:r>
        <w:rPr>
          <w:spacing w:val="6"/>
        </w:rPr>
        <w:t>；</w:t>
      </w:r>
    </w:p>
    <w:p>
      <w:pPr>
        <w:pStyle w:val="BodyText"/>
        <w:spacing w:before="133"/>
        <w:ind w:left="901"/>
      </w:pPr>
      <w:r>
        <w:t>2</w:t>
      </w:r>
      <w:r>
        <w:rPr>
          <w:spacing w:val="-12"/>
        </w:rPr>
        <w:t>、《中华人民共和国建筑法》；</w:t>
      </w:r>
    </w:p>
    <w:p>
      <w:pPr>
        <w:pStyle w:val="BodyText"/>
        <w:spacing w:before="132"/>
        <w:ind w:left="901"/>
      </w:pPr>
      <w:r>
        <w:t>3</w:t>
      </w:r>
      <w:r>
        <w:rPr>
          <w:spacing w:val="-20"/>
        </w:rPr>
        <w:t>、《中华人民共和国安全生产法》；</w:t>
      </w:r>
    </w:p>
    <w:p>
      <w:pPr>
        <w:pStyle w:val="BodyText"/>
        <w:spacing w:before="133"/>
        <w:ind w:left="901"/>
      </w:pPr>
      <w:r>
        <w:t>4</w:t>
      </w:r>
      <w:r>
        <w:rPr>
          <w:spacing w:val="-20"/>
        </w:rPr>
        <w:t>、《建设工程安全生产管理条例》；</w:t>
      </w:r>
    </w:p>
    <w:p>
      <w:pPr>
        <w:pStyle w:val="BodyText"/>
        <w:spacing w:before="132"/>
        <w:ind w:left="901"/>
      </w:pPr>
      <w:r>
        <w:t>5</w:t>
      </w:r>
      <w:r>
        <w:rPr>
          <w:spacing w:val="-12"/>
        </w:rPr>
        <w:t>、《建设工程质量管理条例》国务院令第</w:t>
      </w:r>
      <w:r>
        <w:t>279</w:t>
      </w:r>
      <w:r>
        <w:rPr>
          <w:spacing w:val="-4"/>
        </w:rPr>
        <w:t xml:space="preserve"> 号；</w:t>
      </w:r>
    </w:p>
    <w:p>
      <w:pPr>
        <w:pStyle w:val="BodyText"/>
        <w:spacing w:before="133" w:line="343" w:lineRule="auto"/>
        <w:ind w:left="421" w:right="298" w:firstLine="480"/>
      </w:pPr>
      <w:r>
        <w:rPr>
          <w:spacing w:val="-2"/>
        </w:rPr>
        <w:t>6、关于印发《建筑施工企业安全生产管理机构设置及专职安全生产管理人员配备办</w:t>
      </w:r>
      <w:r>
        <w:rPr>
          <w:spacing w:val="-2"/>
        </w:rPr>
        <w:t>法》和《危险性较大工程安全专项施工方案编制及专家论证审查办法》的通知</w:t>
      </w:r>
    </w:p>
    <w:p>
      <w:pPr>
        <w:pStyle w:val="BodyText"/>
        <w:ind w:left="901"/>
      </w:pPr>
      <w:r>
        <w:t>建质[2004]213</w:t>
      </w:r>
      <w:r>
        <w:rPr>
          <w:spacing w:val="-24"/>
        </w:rPr>
        <w:t xml:space="preserve"> 号；</w:t>
      </w:r>
    </w:p>
    <w:p>
      <w:pPr>
        <w:pStyle w:val="BodyText"/>
        <w:spacing w:before="133"/>
        <w:ind w:left="901"/>
      </w:pPr>
      <w:r>
        <w:t>7</w:t>
      </w:r>
      <w:r>
        <w:rPr>
          <w:spacing w:val="-12"/>
        </w:rPr>
        <w:t>、《关于进一步加强塔式起重机管理预防重大事故的通知》建</w:t>
      </w:r>
      <w:r>
        <w:t>[2000]237</w:t>
      </w:r>
      <w:r>
        <w:rPr>
          <w:spacing w:val="-24"/>
        </w:rPr>
        <w:t xml:space="preserve"> 号；</w:t>
      </w:r>
    </w:p>
    <w:p>
      <w:pPr>
        <w:pStyle w:val="BodyText"/>
        <w:spacing w:before="132" w:line="343" w:lineRule="auto"/>
        <w:ind w:left="421" w:right="299" w:firstLine="480"/>
      </w:pPr>
      <w:r>
        <w:rPr>
          <w:spacing w:val="-2"/>
        </w:rPr>
        <w:t>8</w:t>
      </w:r>
      <w:r>
        <w:rPr>
          <w:spacing w:val="-14"/>
        </w:rPr>
        <w:t>、《建筑工程预防高处坠落事故若干规定》和《建筑工程预防坍塌事故若干规定》</w:t>
      </w:r>
      <w:r>
        <w:t>建质[2003]82</w:t>
      </w:r>
      <w:r>
        <w:rPr>
          <w:spacing w:val="-14"/>
        </w:rPr>
        <w:t xml:space="preserve"> 号；</w:t>
      </w:r>
    </w:p>
    <w:p>
      <w:pPr>
        <w:pStyle w:val="BodyText"/>
        <w:spacing w:before="1"/>
        <w:ind w:left="901"/>
      </w:pPr>
      <w:r>
        <w:t>9</w:t>
      </w:r>
      <w:r>
        <w:rPr>
          <w:spacing w:val="-12"/>
        </w:rPr>
        <w:t>、《建筑施工高处作业安全技术规范》</w:t>
      </w:r>
      <w:r>
        <w:t>（JGJ80-</w:t>
      </w:r>
      <w:r>
        <w:rPr>
          <w:spacing w:val="-4"/>
        </w:rPr>
        <w:t>91）；</w:t>
      </w:r>
    </w:p>
    <w:p>
      <w:pPr>
        <w:pStyle w:val="BodyText"/>
        <w:spacing w:before="132"/>
        <w:ind w:left="901"/>
      </w:pPr>
      <w:r>
        <w:t>10</w:t>
      </w:r>
      <w:r>
        <w:rPr>
          <w:spacing w:val="-19"/>
        </w:rPr>
        <w:t>、《建筑施工现场环境与卫生标准》</w:t>
      </w:r>
      <w:r>
        <w:t>（JGJ146-</w:t>
      </w:r>
      <w:r>
        <w:rPr>
          <w:spacing w:val="18"/>
        </w:rPr>
        <w:t>2004</w:t>
      </w:r>
      <w:r>
        <w:rPr>
          <w:spacing w:val="-102"/>
        </w:rPr>
        <w:t>）</w:t>
      </w:r>
      <w:r>
        <w:rPr>
          <w:spacing w:val="18"/>
        </w:rPr>
        <w:t>；</w:t>
      </w:r>
    </w:p>
    <w:p>
      <w:pPr>
        <w:pStyle w:val="BodyText"/>
        <w:spacing w:before="133"/>
        <w:ind w:left="901"/>
      </w:pPr>
      <w:r>
        <w:t>11、《建筑拆除工程安全技术规范》（JGJ147-</w:t>
      </w:r>
      <w:r>
        <w:rPr>
          <w:spacing w:val="-2"/>
        </w:rPr>
        <w:t>2004）；</w:t>
      </w:r>
    </w:p>
    <w:p>
      <w:pPr>
        <w:pStyle w:val="BodyText"/>
        <w:spacing w:before="132"/>
        <w:ind w:left="901"/>
      </w:pPr>
      <w:r>
        <w:t>12、《建筑机械使用安全技术规程》</w:t>
      </w:r>
      <w:r>
        <w:rPr>
          <w:u w:val="single"/>
        </w:rPr>
        <w:t>（JGJ33-</w:t>
      </w:r>
      <w:r>
        <w:rPr>
          <w:spacing w:val="-2"/>
          <w:u w:val="single"/>
        </w:rPr>
        <w:t>2001）</w:t>
      </w:r>
      <w:r>
        <w:rPr>
          <w:spacing w:val="-2"/>
        </w:rPr>
        <w:t>；</w:t>
      </w:r>
    </w:p>
    <w:p>
      <w:pPr>
        <w:pStyle w:val="BodyText"/>
        <w:spacing w:before="133"/>
        <w:ind w:left="901"/>
      </w:pPr>
      <w:r>
        <w:t>13</w:t>
      </w:r>
      <w:r>
        <w:rPr>
          <w:spacing w:val="-12"/>
        </w:rPr>
        <w:t>、《建筑施工安全检查标准》</w:t>
      </w:r>
      <w:r>
        <w:rPr>
          <w:u w:val="single"/>
        </w:rPr>
        <w:t>JGJ59—</w:t>
      </w:r>
      <w:r>
        <w:rPr>
          <w:spacing w:val="-5"/>
          <w:u w:val="single"/>
        </w:rPr>
        <w:t>99</w:t>
      </w:r>
      <w:r>
        <w:rPr>
          <w:spacing w:val="-5"/>
        </w:rPr>
        <w:t>；</w:t>
      </w:r>
    </w:p>
    <w:p>
      <w:pPr>
        <w:pStyle w:val="BodyText"/>
        <w:spacing w:before="132"/>
        <w:ind w:left="901"/>
      </w:pPr>
      <w:r>
        <w:t>14</w:t>
      </w:r>
      <w:r>
        <w:rPr>
          <w:spacing w:val="-4"/>
        </w:rPr>
        <w:t>、 《中华人民共和国工程建设标准强制性条文——房屋建筑部分》</w:t>
      </w:r>
      <w:r>
        <w:t>（2002</w:t>
      </w:r>
      <w:r>
        <w:rPr>
          <w:spacing w:val="-20"/>
        </w:rPr>
        <w:t xml:space="preserve"> 年版</w:t>
      </w:r>
      <w:r>
        <w:rPr>
          <w:spacing w:val="-125"/>
        </w:rPr>
        <w:t>）</w:t>
      </w:r>
      <w:r>
        <w:rPr>
          <w:spacing w:val="-5"/>
        </w:rPr>
        <w:t>；</w:t>
      </w:r>
    </w:p>
    <w:p>
      <w:pPr>
        <w:pStyle w:val="BodyText"/>
        <w:spacing w:before="133"/>
        <w:ind w:left="901"/>
      </w:pPr>
      <w:r>
        <w:t>15、《建设工程施工现场供用电安全规范》</w:t>
      </w:r>
      <w:r>
        <w:rPr>
          <w:u w:val="single"/>
        </w:rPr>
        <w:t>（GB50194-</w:t>
      </w:r>
      <w:r>
        <w:rPr>
          <w:spacing w:val="-4"/>
          <w:u w:val="single"/>
        </w:rPr>
        <w:t>93）；</w:t>
      </w:r>
    </w:p>
    <w:p>
      <w:pPr>
        <w:pStyle w:val="BodyText"/>
        <w:spacing w:before="132"/>
        <w:ind w:left="901"/>
      </w:pPr>
      <w:r>
        <w:t>16、《建筑施工扣件式钢管脚手架安全技术规范》(JGJ130-2001)(2002</w:t>
      </w:r>
      <w:r>
        <w:rPr>
          <w:spacing w:val="-4"/>
        </w:rPr>
        <w:t>年版)</w:t>
      </w:r>
    </w:p>
    <w:p>
      <w:pPr>
        <w:pStyle w:val="BodyText"/>
        <w:spacing w:before="133"/>
        <w:ind w:left="901"/>
      </w:pPr>
      <w:r>
        <w:t>17、《建筑施工门式钢管脚手架安全技术规范》（JGJ 128—</w:t>
      </w:r>
      <w:r>
        <w:rPr>
          <w:spacing w:val="-2"/>
        </w:rPr>
        <w:t>2000）</w:t>
      </w:r>
    </w:p>
    <w:p>
      <w:pPr>
        <w:pStyle w:val="BodyText"/>
        <w:spacing w:before="132"/>
        <w:ind w:left="901"/>
      </w:pPr>
      <w:r>
        <w:t>18、《施工现场临时用电安全技术规范》</w:t>
      </w:r>
      <w:r>
        <w:rPr>
          <w:u w:val="single"/>
        </w:rPr>
        <w:t>（JGJ46-</w:t>
      </w:r>
      <w:r>
        <w:rPr>
          <w:spacing w:val="-2"/>
          <w:u w:val="single"/>
        </w:rPr>
        <w:t>2005）</w:t>
      </w:r>
    </w:p>
    <w:p>
      <w:pPr>
        <w:pStyle w:val="BodyText"/>
        <w:spacing w:before="133"/>
        <w:ind w:left="901"/>
      </w:pPr>
      <w:r>
        <w:t>19</w:t>
      </w:r>
      <w:r>
        <w:rPr>
          <w:spacing w:val="-1"/>
        </w:rPr>
        <w:t>、 国家和地方现行有关安全文明施工法律、法规、条例和规定；</w:t>
      </w:r>
    </w:p>
    <w:p>
      <w:pPr>
        <w:spacing w:after="0"/>
        <w:sectPr>
          <w:headerReference w:type="default" r:id="rId8"/>
          <w:footerReference w:type="default" r:id="rId9"/>
          <w:pgSz w:w="11910" w:h="16840"/>
          <w:pgMar w:top="2020" w:right="1060" w:bottom="1400" w:left="940" w:header="1000" w:footer="1201"/>
          <w:pgNumType w:start="2"/>
          <w:cols w:space="708"/>
        </w:sectPr>
      </w:pPr>
    </w:p>
    <w:p>
      <w:pPr>
        <w:pStyle w:val="BodyText"/>
        <w:rPr>
          <w:sz w:val="20"/>
        </w:rPr>
      </w:pPr>
    </w:p>
    <w:p>
      <w:pPr>
        <w:pStyle w:val="BodyText"/>
        <w:spacing w:before="11"/>
        <w:rPr>
          <w:sz w:val="17"/>
        </w:rPr>
      </w:pPr>
    </w:p>
    <w:p>
      <w:pPr>
        <w:pStyle w:val="BodyText"/>
        <w:spacing w:before="67"/>
        <w:ind w:left="901"/>
      </w:pPr>
      <w:r>
        <w:t>20</w:t>
      </w:r>
      <w:r>
        <w:rPr>
          <w:spacing w:val="-1"/>
        </w:rPr>
        <w:t>、 该工程有关合同、文件及技术资料；</w:t>
      </w:r>
    </w:p>
    <w:p>
      <w:pPr>
        <w:pStyle w:val="BodyText"/>
        <w:spacing w:before="132"/>
        <w:ind w:left="901"/>
      </w:pPr>
      <w:r>
        <w:t>21</w:t>
      </w:r>
      <w:r>
        <w:rPr>
          <w:spacing w:val="-10"/>
        </w:rPr>
        <w:t>、 经批准的《监理规划》；</w:t>
      </w:r>
    </w:p>
    <w:p>
      <w:pPr>
        <w:spacing w:before="149"/>
        <w:ind w:left="901" w:right="0" w:firstLine="0"/>
        <w:jc w:val="left"/>
        <w:rPr>
          <w:sz w:val="21"/>
        </w:rPr>
      </w:pPr>
      <w:r>
        <w:rPr>
          <w:rFonts w:ascii="Times New Roman" w:eastAsia="Times New Roman"/>
          <w:sz w:val="24"/>
        </w:rPr>
        <w:t>22</w:t>
      </w:r>
      <w:r>
        <w:rPr>
          <w:spacing w:val="-1"/>
          <w:sz w:val="21"/>
        </w:rPr>
        <w:t>、 经审批的各专业施工组织设计和施工方案。</w:t>
      </w:r>
    </w:p>
    <w:p>
      <w:pPr>
        <w:pStyle w:val="BodyText"/>
        <w:spacing w:before="10"/>
        <w:rPr>
          <w:sz w:val="22"/>
        </w:rPr>
      </w:pPr>
    </w:p>
    <w:p>
      <w:pPr>
        <w:pStyle w:val="Heading1"/>
        <w:spacing w:before="1"/>
      </w:pPr>
      <w:bookmarkStart w:id="2" w:name="_TOC_250022"/>
      <w:bookmarkEnd w:id="2"/>
      <w:r>
        <w:rPr>
          <w:spacing w:val="-1"/>
        </w:rPr>
        <w:t>三、安全监理岗位职责</w:t>
      </w:r>
    </w:p>
    <w:p>
      <w:pPr>
        <w:pStyle w:val="BodyText"/>
        <w:spacing w:before="17"/>
        <w:rPr>
          <w:rFonts w:ascii="Microsoft JhengHei"/>
          <w:b/>
          <w:sz w:val="21"/>
        </w:rPr>
      </w:pPr>
    </w:p>
    <w:p>
      <w:pPr>
        <w:pStyle w:val="BodyText"/>
        <w:spacing w:line="343" w:lineRule="auto"/>
        <w:ind w:left="421" w:right="299" w:firstLine="480"/>
        <w:jc w:val="both"/>
      </w:pPr>
      <w:r>
        <w:rPr>
          <w:spacing w:val="-2"/>
        </w:rPr>
        <w:t>项目总监理工程师对工程项目的安全监理工作负责，并根据工程项目特点，确定施</w:t>
      </w:r>
      <w:r>
        <w:rPr>
          <w:spacing w:val="-2"/>
        </w:rPr>
        <w:t>工现场具体安全监理人员，明确其工作职责。安全监理人员在总监理工程师的领导下，</w:t>
      </w:r>
      <w:r>
        <w:rPr>
          <w:spacing w:val="-2"/>
        </w:rPr>
        <w:t>从事施工现场日常安全监理工作。</w:t>
      </w:r>
    </w:p>
    <w:p>
      <w:pPr>
        <w:pStyle w:val="Heading2"/>
        <w:rPr>
          <w:rFonts w:ascii="Microsoft JhengHei" w:eastAsia="Microsoft JhengHei"/>
        </w:rPr>
      </w:pPr>
      <w:bookmarkStart w:id="3" w:name="_TOC_250021"/>
      <w:r>
        <w:rPr>
          <w:spacing w:val="-2"/>
        </w:rPr>
        <w:t>1、</w:t>
      </w:r>
      <w:r>
        <w:rPr>
          <w:rFonts w:ascii="Microsoft JhengHei" w:eastAsia="Microsoft JhengHei"/>
          <w:spacing w:val="-2"/>
        </w:rPr>
        <w:t>总监</w:t>
      </w:r>
      <w:r>
        <w:rPr>
          <w:spacing w:val="-2"/>
        </w:rPr>
        <w:t>理工程</w:t>
      </w:r>
      <w:bookmarkEnd w:id="3"/>
      <w:r>
        <w:rPr>
          <w:rFonts w:ascii="Microsoft JhengHei" w:eastAsia="Microsoft JhengHei"/>
          <w:spacing w:val="-5"/>
        </w:rPr>
        <w:t>师职责</w:t>
      </w:r>
    </w:p>
    <w:p>
      <w:pPr>
        <w:pStyle w:val="ListParagraph"/>
        <w:numPr>
          <w:ilvl w:val="0"/>
          <w:numId w:val="23"/>
        </w:numPr>
        <w:tabs>
          <w:tab w:val="left" w:pos="1502"/>
        </w:tabs>
        <w:spacing w:before="186" w:after="0" w:line="240" w:lineRule="auto"/>
        <w:ind w:left="1502" w:right="0" w:hanging="601"/>
        <w:jc w:val="left"/>
        <w:rPr>
          <w:sz w:val="24"/>
        </w:rPr>
      </w:pPr>
      <w:r>
        <w:rPr>
          <w:spacing w:val="-1"/>
          <w:sz w:val="24"/>
        </w:rPr>
        <w:t>负责组织建立项目部的安全监理组织体系。</w:t>
      </w:r>
    </w:p>
    <w:p>
      <w:pPr>
        <w:pStyle w:val="ListParagraph"/>
        <w:numPr>
          <w:ilvl w:val="0"/>
          <w:numId w:val="23"/>
        </w:numPr>
        <w:tabs>
          <w:tab w:val="left" w:pos="1502"/>
        </w:tabs>
        <w:spacing w:before="133" w:after="0" w:line="240" w:lineRule="auto"/>
        <w:ind w:left="1502" w:right="0" w:hanging="601"/>
        <w:jc w:val="left"/>
        <w:rPr>
          <w:sz w:val="24"/>
        </w:rPr>
      </w:pPr>
      <w:r>
        <w:rPr>
          <w:spacing w:val="-1"/>
          <w:sz w:val="24"/>
        </w:rPr>
        <w:t>结合工程特点，组织编制安全监理细则。</w:t>
      </w:r>
    </w:p>
    <w:p>
      <w:pPr>
        <w:pStyle w:val="ListParagraph"/>
        <w:numPr>
          <w:ilvl w:val="0"/>
          <w:numId w:val="23"/>
        </w:numPr>
        <w:tabs>
          <w:tab w:val="left" w:pos="1502"/>
        </w:tabs>
        <w:spacing w:before="132" w:after="0" w:line="240" w:lineRule="auto"/>
        <w:ind w:left="1502" w:right="0" w:hanging="601"/>
        <w:jc w:val="left"/>
        <w:rPr>
          <w:sz w:val="24"/>
        </w:rPr>
      </w:pPr>
      <w:r>
        <w:rPr>
          <w:spacing w:val="-1"/>
          <w:sz w:val="24"/>
        </w:rPr>
        <w:t>检查指导项目部成员日常安全监理工作。</w:t>
      </w:r>
    </w:p>
    <w:p>
      <w:pPr>
        <w:pStyle w:val="ListParagraph"/>
        <w:numPr>
          <w:ilvl w:val="0"/>
          <w:numId w:val="23"/>
        </w:numPr>
        <w:tabs>
          <w:tab w:val="left" w:pos="1502"/>
        </w:tabs>
        <w:spacing w:before="133" w:after="0" w:line="240" w:lineRule="auto"/>
        <w:ind w:left="1502" w:right="0" w:hanging="601"/>
        <w:jc w:val="left"/>
        <w:rPr>
          <w:sz w:val="24"/>
        </w:rPr>
      </w:pPr>
      <w:r>
        <w:rPr>
          <w:spacing w:val="-5"/>
          <w:sz w:val="24"/>
        </w:rPr>
        <w:t>组织审查承包商编制的现场施工安全保证体系文件，监督检查其体系运行情况。</w:t>
      </w:r>
    </w:p>
    <w:p>
      <w:pPr>
        <w:pStyle w:val="ListParagraph"/>
        <w:numPr>
          <w:ilvl w:val="0"/>
          <w:numId w:val="23"/>
        </w:numPr>
        <w:tabs>
          <w:tab w:val="left" w:pos="1502"/>
        </w:tabs>
        <w:spacing w:before="132" w:after="0" w:line="240" w:lineRule="auto"/>
        <w:ind w:left="1502" w:right="0" w:hanging="601"/>
        <w:jc w:val="left"/>
        <w:rPr>
          <w:sz w:val="24"/>
        </w:rPr>
      </w:pPr>
      <w:r>
        <w:rPr>
          <w:spacing w:val="-1"/>
          <w:sz w:val="24"/>
        </w:rPr>
        <w:t>组织现场安全联合检查。</w:t>
      </w:r>
    </w:p>
    <w:p>
      <w:pPr>
        <w:pStyle w:val="ListParagraph"/>
        <w:numPr>
          <w:ilvl w:val="0"/>
          <w:numId w:val="23"/>
        </w:numPr>
        <w:tabs>
          <w:tab w:val="left" w:pos="1502"/>
        </w:tabs>
        <w:spacing w:before="133" w:after="0" w:line="240" w:lineRule="auto"/>
        <w:ind w:left="1502" w:right="0" w:hanging="601"/>
        <w:jc w:val="left"/>
        <w:rPr>
          <w:sz w:val="24"/>
        </w:rPr>
      </w:pPr>
      <w:r>
        <w:rPr>
          <w:spacing w:val="-1"/>
          <w:sz w:val="24"/>
        </w:rPr>
        <w:t>参与施工现场安全事故的调查处理工作。</w:t>
      </w:r>
    </w:p>
    <w:p>
      <w:pPr>
        <w:spacing w:before="107"/>
        <w:ind w:left="421" w:right="0" w:firstLine="0"/>
        <w:jc w:val="left"/>
        <w:rPr>
          <w:rFonts w:ascii="Microsoft JhengHei" w:eastAsia="Microsoft JhengHei"/>
          <w:b/>
          <w:sz w:val="24"/>
        </w:rPr>
      </w:pPr>
      <w:r>
        <w:rPr>
          <w:rFonts w:ascii="Yu Gothic" w:eastAsia="Yu Gothic"/>
          <w:b/>
          <w:spacing w:val="-2"/>
          <w:sz w:val="24"/>
        </w:rPr>
        <w:t>2、安全</w:t>
      </w:r>
      <w:r>
        <w:rPr>
          <w:rFonts w:ascii="Microsoft JhengHei" w:eastAsia="Microsoft JhengHei"/>
          <w:b/>
          <w:spacing w:val="-2"/>
          <w:sz w:val="24"/>
        </w:rPr>
        <w:t>监</w:t>
      </w:r>
      <w:r>
        <w:rPr>
          <w:rFonts w:ascii="Yu Gothic" w:eastAsia="Yu Gothic"/>
          <w:b/>
          <w:spacing w:val="-2"/>
          <w:sz w:val="24"/>
        </w:rPr>
        <w:t>理人</w:t>
      </w:r>
      <w:r>
        <w:rPr>
          <w:rFonts w:ascii="Microsoft JhengHei" w:eastAsia="Microsoft JhengHei"/>
          <w:b/>
          <w:spacing w:val="-5"/>
          <w:sz w:val="24"/>
        </w:rPr>
        <w:t>员职责</w:t>
      </w:r>
    </w:p>
    <w:p>
      <w:pPr>
        <w:pStyle w:val="ListParagraph"/>
        <w:numPr>
          <w:ilvl w:val="0"/>
          <w:numId w:val="21"/>
        </w:numPr>
        <w:tabs>
          <w:tab w:val="left" w:pos="1502"/>
        </w:tabs>
        <w:spacing w:before="186" w:after="0" w:line="343" w:lineRule="auto"/>
        <w:ind w:left="421" w:right="298" w:firstLine="480"/>
        <w:jc w:val="left"/>
        <w:rPr>
          <w:sz w:val="24"/>
        </w:rPr>
      </w:pPr>
      <w:r>
        <w:rPr>
          <w:spacing w:val="-2"/>
          <w:sz w:val="24"/>
        </w:rPr>
        <w:t>协助总监理工程师的工作，建立各项规章制度；编制安全文明控制监理实施细</w:t>
      </w:r>
      <w:r>
        <w:rPr>
          <w:spacing w:val="-2"/>
          <w:sz w:val="24"/>
        </w:rPr>
        <w:t>则，整理安全内业资料。</w:t>
      </w:r>
    </w:p>
    <w:p>
      <w:pPr>
        <w:pStyle w:val="ListParagraph"/>
        <w:numPr>
          <w:ilvl w:val="0"/>
          <w:numId w:val="21"/>
        </w:numPr>
        <w:tabs>
          <w:tab w:val="left" w:pos="1502"/>
        </w:tabs>
        <w:spacing w:before="1" w:after="0" w:line="343" w:lineRule="auto"/>
        <w:ind w:left="421" w:right="178" w:firstLine="480"/>
        <w:jc w:val="left"/>
        <w:rPr>
          <w:sz w:val="24"/>
        </w:rPr>
      </w:pPr>
      <w:r>
        <w:rPr>
          <w:spacing w:val="-2"/>
          <w:sz w:val="24"/>
        </w:rPr>
        <w:t>认真检查施工组织设计或专业施工方案中的安全措施，安全管理制度及专业人</w:t>
      </w:r>
      <w:r>
        <w:rPr>
          <w:spacing w:val="-2"/>
          <w:sz w:val="24"/>
        </w:rPr>
        <w:t>员和设施的配备，特别对模板支撑、脚手架与井架，施工用电，高危作业，以及“三防、</w:t>
      </w:r>
      <w:r>
        <w:rPr>
          <w:spacing w:val="-2"/>
          <w:sz w:val="24"/>
        </w:rPr>
        <w:t>四宝”和防毒、防火等措施进行检查。</w:t>
      </w:r>
    </w:p>
    <w:p>
      <w:pPr>
        <w:pStyle w:val="ListParagraph"/>
        <w:numPr>
          <w:ilvl w:val="0"/>
          <w:numId w:val="21"/>
        </w:numPr>
        <w:tabs>
          <w:tab w:val="left" w:pos="1502"/>
        </w:tabs>
        <w:spacing w:before="1" w:after="0" w:line="343" w:lineRule="auto"/>
        <w:ind w:left="421" w:right="298" w:firstLine="480"/>
        <w:jc w:val="both"/>
        <w:rPr>
          <w:sz w:val="24"/>
        </w:rPr>
      </w:pPr>
      <w:r>
        <w:rPr>
          <w:spacing w:val="-2"/>
          <w:sz w:val="24"/>
        </w:rPr>
        <w:t>审查承包单位编制的安全保证体系文件；检查落实情况和工程安全状态，提出</w:t>
      </w:r>
      <w:r>
        <w:rPr>
          <w:spacing w:val="-2"/>
          <w:sz w:val="24"/>
        </w:rPr>
        <w:t>安全预防和纠正措施，对施工安全文明检查后的“限期整改项目”逐项进行复查与签字</w:t>
      </w:r>
      <w:r>
        <w:rPr>
          <w:spacing w:val="-2"/>
          <w:sz w:val="24"/>
        </w:rPr>
        <w:t>确认；督促承包单位及时整理现场安全管理文件资料。</w:t>
      </w:r>
    </w:p>
    <w:p>
      <w:pPr>
        <w:pStyle w:val="ListParagraph"/>
        <w:numPr>
          <w:ilvl w:val="0"/>
          <w:numId w:val="21"/>
        </w:numPr>
        <w:tabs>
          <w:tab w:val="left" w:pos="1502"/>
        </w:tabs>
        <w:spacing w:before="1" w:after="0" w:line="343" w:lineRule="auto"/>
        <w:ind w:left="421" w:right="298" w:firstLine="480"/>
        <w:jc w:val="left"/>
        <w:rPr>
          <w:sz w:val="24"/>
        </w:rPr>
      </w:pPr>
      <w:r>
        <w:rPr>
          <w:spacing w:val="-2"/>
          <w:sz w:val="24"/>
        </w:rPr>
        <w:t>督促承包单位按照国家及地方有关安全的法规、条例和规定进行安全、文明施</w:t>
      </w:r>
      <w:r>
        <w:rPr>
          <w:spacing w:val="-2"/>
          <w:sz w:val="24"/>
        </w:rPr>
        <w:t>工和安全防护措施的检查和验证，认真进行安全教育、安全交底及安全宣传工作。</w:t>
      </w:r>
    </w:p>
    <w:p>
      <w:pPr>
        <w:pStyle w:val="ListParagraph"/>
        <w:numPr>
          <w:ilvl w:val="0"/>
          <w:numId w:val="21"/>
        </w:numPr>
        <w:tabs>
          <w:tab w:val="left" w:pos="1502"/>
        </w:tabs>
        <w:spacing w:before="0" w:after="0" w:line="240" w:lineRule="auto"/>
        <w:ind w:left="1502" w:right="0" w:hanging="601"/>
        <w:jc w:val="left"/>
        <w:rPr>
          <w:sz w:val="24"/>
        </w:rPr>
      </w:pPr>
      <w:r>
        <w:rPr>
          <w:spacing w:val="-1"/>
          <w:sz w:val="24"/>
        </w:rPr>
        <w:t>参与调查、分析和处理工程安全事故。</w:t>
      </w:r>
    </w:p>
    <w:p>
      <w:pPr>
        <w:pStyle w:val="ListParagraph"/>
        <w:numPr>
          <w:ilvl w:val="0"/>
          <w:numId w:val="21"/>
        </w:numPr>
        <w:tabs>
          <w:tab w:val="left" w:pos="1502"/>
        </w:tabs>
        <w:spacing w:before="133" w:after="0" w:line="240" w:lineRule="auto"/>
        <w:ind w:left="1502" w:right="0" w:hanging="601"/>
        <w:jc w:val="left"/>
        <w:rPr>
          <w:sz w:val="24"/>
        </w:rPr>
      </w:pPr>
      <w:r>
        <w:rPr>
          <w:spacing w:val="-1"/>
          <w:sz w:val="24"/>
        </w:rPr>
        <w:t>参与或组织检查分部、分项工程安全状况，协助签署工序报验资料。</w:t>
      </w:r>
    </w:p>
    <w:p>
      <w:pPr>
        <w:spacing w:after="0" w:line="240" w:lineRule="auto"/>
        <w:jc w:val="left"/>
        <w:rPr>
          <w:sz w:val="24"/>
        </w:rPr>
        <w:sectPr>
          <w:headerReference w:type="default" r:id="rId10"/>
          <w:footerReference w:type="default" r:id="rId11"/>
          <w:pgSz w:w="11910" w:h="16840"/>
          <w:pgMar w:top="2020" w:right="1060" w:bottom="1400" w:left="940" w:header="1000" w:footer="1201"/>
          <w:pgNumType w:start="3"/>
          <w:cols w:space="708"/>
        </w:sectPr>
      </w:pPr>
    </w:p>
    <w:p>
      <w:pPr>
        <w:pStyle w:val="BodyText"/>
        <w:rPr>
          <w:sz w:val="20"/>
        </w:rPr>
      </w:pPr>
    </w:p>
    <w:p>
      <w:pPr>
        <w:pStyle w:val="BodyText"/>
        <w:spacing w:before="11"/>
        <w:rPr>
          <w:sz w:val="17"/>
        </w:rPr>
      </w:pPr>
    </w:p>
    <w:p>
      <w:pPr>
        <w:pStyle w:val="ListParagraph"/>
        <w:numPr>
          <w:ilvl w:val="0"/>
          <w:numId w:val="21"/>
        </w:numPr>
        <w:tabs>
          <w:tab w:val="left" w:pos="1502"/>
        </w:tabs>
        <w:spacing w:before="67" w:after="0" w:line="240" w:lineRule="auto"/>
        <w:ind w:left="1502" w:right="0" w:hanging="601"/>
        <w:jc w:val="left"/>
        <w:rPr>
          <w:sz w:val="24"/>
        </w:rPr>
      </w:pPr>
      <w:r>
        <w:rPr>
          <w:spacing w:val="-1"/>
          <w:sz w:val="24"/>
        </w:rPr>
        <w:t>做好现场安全巡查工作，参加由总监组织的现场“安全月检”工作。</w:t>
      </w:r>
    </w:p>
    <w:p>
      <w:pPr>
        <w:pStyle w:val="ListParagraph"/>
        <w:numPr>
          <w:ilvl w:val="0"/>
          <w:numId w:val="21"/>
        </w:numPr>
        <w:tabs>
          <w:tab w:val="left" w:pos="1502"/>
        </w:tabs>
        <w:spacing w:before="132" w:after="0" w:line="343" w:lineRule="auto"/>
        <w:ind w:left="421" w:right="178" w:firstLine="480"/>
        <w:jc w:val="left"/>
        <w:rPr>
          <w:sz w:val="24"/>
        </w:rPr>
      </w:pPr>
      <w:r>
        <w:rPr>
          <w:spacing w:val="-2"/>
          <w:sz w:val="24"/>
        </w:rPr>
        <w:t>组织、参与或配合施工单位安全员进行总体（包括生活区、办公区、施工场地</w:t>
      </w:r>
      <w:r>
        <w:rPr>
          <w:spacing w:val="-2"/>
          <w:sz w:val="24"/>
        </w:rPr>
        <w:t>）安全检查、专业安全措施的检查及日常例行的安全检查。</w:t>
      </w:r>
    </w:p>
    <w:p>
      <w:pPr>
        <w:pStyle w:val="ListParagraph"/>
        <w:numPr>
          <w:ilvl w:val="0"/>
          <w:numId w:val="21"/>
        </w:numPr>
        <w:tabs>
          <w:tab w:val="left" w:pos="1502"/>
        </w:tabs>
        <w:spacing w:before="1" w:after="0" w:line="343" w:lineRule="auto"/>
        <w:ind w:left="421" w:right="298" w:firstLine="480"/>
        <w:jc w:val="left"/>
        <w:rPr>
          <w:sz w:val="24"/>
        </w:rPr>
      </w:pPr>
      <w:r>
        <w:rPr>
          <w:spacing w:val="-2"/>
          <w:sz w:val="24"/>
        </w:rPr>
        <w:t>配合好上级有关部门的安全文明检查，督促及复查施工单位对检查意见的整</w:t>
      </w:r>
      <w:r>
        <w:rPr>
          <w:spacing w:val="-4"/>
          <w:sz w:val="24"/>
        </w:rPr>
        <w:t>改落实，并做好反馈工作。</w:t>
      </w:r>
    </w:p>
    <w:p>
      <w:pPr>
        <w:pStyle w:val="Heading1"/>
      </w:pPr>
      <w:bookmarkStart w:id="4" w:name="_TOC_250020"/>
      <w:bookmarkEnd w:id="4"/>
      <w:r>
        <w:rPr>
          <w:spacing w:val="-1"/>
        </w:rPr>
        <w:t>四、安全监理工作流程</w:t>
      </w:r>
    </w:p>
    <w:p>
      <w:pPr>
        <w:pStyle w:val="BodyText"/>
        <w:spacing w:before="17"/>
        <w:rPr>
          <w:rFonts w:ascii="Microsoft JhengHei"/>
          <w:b/>
          <w:sz w:val="21"/>
        </w:rPr>
      </w:pPr>
    </w:p>
    <w:p>
      <w:pPr>
        <w:pStyle w:val="BodyText"/>
        <w:spacing w:before="1"/>
        <w:ind w:left="901"/>
      </w:pPr>
      <w:r>
        <w:t>1</w:t>
      </w:r>
      <w:r>
        <w:rPr>
          <w:spacing w:val="-1"/>
        </w:rPr>
        <w:t>、开工前安全施工监理工作流程</w:t>
      </w:r>
    </w:p>
    <w:p>
      <w:pPr>
        <w:pStyle w:val="BodyText"/>
        <w:spacing w:before="7"/>
        <w:rPr>
          <w:sz w:val="13"/>
        </w:rPr>
      </w:pPr>
      <w:r>
        <w:pict>
          <v:shape id="_x0000_s1029" type="#_x0000_t202" style="width:162.05pt;height:25.8pt;margin-top:10.29pt;margin-left:176.06pt;mso-position-horizontal-relative:page;mso-wrap-distance-left:0;mso-wrap-distance-right:0;position:absolute;z-index:-251658240" filled="f" stroked="t" strokecolor="black" strokeweight="0.75pt">
            <v:stroke dashstyle="solid"/>
            <v:textbox inset="0,0,0,0">
              <w:txbxContent>
                <w:p>
                  <w:pPr>
                    <w:pStyle w:val="BodyText"/>
                    <w:spacing w:before="76"/>
                    <w:ind w:left="292"/>
                  </w:pPr>
                  <w:r>
                    <w:rPr>
                      <w:spacing w:val="-1"/>
                    </w:rPr>
                    <w:t>确定安全监理工程的对象</w:t>
                  </w:r>
                </w:p>
              </w:txbxContent>
            </v:textbox>
            <w10:wrap type="topAndBottom"/>
          </v:shape>
        </w:pict>
      </w:r>
    </w:p>
    <w:p>
      <w:pPr>
        <w:pStyle w:val="BodyText"/>
        <w:spacing w:before="6"/>
        <w:rPr>
          <w:sz w:val="2"/>
        </w:rPr>
      </w:pPr>
    </w:p>
    <w:p>
      <w:pPr>
        <w:pStyle w:val="BodyText"/>
        <w:ind w:left="1313"/>
        <w:rPr>
          <w:sz w:val="20"/>
        </w:rPr>
      </w:pPr>
      <w:r>
        <w:rPr>
          <w:sz w:val="20"/>
        </w:rPr>
        <w:pict>
          <v:group id="_x0000_i1030" style="width:409.4pt;height:250.45pt;mso-position-horizontal-relative:char;mso-position-vertical-relative:line" coordorigin="0,0" coordsize="8188,5009">
            <v:rect id="_x0000_s1031" style="width:1633;height:557;left:727;position:absolute;top:4444" filled="f" stroked="t" strokecolor="black" strokeweight="0.75pt">
              <v:stroke dashstyle="solid"/>
            </v:rect>
            <v:shape id="_x0000_s1032" style="width:120;height:121;left:1568;position:absolute;top:4324" coordorigin="1569,4324" coordsize="120,121" path="m1629,4445l1569,4325,1689,4324,1629,4445xe" filled="t" fillcolor="black" stroked="f">
              <v:fill type="solid"/>
              <v:path arrowok="t"/>
            </v:shape>
            <v:rect id="_x0000_s1033" style="width:1633;height:557;left:727;position:absolute;top:3333" filled="f" stroked="t" strokecolor="black" strokeweight="0.75pt">
              <v:stroke dashstyle="solid"/>
            </v:rect>
            <v:line id="_x0000_s1034" style="position:absolute" from="1628,3890" to="1629,4422" stroked="t" strokecolor="black" strokeweight="0.75pt">
              <v:stroke dashstyle="solid"/>
            </v:line>
            <v:shape id="_x0000_s1035" style="width:120;height:120;left:1567;position:absolute;top:3213" coordorigin="1568,3213" coordsize="120,120" path="m1628,3333l1568,3213,1688,3213,1628,3333xe" filled="t" fillcolor="black" stroked="f">
              <v:fill type="solid"/>
              <v:path arrowok="t"/>
            </v:shape>
            <v:line id="_x0000_s1036" style="position:absolute" from="1628,2963" to="1628,3311" stroked="t" strokecolor="black" strokeweight="0.75pt">
              <v:stroke dashstyle="solid"/>
            </v:line>
            <v:rect id="_x0000_s1037" style="width:1633;height:557;left:3247;position:absolute;top:3333" filled="f" stroked="t" strokecolor="black" strokeweight="0.75pt">
              <v:stroke dashstyle="solid"/>
            </v:rect>
            <v:shape id="_x0000_s1038" style="width:120;height:120;left:4087;position:absolute;top:3213" coordorigin="4088,3213" coordsize="120,120" path="m4148,3333l4088,3213,4208,3213,4148,3333xe" filled="t" fillcolor="black" stroked="f">
              <v:fill type="solid"/>
              <v:path arrowok="t"/>
            </v:shape>
            <v:line id="_x0000_s1039" style="position:absolute" from="4148,2963" to="4148,3311" stroked="t" strokecolor="black" strokeweight="0.75pt">
              <v:stroke dashstyle="solid"/>
            </v:line>
            <v:line id="_x0000_s1040" style="position:absolute" from="1628,2963" to="4148,2963" stroked="t" strokecolor="black" strokeweight="0.75pt">
              <v:stroke dashstyle="solid"/>
            </v:line>
            <v:rect id="_x0000_s1041" style="width:4681;height:890;left:547;position:absolute;top:1665" filled="f" stroked="t" strokecolor="black" strokeweight="0.75pt">
              <v:stroke dashstyle="solid"/>
            </v:rect>
            <v:line id="_x0000_s1042" style="position:absolute" from="2888,2556" to="2889,2963" stroked="t" strokecolor="black" strokeweight="0.75pt">
              <v:stroke dashstyle="solid"/>
            </v:line>
            <v:line id="_x0000_s1043" style="position:absolute" from="5228,2037" to="5588,2037" stroked="t" strokecolor="black" strokeweight="0.75pt">
              <v:stroke dashstyle="solid"/>
            </v:line>
            <v:line id="_x0000_s1044" style="position:absolute" from="728,4630" to="8,4630" stroked="t" strokecolor="black" strokeweight="0.75pt">
              <v:stroke dashstyle="solid"/>
            </v:line>
            <v:line id="_x0000_s1045" style="position:absolute" from="8,4630" to="8,1851" stroked="t" strokecolor="black" strokeweight="0.75pt">
              <v:stroke dashstyle="solid"/>
            </v:line>
            <v:shape id="_x0000_s1046" style="width:120;height:120;left:427;position:absolute;top:1791" coordorigin="428,1791" coordsize="120,120" path="m428,1911l428,1791,548,1851,428,1911xe" filled="t" fillcolor="black" stroked="f">
              <v:fill type="solid"/>
              <v:path arrowok="t"/>
            </v:shape>
            <v:line id="_x0000_s1047" style="position:absolute" from="8,1851" to="525,1851" stroked="t" strokecolor="black" strokeweight="0.75pt">
              <v:stroke dashstyle="solid"/>
            </v:line>
            <v:shape id="_x0000_s1048" style="width:120;height:120;left:2827;position:absolute;top:1545" coordorigin="2828,1546" coordsize="120,120" path="m2888,1666l2828,1546,2948,1546,2888,1666xe" filled="t" fillcolor="black" stroked="f">
              <v:fill type="solid"/>
              <v:path arrowok="t"/>
            </v:shape>
            <v:line id="_x0000_s1049" style="position:absolute" from="2888,1111" to="2888,1643" stroked="t" strokecolor="black" strokeweight="0.75pt">
              <v:stroke dashstyle="solid"/>
            </v:line>
            <v:shape id="_x0000_s1050" type="#_x0000_t202" style="width:4100;height:552;left:847;position:absolute;top:1783" filled="f" stroked="f">
              <v:textbox inset="0,0,0,0">
                <w:txbxContent>
                  <w:p>
                    <w:pPr>
                      <w:spacing w:before="0" w:line="274" w:lineRule="exact"/>
                      <w:ind w:left="6" w:right="24" w:firstLine="0"/>
                      <w:jc w:val="center"/>
                      <w:rPr>
                        <w:sz w:val="24"/>
                      </w:rPr>
                    </w:pPr>
                    <w:r>
                      <w:rPr>
                        <w:spacing w:val="-3"/>
                        <w:sz w:val="24"/>
                      </w:rPr>
                      <w:t>审核施工组织设计中安全施工管理措施</w:t>
                    </w:r>
                  </w:p>
                  <w:p>
                    <w:pPr>
                      <w:spacing w:before="4" w:line="274" w:lineRule="exact"/>
                      <w:ind w:left="6" w:right="24" w:firstLine="0"/>
                      <w:jc w:val="center"/>
                      <w:rPr>
                        <w:sz w:val="24"/>
                      </w:rPr>
                    </w:pPr>
                    <w:r>
                      <w:rPr>
                        <w:spacing w:val="-3"/>
                        <w:sz w:val="24"/>
                      </w:rPr>
                      <w:t>及专项安全施工方案</w:t>
                    </w:r>
                  </w:p>
                </w:txbxContent>
              </v:textbox>
            </v:shape>
            <v:shape id="_x0000_s1051" type="#_x0000_t202" style="width:1220;height:240;left:1059;position:absolute;top:2673" filled="f" stroked="f">
              <v:textbox inset="0,0,0,0">
                <w:txbxContent>
                  <w:p>
                    <w:pPr>
                      <w:spacing w:before="0" w:line="240" w:lineRule="exact"/>
                      <w:ind w:left="0" w:right="0" w:firstLine="0"/>
                      <w:jc w:val="left"/>
                      <w:rPr>
                        <w:sz w:val="24"/>
                      </w:rPr>
                    </w:pPr>
                    <w:r>
                      <w:rPr>
                        <w:spacing w:val="-4"/>
                        <w:sz w:val="24"/>
                      </w:rPr>
                      <w:t>不符合要求</w:t>
                    </w:r>
                  </w:p>
                </w:txbxContent>
              </v:textbox>
            </v:shape>
            <v:shape id="_x0000_s1052" type="#_x0000_t202" style="width:980;height:240;left:3219;position:absolute;top:2636" filled="f" stroked="f">
              <v:textbox inset="0,0,0,0">
                <w:txbxContent>
                  <w:p>
                    <w:pPr>
                      <w:spacing w:before="0" w:line="240" w:lineRule="exact"/>
                      <w:ind w:left="0" w:right="0" w:firstLine="0"/>
                      <w:jc w:val="left"/>
                      <w:rPr>
                        <w:sz w:val="24"/>
                      </w:rPr>
                    </w:pPr>
                    <w:r>
                      <w:rPr>
                        <w:spacing w:val="-6"/>
                        <w:sz w:val="24"/>
                      </w:rPr>
                      <w:t>符合要求</w:t>
                    </w:r>
                  </w:p>
                </w:txbxContent>
              </v:textbox>
            </v:shape>
            <v:shape id="_x0000_s1053" type="#_x0000_t202" style="width:980;height:240;left:1063;position:absolute;top:3450" filled="f" stroked="f">
              <v:textbox inset="0,0,0,0">
                <w:txbxContent>
                  <w:p>
                    <w:pPr>
                      <w:spacing w:before="0" w:line="240" w:lineRule="exact"/>
                      <w:ind w:left="0" w:right="0" w:firstLine="0"/>
                      <w:jc w:val="left"/>
                      <w:rPr>
                        <w:sz w:val="24"/>
                      </w:rPr>
                    </w:pPr>
                    <w:r>
                      <w:rPr>
                        <w:spacing w:val="-6"/>
                        <w:sz w:val="24"/>
                      </w:rPr>
                      <w:t>不予开工</w:t>
                    </w:r>
                  </w:p>
                </w:txbxContent>
              </v:textbox>
            </v:shape>
            <v:shape id="_x0000_s1054" type="#_x0000_t202" style="width:500;height:240;left:3823;position:absolute;top:3450" filled="f" stroked="f">
              <v:textbox inset="0,0,0,0">
                <w:txbxContent>
                  <w:p>
                    <w:pPr>
                      <w:spacing w:before="0" w:line="240" w:lineRule="exact"/>
                      <w:ind w:left="0" w:right="0" w:firstLine="0"/>
                      <w:jc w:val="left"/>
                      <w:rPr>
                        <w:sz w:val="24"/>
                      </w:rPr>
                    </w:pPr>
                    <w:r>
                      <w:rPr>
                        <w:spacing w:val="-8"/>
                        <w:sz w:val="24"/>
                      </w:rPr>
                      <w:t>开工</w:t>
                    </w:r>
                  </w:p>
                </w:txbxContent>
              </v:textbox>
            </v:shape>
            <v:shape id="_x0000_s1055" type="#_x0000_t202" style="width:500;height:240;left:1303;position:absolute;top:4561" filled="f" stroked="f">
              <v:textbox inset="0,0,0,0">
                <w:txbxContent>
                  <w:p>
                    <w:pPr>
                      <w:spacing w:before="0" w:line="240" w:lineRule="exact"/>
                      <w:ind w:left="0" w:right="0" w:firstLine="0"/>
                      <w:jc w:val="left"/>
                      <w:rPr>
                        <w:sz w:val="24"/>
                      </w:rPr>
                    </w:pPr>
                    <w:r>
                      <w:rPr>
                        <w:spacing w:val="-8"/>
                        <w:sz w:val="24"/>
                      </w:rPr>
                      <w:t>整改</w:t>
                    </w:r>
                  </w:p>
                </w:txbxContent>
              </v:textbox>
            </v:shape>
            <v:shape id="_x0000_s1056" type="#_x0000_t202" style="width:2593;height:3536;left:5587;position:absolute;top:183" filled="f" stroked="t" strokecolor="black" strokeweight="0.75pt">
              <v:stroke dashstyle="solid"/>
              <v:textbox inset="0,0,0,0">
                <w:txbxContent>
                  <w:p>
                    <w:pPr>
                      <w:spacing w:before="76"/>
                      <w:ind w:left="143" w:right="0" w:firstLine="0"/>
                      <w:jc w:val="left"/>
                      <w:rPr>
                        <w:sz w:val="24"/>
                      </w:rPr>
                    </w:pPr>
                    <w:r>
                      <w:rPr>
                        <w:rFonts w:ascii="Times New Roman" w:eastAsia="Times New Roman"/>
                        <w:spacing w:val="-2"/>
                        <w:sz w:val="24"/>
                      </w:rPr>
                      <w:t>1</w:t>
                    </w:r>
                    <w:r>
                      <w:rPr>
                        <w:spacing w:val="-4"/>
                        <w:sz w:val="24"/>
                      </w:rPr>
                      <w:t>、安全制度：</w:t>
                    </w:r>
                  </w:p>
                  <w:p>
                    <w:pPr>
                      <w:spacing w:before="4"/>
                      <w:ind w:left="143" w:right="0" w:firstLine="0"/>
                      <w:jc w:val="left"/>
                      <w:rPr>
                        <w:sz w:val="24"/>
                      </w:rPr>
                    </w:pPr>
                    <w:r>
                      <w:rPr>
                        <w:spacing w:val="-2"/>
                        <w:sz w:val="24"/>
                      </w:rPr>
                      <w:t>·</w:t>
                    </w:r>
                    <w:r>
                      <w:rPr>
                        <w:spacing w:val="-4"/>
                        <w:sz w:val="24"/>
                      </w:rPr>
                      <w:t>安全事故报告制度</w:t>
                    </w:r>
                  </w:p>
                  <w:p>
                    <w:pPr>
                      <w:spacing w:before="5"/>
                      <w:ind w:left="143" w:right="0" w:firstLine="0"/>
                      <w:jc w:val="left"/>
                      <w:rPr>
                        <w:sz w:val="24"/>
                      </w:rPr>
                    </w:pPr>
                    <w:r>
                      <w:rPr>
                        <w:spacing w:val="-2"/>
                        <w:sz w:val="24"/>
                      </w:rPr>
                      <w:t>·</w:t>
                    </w:r>
                    <w:r>
                      <w:rPr>
                        <w:spacing w:val="-4"/>
                        <w:sz w:val="24"/>
                      </w:rPr>
                      <w:t>安全值班制度</w:t>
                    </w:r>
                  </w:p>
                  <w:p>
                    <w:pPr>
                      <w:spacing w:before="4"/>
                      <w:ind w:left="143" w:right="0" w:firstLine="0"/>
                      <w:jc w:val="left"/>
                      <w:rPr>
                        <w:sz w:val="24"/>
                      </w:rPr>
                    </w:pPr>
                    <w:r>
                      <w:rPr>
                        <w:spacing w:val="-2"/>
                        <w:sz w:val="24"/>
                      </w:rPr>
                      <w:t>·</w:t>
                    </w:r>
                    <w:r>
                      <w:rPr>
                        <w:spacing w:val="-4"/>
                        <w:sz w:val="24"/>
                      </w:rPr>
                      <w:t>安全教育制度</w:t>
                    </w:r>
                  </w:p>
                  <w:p>
                    <w:pPr>
                      <w:spacing w:before="5"/>
                      <w:ind w:left="143" w:right="0" w:firstLine="0"/>
                      <w:jc w:val="left"/>
                      <w:rPr>
                        <w:sz w:val="24"/>
                      </w:rPr>
                    </w:pPr>
                    <w:r>
                      <w:rPr>
                        <w:spacing w:val="-2"/>
                        <w:sz w:val="24"/>
                      </w:rPr>
                      <w:t>·</w:t>
                    </w:r>
                    <w:r>
                      <w:rPr>
                        <w:spacing w:val="-4"/>
                        <w:sz w:val="24"/>
                      </w:rPr>
                      <w:t>安全核查制度</w:t>
                    </w:r>
                  </w:p>
                  <w:p>
                    <w:pPr>
                      <w:spacing w:before="4"/>
                      <w:ind w:left="143" w:right="0" w:firstLine="0"/>
                      <w:jc w:val="left"/>
                      <w:rPr>
                        <w:sz w:val="24"/>
                      </w:rPr>
                    </w:pPr>
                    <w:r>
                      <w:rPr>
                        <w:rFonts w:ascii="Times New Roman" w:eastAsia="Times New Roman"/>
                        <w:spacing w:val="-2"/>
                        <w:sz w:val="24"/>
                      </w:rPr>
                      <w:t>2</w:t>
                    </w:r>
                    <w:r>
                      <w:rPr>
                        <w:spacing w:val="-4"/>
                        <w:sz w:val="24"/>
                      </w:rPr>
                      <w:t>、安全技术措施：</w:t>
                    </w:r>
                  </w:p>
                  <w:p>
                    <w:pPr>
                      <w:spacing w:before="5"/>
                      <w:ind w:left="143" w:right="0" w:firstLine="0"/>
                      <w:jc w:val="left"/>
                      <w:rPr>
                        <w:sz w:val="24"/>
                      </w:rPr>
                    </w:pPr>
                    <w:r>
                      <w:rPr>
                        <w:spacing w:val="-2"/>
                        <w:sz w:val="24"/>
                      </w:rPr>
                      <w:t>·</w:t>
                    </w:r>
                    <w:r>
                      <w:rPr>
                        <w:spacing w:val="-4"/>
                        <w:sz w:val="24"/>
                      </w:rPr>
                      <w:t>安全控制措施</w:t>
                    </w:r>
                  </w:p>
                  <w:p>
                    <w:pPr>
                      <w:spacing w:before="4"/>
                      <w:ind w:left="143" w:right="0" w:firstLine="0"/>
                      <w:jc w:val="left"/>
                      <w:rPr>
                        <w:sz w:val="24"/>
                      </w:rPr>
                    </w:pPr>
                    <w:r>
                      <w:rPr>
                        <w:spacing w:val="-2"/>
                        <w:sz w:val="24"/>
                      </w:rPr>
                      <w:t>·</w:t>
                    </w:r>
                    <w:r>
                      <w:rPr>
                        <w:spacing w:val="-4"/>
                        <w:sz w:val="24"/>
                      </w:rPr>
                      <w:t>安全知识学习计划</w:t>
                    </w:r>
                  </w:p>
                  <w:p>
                    <w:pPr>
                      <w:spacing w:before="5"/>
                      <w:ind w:left="143" w:right="0" w:firstLine="0"/>
                      <w:jc w:val="left"/>
                      <w:rPr>
                        <w:sz w:val="24"/>
                      </w:rPr>
                    </w:pPr>
                    <w:r>
                      <w:rPr>
                        <w:spacing w:val="-2"/>
                        <w:sz w:val="24"/>
                      </w:rPr>
                      <w:t>·</w:t>
                    </w:r>
                    <w:r>
                      <w:rPr>
                        <w:spacing w:val="-4"/>
                        <w:sz w:val="24"/>
                      </w:rPr>
                      <w:t>安全事故处理规程</w:t>
                    </w:r>
                  </w:p>
                </w:txbxContent>
              </v:textbox>
            </v:shape>
            <v:shape id="_x0000_s1057" style="width:120;height:120;left:2827;position:absolute;top:434" coordorigin="2828,435" coordsize="120,120" path="m2888,555l2828,435,2948,435,2888,555xe" filled="t" fillcolor="black" stroked="f">
              <v:fill type="solid"/>
              <v:path arrowok="t"/>
            </v:shape>
            <v:line id="_x0000_s1058" style="position:absolute" from="2888,0" to="2888,532" stroked="t" strokecolor="black" strokeweight="0.75pt">
              <v:stroke dashstyle="solid"/>
            </v:line>
            <v:shape id="_x0000_s1059" type="#_x0000_t202" style="width:2521;height:557;left:1625;position:absolute;top:529" filled="f" stroked="t" strokecolor="black" strokeweight="0.75pt">
              <v:stroke dashstyle="solid"/>
              <v:textbox inset="0,0,0,0">
                <w:txbxContent>
                  <w:p>
                    <w:pPr>
                      <w:spacing w:before="76"/>
                      <w:ind w:left="172" w:right="0" w:firstLine="0"/>
                      <w:jc w:val="left"/>
                      <w:rPr>
                        <w:sz w:val="24"/>
                      </w:rPr>
                    </w:pPr>
                    <w:r>
                      <w:rPr>
                        <w:spacing w:val="-3"/>
                        <w:sz w:val="24"/>
                      </w:rPr>
                      <w:t>确定安全监理的目标</w:t>
                    </w:r>
                  </w:p>
                </w:txbxContent>
              </v:textbox>
            </v:shape>
            <w10:wrap type="none"/>
          </v:group>
        </w:pict>
      </w:r>
    </w:p>
    <w:p>
      <w:pPr>
        <w:spacing w:after="0"/>
        <w:rPr>
          <w:sz w:val="20"/>
        </w:rPr>
        <w:sectPr>
          <w:headerReference w:type="default" r:id="rId12"/>
          <w:footerReference w:type="default" r:id="rId13"/>
          <w:pgSz w:w="11910" w:h="16840"/>
          <w:pgMar w:top="2020" w:right="1060" w:bottom="1400" w:left="940" w:header="1000" w:footer="1201"/>
          <w:pgNumType w:start="4"/>
          <w:cols w:space="708"/>
        </w:sectPr>
      </w:pPr>
    </w:p>
    <w:p>
      <w:pPr>
        <w:pStyle w:val="BodyText"/>
        <w:spacing w:before="6"/>
        <w:rPr>
          <w:sz w:val="19"/>
        </w:rPr>
      </w:pPr>
    </w:p>
    <w:p>
      <w:pPr>
        <w:spacing w:after="0"/>
        <w:rPr>
          <w:sz w:val="19"/>
        </w:rPr>
        <w:sectPr>
          <w:headerReference w:type="default" r:id="rId14"/>
          <w:footerReference w:type="default" r:id="rId15"/>
          <w:pgSz w:w="11910" w:h="16840"/>
          <w:pgMar w:top="2020" w:right="1060" w:bottom="1400" w:left="940" w:header="1000" w:footer="1201"/>
          <w:pgNumType w:start="5"/>
          <w:cols w:space="708"/>
        </w:sectPr>
      </w:pPr>
    </w:p>
    <w:p>
      <w:pPr>
        <w:pStyle w:val="BodyText"/>
        <w:spacing w:before="66"/>
        <w:ind w:left="901"/>
      </w:pPr>
      <w:r>
        <w:t>2</w:t>
      </w:r>
      <w:r>
        <w:rPr>
          <w:spacing w:val="-1"/>
        </w:rPr>
        <w:t>、施工过程中安全施工监理工作流程</w:t>
      </w:r>
    </w:p>
    <w:p>
      <w:pPr>
        <w:spacing w:before="2" w:line="240" w:lineRule="auto"/>
        <w:rPr>
          <w:sz w:val="35"/>
        </w:rPr>
      </w:pPr>
      <w:r>
        <w:br w:type="column"/>
      </w:r>
    </w:p>
    <w:p>
      <w:pPr>
        <w:pStyle w:val="BodyText"/>
        <w:ind w:left="901"/>
      </w:pPr>
      <w:r>
        <w:pict>
          <v:group id="_x0000_s1060" style="width:360.4pt;height:461.1pt;margin-top:11.43pt;margin-left:85.68pt;mso-position-horizontal-relative:page;position:absolute;z-index:-251657216" coordorigin="1714,229" coordsize="7208,9222">
            <v:rect id="_x0000_s1061" style="width:5400;height:781;left:2081;position:absolute;top:7723" filled="f" stroked="t" strokecolor="black" strokeweight="0.75pt">
              <v:stroke dashstyle="solid"/>
            </v:rect>
            <v:shape id="_x0000_s1062" style="width:120;height:120;left:4721;position:absolute;top:8851" coordorigin="4721,8851" coordsize="120,120" path="m4781,8971l4721,8851,4841,8851,4781,8971xe" filled="t" fillcolor="black" stroked="f">
              <v:fill type="solid"/>
              <v:path arrowok="t"/>
            </v:shape>
            <v:line id="_x0000_s1063" style="position:absolute" from="4781,8504" to="4781,8949" stroked="t" strokecolor="black" strokeweight="0.75pt">
              <v:stroke dashstyle="solid"/>
            </v:line>
            <v:shape id="_x0000_s1064" style="width:120;height:120;left:4721;position:absolute;top:7603" coordorigin="4721,7604" coordsize="120,120" path="m4781,7724l4721,7604,4841,7604,4781,7724xe" filled="t" fillcolor="black" stroked="f">
              <v:fill type="solid"/>
              <v:path arrowok="t"/>
            </v:shape>
            <v:rect id="_x0000_s1065" style="width:5220;height:469;left:2081;position:absolute;top:6788" filled="f" stroked="t" strokecolor="black" strokeweight="0.75pt">
              <v:stroke dashstyle="solid"/>
            </v:rect>
            <v:line id="_x0000_s1066" style="position:absolute" from="4781,7256" to="4781,7701" stroked="t" strokecolor="black" strokeweight="0.75pt">
              <v:stroke dashstyle="solid"/>
            </v:line>
            <v:shape id="_x0000_s1067" style="width:120;height:120;left:4721;position:absolute;top:6667" coordorigin="4721,6667" coordsize="120,120" path="m4781,6787l4721,6667,4841,6667,4781,6787xe" filled="t" fillcolor="black" stroked="f">
              <v:fill type="solid"/>
              <v:path arrowok="t"/>
            </v:shape>
            <v:line id="_x0000_s1068" style="position:absolute" from="4781,6320" to="4781,6765" stroked="t" strokecolor="black" strokeweight="0.75pt">
              <v:stroke dashstyle="solid"/>
            </v:line>
            <v:shape id="_x0000_s1069" style="width:120;height:120;left:8441;position:absolute;top:6883" coordorigin="8441,6883" coordsize="120,120" path="m8441,7003l8441,6883,8561,6943,8441,7003xe" filled="t" fillcolor="black" stroked="f">
              <v:fill type="solid"/>
              <v:path arrowok="t"/>
            </v:shape>
            <v:line id="_x0000_s1070" style="position:absolute" from="7301,6943" to="8539,6943" stroked="t" strokecolor="black" strokeweight="0.75pt">
              <v:stroke dashstyle="solid"/>
            </v:line>
            <v:shape id="_x0000_s1071" type="#_x0000_t202" style="width:980;height:240;left:7451;position:absolute;top:6586" filled="f" stroked="f">
              <v:textbox inset="0,0,0,0">
                <w:txbxContent>
                  <w:p>
                    <w:pPr>
                      <w:spacing w:before="0" w:line="240" w:lineRule="exact"/>
                      <w:ind w:left="0" w:right="0" w:firstLine="0"/>
                      <w:jc w:val="left"/>
                      <w:rPr>
                        <w:sz w:val="24"/>
                      </w:rPr>
                    </w:pPr>
                    <w:r>
                      <w:rPr>
                        <w:spacing w:val="-3"/>
                        <w:sz w:val="24"/>
                      </w:rPr>
                      <w:t>不符要求</w:t>
                    </w:r>
                  </w:p>
                </w:txbxContent>
              </v:textbox>
            </v:shape>
            <v:shape id="_x0000_s1072" type="#_x0000_t202" style="width:3380;height:240;left:3011;position:absolute;top:6905" filled="f" stroked="f">
              <v:textbox inset="0,0,0,0">
                <w:txbxContent>
                  <w:p>
                    <w:pPr>
                      <w:spacing w:before="0" w:line="240" w:lineRule="exact"/>
                      <w:ind w:left="0" w:right="0" w:firstLine="0"/>
                      <w:jc w:val="left"/>
                      <w:rPr>
                        <w:sz w:val="24"/>
                      </w:rPr>
                    </w:pPr>
                    <w:r>
                      <w:rPr>
                        <w:spacing w:val="-1"/>
                        <w:sz w:val="24"/>
                      </w:rPr>
                      <w:t>现场施工安全设施是否同步落实</w:t>
                    </w:r>
                  </w:p>
                </w:txbxContent>
              </v:textbox>
            </v:shape>
            <v:shape id="_x0000_s1073" type="#_x0000_t202" style="width:3140;height:552;left:3221;position:absolute;top:7841" filled="f" stroked="f">
              <v:textbox inset="0,0,0,0">
                <w:txbxContent>
                  <w:p>
                    <w:pPr>
                      <w:spacing w:before="0" w:line="274" w:lineRule="exact"/>
                      <w:ind w:left="0" w:right="18" w:firstLine="0"/>
                      <w:jc w:val="center"/>
                      <w:rPr>
                        <w:sz w:val="24"/>
                      </w:rPr>
                    </w:pPr>
                    <w:r>
                      <w:rPr>
                        <w:spacing w:val="-1"/>
                        <w:sz w:val="24"/>
                      </w:rPr>
                      <w:t>检查督促施工过程中的承包方</w:t>
                    </w:r>
                  </w:p>
                  <w:p>
                    <w:pPr>
                      <w:spacing w:before="4" w:line="274" w:lineRule="exact"/>
                      <w:ind w:left="0" w:right="18" w:firstLine="0"/>
                      <w:jc w:val="center"/>
                      <w:rPr>
                        <w:sz w:val="24"/>
                      </w:rPr>
                    </w:pPr>
                    <w:r>
                      <w:rPr>
                        <w:spacing w:val="-1"/>
                        <w:sz w:val="24"/>
                      </w:rPr>
                      <w:t>安全教育和培训工作的落实</w:t>
                    </w:r>
                  </w:p>
                </w:txbxContent>
              </v:textbox>
            </v:shape>
            <v:shape id="_x0000_s1074" type="#_x0000_t202" style="width:6013;height:470;left:2081;position:absolute;top:8972" filled="f" stroked="t" strokecolor="black" strokeweight="0.75pt">
              <v:stroke dashstyle="solid"/>
              <v:textbox inset="0,0,0,0">
                <w:txbxContent>
                  <w:p>
                    <w:pPr>
                      <w:spacing w:before="76"/>
                      <w:ind w:left="144" w:right="0" w:firstLine="0"/>
                      <w:jc w:val="left"/>
                      <w:rPr>
                        <w:sz w:val="24"/>
                      </w:rPr>
                    </w:pPr>
                    <w:r>
                      <w:rPr>
                        <w:spacing w:val="-5"/>
                        <w:sz w:val="24"/>
                      </w:rPr>
                      <w:t>现场巡查安全工作的落实情况，发现安全隐患及时解决</w:t>
                    </w:r>
                  </w:p>
                </w:txbxContent>
              </v:textbox>
            </v:shape>
            <v:shape id="_x0000_s1075" style="width:120;height:120;left:4721;position:absolute;top:5731" coordorigin="4721,5732" coordsize="120,120" path="m4781,5852l4721,5732,4841,5732,4781,5852xe" filled="t" fillcolor="black" stroked="f">
              <v:fill type="solid"/>
              <v:path arrowok="t"/>
            </v:shape>
            <v:line id="_x0000_s1076" style="position:absolute" from="4781,5384" to="4781,5829" stroked="t" strokecolor="black" strokeweight="0.75pt">
              <v:stroke dashstyle="solid"/>
            </v:line>
            <v:shape id="_x0000_s1077" type="#_x0000_t202" style="width:5400;height:469;left:2081;position:absolute;top:5851" filled="f" stroked="t" strokecolor="black" strokeweight="0.75pt">
              <v:stroke dashstyle="solid"/>
              <v:textbox inset="0,0,0,0">
                <w:txbxContent>
                  <w:p>
                    <w:pPr>
                      <w:spacing w:before="76"/>
                      <w:ind w:left="1612" w:right="0" w:firstLine="0"/>
                      <w:jc w:val="left"/>
                      <w:rPr>
                        <w:sz w:val="24"/>
                      </w:rPr>
                    </w:pPr>
                    <w:r>
                      <w:rPr>
                        <w:spacing w:val="-2"/>
                        <w:sz w:val="24"/>
                      </w:rPr>
                      <w:t>施工工序安全性检查</w:t>
                    </w:r>
                  </w:p>
                </w:txbxContent>
              </v:textbox>
            </v:shape>
            <v:shape id="_x0000_s1078" type="#_x0000_t202" style="width:5400;height:469;left:2081;position:absolute;top:4915" filled="f" stroked="t" strokecolor="black" strokeweight="0.75pt">
              <v:stroke dashstyle="solid"/>
              <v:textbox inset="0,0,0,0">
                <w:txbxContent>
                  <w:p>
                    <w:pPr>
                      <w:spacing w:before="76"/>
                      <w:ind w:left="1492" w:right="0" w:firstLine="0"/>
                      <w:jc w:val="left"/>
                      <w:rPr>
                        <w:sz w:val="24"/>
                      </w:rPr>
                    </w:pPr>
                    <w:r>
                      <w:rPr>
                        <w:spacing w:val="-1"/>
                        <w:sz w:val="24"/>
                      </w:rPr>
                      <w:t>现场场地安全隐患检查</w:t>
                    </w:r>
                  </w:p>
                </w:txbxContent>
              </v:textbox>
            </v:shape>
            <v:shape id="_x0000_s1079" style="width:120;height:120;left:8441;position:absolute;top:5948" coordorigin="8441,5948" coordsize="120,120" path="m8441,6068l8441,5948,8561,6008,8441,6068xe" filled="t" fillcolor="black" stroked="f">
              <v:fill type="solid"/>
              <v:path arrowok="t"/>
            </v:shape>
            <v:line id="_x0000_s1080" style="position:absolute" from="7481,6008" to="8539,6008" stroked="t" strokecolor="black" strokeweight="0.75pt">
              <v:stroke dashstyle="solid"/>
            </v:line>
            <v:shape id="_x0000_s1081" style="width:120;height:120;left:8621;position:absolute;top:5011" coordorigin="8621,5011" coordsize="120,120" path="m8621,5131l8621,5011,8741,5071,8621,5131xe" filled="t" fillcolor="black" stroked="f">
              <v:fill type="solid"/>
              <v:path arrowok="t"/>
            </v:shape>
            <v:line id="_x0000_s1082" style="position:absolute" from="7481,5071" to="8719,5071" stroked="t" strokecolor="black" strokeweight="0.75pt">
              <v:stroke dashstyle="solid"/>
            </v:line>
            <v:rect id="_x0000_s1083" style="width:5400;height:469;left:2081;position:absolute;top:3980" filled="f" stroked="t" strokecolor="black" strokeweight="0.75pt">
              <v:stroke dashstyle="solid"/>
            </v:rect>
            <v:shape id="_x0000_s1084" style="width:120;height:120;left:4721;position:absolute;top:4795" coordorigin="4721,4795" coordsize="120,120" path="m4781,4915l4721,4795,4841,4795,4781,4915xe" filled="t" fillcolor="black" stroked="f">
              <v:fill type="solid"/>
              <v:path arrowok="t"/>
            </v:shape>
            <v:line id="_x0000_s1085" style="position:absolute" from="4781,4448" to="4781,4893" stroked="t" strokecolor="black" strokeweight="0.75pt">
              <v:stroke dashstyle="solid"/>
            </v:line>
            <v:shape id="_x0000_s1086" style="width:120;height:120;left:8621;position:absolute;top:4232" coordorigin="8621,4232" coordsize="120,120" path="m8621,4352l8621,4232,8741,4292,8621,4352xe" filled="t" fillcolor="black" stroked="f">
              <v:fill type="solid"/>
              <v:path arrowok="t"/>
            </v:shape>
            <v:line id="_x0000_s1087" style="position:absolute" from="7481,4292" to="8719,4292" stroked="t" strokecolor="black" strokeweight="0.75pt">
              <v:stroke dashstyle="solid"/>
            </v:line>
            <v:shape id="_x0000_s1088" style="width:120;height:120;left:4721;position:absolute;top:3860" coordorigin="4721,3860" coordsize="120,120" path="m4781,3980l4721,3860,4841,3860,4781,3980xe" filled="t" fillcolor="black" stroked="f">
              <v:fill type="solid"/>
              <v:path arrowok="t"/>
            </v:shape>
            <v:rect id="_x0000_s1089" style="width:5730;height:469;left:1901;position:absolute;top:3043" filled="f" stroked="t" strokecolor="black" strokeweight="0.75pt">
              <v:stroke dashstyle="solid"/>
            </v:rect>
            <v:line id="_x0000_s1090" style="position:absolute" from="4781,3512" to="4781,3958" stroked="t" strokecolor="black" strokeweight="0.75pt">
              <v:stroke dashstyle="solid"/>
            </v:line>
            <v:shape id="_x0000_s1091" style="width:120;height:120;left:8801;position:absolute;top:3139" coordorigin="8801,3139" coordsize="120,120" path="m8801,3259l8801,3139,8921,3199,8801,3259xe" filled="t" fillcolor="black" stroked="f">
              <v:fill type="solid"/>
              <v:path arrowok="t"/>
            </v:shape>
            <v:line id="_x0000_s1092" style="position:absolute" from="7661,3199" to="8899,3199" stroked="t" strokecolor="black" strokeweight="0.75pt">
              <v:stroke dashstyle="solid"/>
            </v:line>
            <v:shape id="_x0000_s1093" style="width:120;height:120;left:4721;position:absolute;top:2923" coordorigin="4721,2923" coordsize="120,120" path="m4781,3043l4721,2923,4841,2923,4781,3043xe" filled="t" fillcolor="black" stroked="f">
              <v:fill type="solid"/>
              <v:path arrowok="t"/>
            </v:shape>
            <v:line id="_x0000_s1094" style="position:absolute" from="4781,2576" to="4781,3021" stroked="t" strokecolor="black" strokeweight="0.75pt">
              <v:stroke dashstyle="solid"/>
            </v:line>
            <v:rect id="_x0000_s1095" style="width:5730;height:469;left:1721;position:absolute;top:1171" filled="f" stroked="t" strokecolor="black" strokeweight="0.75pt">
              <v:stroke dashstyle="solid"/>
            </v:rect>
            <v:shape id="_x0000_s1096" style="width:120;height:120;left:4721;position:absolute;top:1988" coordorigin="4721,1988" coordsize="120,120" path="m4781,2108l4721,1988,4841,1988,4781,2108xe" filled="t" fillcolor="black" stroked="f">
              <v:fill type="solid"/>
              <v:path arrowok="t"/>
            </v:shape>
            <v:line id="_x0000_s1097" style="position:absolute" from="4781,1640" to="4781,2086" stroked="t" strokecolor="black" strokeweight="0.75pt">
              <v:stroke dashstyle="solid"/>
            </v:line>
            <v:shape id="_x0000_s1098" style="width:120;height:120;left:4721;position:absolute;top:1051" coordorigin="4721,1051" coordsize="120,120" path="m4781,1171l4721,1051,4841,1051,4781,1171xe" filled="t" fillcolor="black" stroked="f">
              <v:fill type="solid"/>
              <v:path arrowok="t"/>
            </v:shape>
            <v:line id="_x0000_s1099" style="position:absolute" from="4781,704" to="4781,1149" stroked="t" strokecolor="black" strokeweight="0.75pt">
              <v:stroke dashstyle="solid"/>
            </v:line>
            <v:shape id="_x0000_s1100" style="width:120;height:120;left:8441;position:absolute;top:1267" coordorigin="8441,1268" coordsize="120,120" path="m8441,1388l8441,1268,8561,1328,8441,1388xe" filled="t" fillcolor="black" stroked="f">
              <v:fill type="solid"/>
              <v:path arrowok="t"/>
            </v:shape>
            <v:line id="_x0000_s1101" style="position:absolute" from="7481,1328" to="8539,1328" stroked="t" strokecolor="black" strokeweight="0.75pt">
              <v:stroke dashstyle="solid"/>
            </v:line>
            <v:shape id="_x0000_s1102" type="#_x0000_t202" style="width:1062;height:240;left:7445;position:absolute;top:969" filled="f" stroked="f">
              <v:textbox inset="0,0,0,0">
                <w:txbxContent>
                  <w:p>
                    <w:pPr>
                      <w:spacing w:before="0" w:line="240" w:lineRule="exact"/>
                      <w:ind w:left="0" w:right="0" w:firstLine="0"/>
                      <w:jc w:val="left"/>
                      <w:rPr>
                        <w:sz w:val="24"/>
                      </w:rPr>
                    </w:pPr>
                    <w:r>
                      <w:rPr>
                        <w:spacing w:val="17"/>
                        <w:sz w:val="24"/>
                      </w:rPr>
                      <w:t>不符要求</w:t>
                    </w:r>
                  </w:p>
                </w:txbxContent>
              </v:textbox>
            </v:shape>
            <v:shape id="_x0000_s1103" type="#_x0000_t202" style="width:5300;height:240;left:1946;position:absolute;top:1288" filled="f" stroked="f">
              <v:textbox inset="0,0,0,0">
                <w:txbxContent>
                  <w:p>
                    <w:pPr>
                      <w:spacing w:before="0" w:line="240" w:lineRule="exact"/>
                      <w:ind w:left="0" w:right="0" w:firstLine="0"/>
                      <w:jc w:val="left"/>
                      <w:rPr>
                        <w:sz w:val="24"/>
                      </w:rPr>
                    </w:pPr>
                    <w:r>
                      <w:rPr>
                        <w:sz w:val="24"/>
                      </w:rPr>
                      <w:t>进场机械、设备、材料的安全性核查（报验程序</w:t>
                    </w:r>
                    <w:r>
                      <w:rPr>
                        <w:spacing w:val="-10"/>
                        <w:sz w:val="24"/>
                      </w:rPr>
                      <w:t>）</w:t>
                    </w:r>
                  </w:p>
                </w:txbxContent>
              </v:textbox>
            </v:shape>
            <v:shape id="_x0000_s1104" type="#_x0000_t202" style="width:260;height:240;left:7985;position:absolute;top:1905" filled="f" stroked="f">
              <v:textbox inset="0,0,0,0">
                <w:txbxContent>
                  <w:p>
                    <w:pPr>
                      <w:spacing w:before="0" w:line="240" w:lineRule="exact"/>
                      <w:ind w:left="0" w:right="0" w:firstLine="0"/>
                      <w:jc w:val="left"/>
                      <w:rPr>
                        <w:sz w:val="24"/>
                      </w:rPr>
                    </w:pPr>
                    <w:r>
                      <w:rPr>
                        <w:sz w:val="24"/>
                      </w:rPr>
                      <w:t>缺</w:t>
                    </w:r>
                  </w:p>
                </w:txbxContent>
              </v:textbox>
            </v:shape>
            <v:shape id="_x0000_s1105" type="#_x0000_t202" style="width:5730;height:469;left:1721;position:absolute;top:2108" filled="f" stroked="t" strokecolor="black" strokeweight="0.75pt">
              <v:stroke dashstyle="solid"/>
              <v:textbox inset="0,0,0,0">
                <w:txbxContent>
                  <w:p>
                    <w:pPr>
                      <w:spacing w:before="76"/>
                      <w:ind w:left="143" w:right="0" w:firstLine="0"/>
                      <w:jc w:val="left"/>
                      <w:rPr>
                        <w:sz w:val="24"/>
                      </w:rPr>
                    </w:pPr>
                    <w:r>
                      <w:rPr>
                        <w:sz w:val="24"/>
                      </w:rPr>
                      <w:t>机械设备操作人员及安全员资格检查（上岗证报验</w:t>
                    </w:r>
                    <w:r>
                      <w:rPr>
                        <w:spacing w:val="-10"/>
                        <w:sz w:val="24"/>
                      </w:rPr>
                      <w:t>）</w:t>
                    </w:r>
                  </w:p>
                </w:txbxContent>
              </v:textbox>
            </v:shape>
            <v:shape id="_x0000_s1106" style="width:120;height:120;left:8621;position:absolute;top:2204" coordorigin="8621,2204" coordsize="120,120" path="m8621,2324l8621,2204,8741,2264,8621,2324xe" filled="t" fillcolor="black" stroked="f">
              <v:fill type="solid"/>
              <v:path arrowok="t"/>
            </v:shape>
            <v:line id="_x0000_s1107" style="position:absolute" from="7481,2264" to="8719,2264" stroked="t" strokecolor="black" strokeweight="0.75pt">
              <v:stroke dashstyle="solid"/>
            </v:line>
            <v:shape id="_x0000_s1108" style="width:120;height:120;left:8621;position:absolute;top:332" coordorigin="8621,332" coordsize="120,120" path="m8621,452l8621,332,8741,392,8621,452xe" filled="t" fillcolor="black" stroked="f">
              <v:fill type="solid"/>
              <v:path arrowok="t"/>
            </v:shape>
            <v:line id="_x0000_s1109" style="position:absolute" from="7301,392" to="8719,392" stroked="t" strokecolor="black" strokeweight="0.75pt">
              <v:stroke dashstyle="solid"/>
            </v:line>
            <v:shape id="_x0000_s1110" type="#_x0000_t202" style="width:5400;height:468;left:1901;position:absolute;top:236" filled="f" stroked="t" strokecolor="black" strokeweight="0.75pt">
              <v:stroke dashstyle="solid"/>
              <v:textbox inset="0,0,0,0">
                <w:txbxContent>
                  <w:p>
                    <w:pPr>
                      <w:spacing w:before="76"/>
                      <w:ind w:left="1012" w:right="0" w:firstLine="0"/>
                      <w:jc w:val="left"/>
                      <w:rPr>
                        <w:sz w:val="24"/>
                      </w:rPr>
                    </w:pPr>
                    <w:r>
                      <w:rPr>
                        <w:spacing w:val="-1"/>
                        <w:sz w:val="24"/>
                      </w:rPr>
                      <w:t>核查安全文明施工宣传牌的张挂</w:t>
                    </w:r>
                  </w:p>
                </w:txbxContent>
              </v:textbox>
            </v:shape>
          </v:group>
        </w:pict>
      </w:r>
      <w:r>
        <w:rPr>
          <w:spacing w:val="-4"/>
        </w:rPr>
        <w:t>未做到</w:t>
      </w:r>
    </w:p>
    <w:p>
      <w:pPr>
        <w:spacing w:before="0" w:line="240" w:lineRule="auto"/>
        <w:rPr>
          <w:sz w:val="24"/>
        </w:rPr>
      </w:pPr>
      <w:r>
        <w:br w:type="column"/>
      </w:r>
    </w:p>
    <w:p>
      <w:pPr>
        <w:pStyle w:val="BodyText"/>
        <w:spacing w:before="6"/>
        <w:rPr>
          <w:sz w:val="35"/>
        </w:rPr>
      </w:pPr>
    </w:p>
    <w:p>
      <w:pPr>
        <w:pStyle w:val="BodyText"/>
        <w:spacing w:before="1"/>
        <w:ind w:left="499"/>
      </w:pPr>
      <w:r>
        <w:rPr>
          <w:spacing w:val="-3"/>
        </w:rPr>
        <w:t>责令整改</w:t>
      </w:r>
    </w:p>
    <w:p>
      <w:pPr>
        <w:spacing w:after="0"/>
        <w:sectPr>
          <w:headerReference w:type="default" r:id="rId16"/>
          <w:footerReference w:type="default" r:id="rId17"/>
          <w:type w:val="continuous"/>
          <w:pgSz w:w="11910" w:h="16840"/>
          <w:pgMar w:top="2020" w:right="1060" w:bottom="1080" w:left="940" w:header="1000" w:footer="1201"/>
          <w:pgNumType w:start="6"/>
          <w:cols w:num="3" w:space="708" w:equalWidth="0">
            <w:col w:w="4902" w:space="882"/>
            <w:col w:w="1622" w:space="39"/>
            <w:col w:w="2465" w:space="0"/>
          </w:cols>
        </w:sectPr>
      </w:pPr>
    </w:p>
    <w:p>
      <w:pPr>
        <w:pStyle w:val="BodyText"/>
        <w:rPr>
          <w:sz w:val="20"/>
        </w:rPr>
      </w:pPr>
    </w:p>
    <w:p>
      <w:pPr>
        <w:pStyle w:val="BodyText"/>
        <w:spacing w:before="10"/>
        <w:rPr>
          <w:sz w:val="23"/>
        </w:rPr>
      </w:pPr>
    </w:p>
    <w:p>
      <w:pPr>
        <w:pStyle w:val="BodyText"/>
        <w:spacing w:before="67"/>
        <w:ind w:right="1001"/>
        <w:jc w:val="right"/>
      </w:pPr>
      <w:r>
        <w:rPr>
          <w:spacing w:val="-3"/>
        </w:rPr>
        <w:t>责令退场</w:t>
      </w:r>
    </w:p>
    <w:p>
      <w:pPr>
        <w:pStyle w:val="BodyText"/>
        <w:rPr>
          <w:sz w:val="20"/>
        </w:rPr>
      </w:pPr>
    </w:p>
    <w:p>
      <w:pPr>
        <w:pStyle w:val="BodyText"/>
        <w:spacing w:before="11"/>
        <w:rPr>
          <w:sz w:val="23"/>
        </w:rPr>
      </w:pPr>
    </w:p>
    <w:p>
      <w:pPr>
        <w:pStyle w:val="BodyText"/>
        <w:spacing w:before="67"/>
        <w:ind w:right="1001"/>
        <w:jc w:val="right"/>
      </w:pPr>
      <w:r>
        <w:rPr>
          <w:spacing w:val="-3"/>
        </w:rPr>
        <w:t>禁止上岗</w:t>
      </w:r>
    </w:p>
    <w:p>
      <w:pPr>
        <w:pStyle w:val="BodyText"/>
        <w:spacing w:before="6"/>
        <w:rPr>
          <w:sz w:val="19"/>
        </w:rPr>
      </w:pPr>
    </w:p>
    <w:p>
      <w:pPr>
        <w:pStyle w:val="BodyText"/>
        <w:spacing w:before="66"/>
        <w:ind w:left="4423"/>
        <w:jc w:val="center"/>
      </w:pPr>
      <w:r>
        <w:t>缺</w:t>
      </w:r>
    </w:p>
    <w:p>
      <w:pPr>
        <w:pStyle w:val="BodyText"/>
        <w:tabs>
          <w:tab w:val="left" w:pos="7302"/>
        </w:tabs>
        <w:spacing w:before="2"/>
        <w:ind w:left="364"/>
        <w:jc w:val="center"/>
      </w:pPr>
      <w:r>
        <w:t>现场机械、设备是否张挂操作技术牌及安全警示</w:t>
      </w:r>
      <w:r>
        <w:rPr>
          <w:spacing w:val="-10"/>
        </w:rPr>
        <w:t>牌</w:t>
      </w:r>
      <w:r>
        <w:tab/>
      </w:r>
      <w:r>
        <w:rPr>
          <w:position w:val="1"/>
        </w:rPr>
        <w:t>停工整</w:t>
      </w:r>
      <w:r>
        <w:rPr>
          <w:spacing w:val="-10"/>
          <w:position w:val="1"/>
        </w:rPr>
        <w:t>改</w:t>
      </w:r>
    </w:p>
    <w:p>
      <w:pPr>
        <w:pStyle w:val="BodyText"/>
        <w:spacing w:before="6"/>
        <w:rPr>
          <w:sz w:val="13"/>
        </w:rPr>
      </w:pPr>
    </w:p>
    <w:p>
      <w:pPr>
        <w:spacing w:after="0"/>
        <w:rPr>
          <w:sz w:val="13"/>
        </w:rPr>
        <w:sectPr>
          <w:headerReference w:type="default" r:id="rId18"/>
          <w:footerReference w:type="default" r:id="rId19"/>
          <w:type w:val="continuous"/>
          <w:pgSz w:w="11910" w:h="16840"/>
          <w:pgMar w:top="2020" w:right="1060" w:bottom="1080" w:left="940" w:header="1000" w:footer="1201"/>
          <w:pgNumType w:start="7"/>
          <w:cols w:space="708"/>
        </w:sectPr>
      </w:pPr>
    </w:p>
    <w:p>
      <w:pPr>
        <w:pStyle w:val="BodyText"/>
        <w:spacing w:before="8"/>
        <w:rPr>
          <w:sz w:val="35"/>
        </w:rPr>
      </w:pPr>
    </w:p>
    <w:p>
      <w:pPr>
        <w:pStyle w:val="BodyText"/>
        <w:ind w:left="2761"/>
      </w:pPr>
      <w:r>
        <w:rPr>
          <w:spacing w:val="-2"/>
        </w:rPr>
        <w:t>现场用电安全性检查</w:t>
      </w:r>
    </w:p>
    <w:p>
      <w:pPr>
        <w:pStyle w:val="BodyText"/>
        <w:spacing w:before="66"/>
        <w:ind w:left="1721"/>
      </w:pPr>
      <w:r>
        <w:br w:type="column"/>
      </w:r>
      <w:r>
        <w:rPr>
          <w:spacing w:val="-3"/>
        </w:rPr>
        <w:t>不符要求</w:t>
      </w:r>
    </w:p>
    <w:p>
      <w:pPr>
        <w:pStyle w:val="BodyText"/>
      </w:pPr>
    </w:p>
    <w:p>
      <w:pPr>
        <w:pStyle w:val="BodyText"/>
        <w:rPr>
          <w:sz w:val="25"/>
        </w:rPr>
      </w:pPr>
    </w:p>
    <w:p>
      <w:pPr>
        <w:pStyle w:val="BodyText"/>
        <w:spacing w:before="1" w:line="664" w:lineRule="auto"/>
        <w:ind w:left="1640" w:firstLine="81"/>
      </w:pPr>
      <w:r>
        <w:rPr>
          <w:spacing w:val="-4"/>
        </w:rPr>
        <w:t>存在隐患</w:t>
      </w:r>
      <w:r>
        <w:rPr>
          <w:spacing w:val="-4"/>
        </w:rPr>
        <w:t>不符要求</w:t>
      </w:r>
    </w:p>
    <w:p>
      <w:pPr>
        <w:spacing w:before="0" w:line="240" w:lineRule="auto"/>
        <w:rPr>
          <w:sz w:val="24"/>
        </w:rPr>
      </w:pPr>
      <w:r>
        <w:br w:type="column"/>
      </w:r>
    </w:p>
    <w:p>
      <w:pPr>
        <w:pStyle w:val="BodyText"/>
        <w:spacing w:before="8"/>
        <w:rPr>
          <w:sz w:val="17"/>
        </w:rPr>
      </w:pPr>
    </w:p>
    <w:p>
      <w:pPr>
        <w:pStyle w:val="BodyText"/>
        <w:spacing w:line="664" w:lineRule="auto"/>
        <w:ind w:left="262" w:right="1001" w:hanging="84"/>
      </w:pPr>
      <w:r>
        <w:rPr>
          <w:spacing w:val="-4"/>
        </w:rPr>
        <w:t>停工整改</w:t>
      </w:r>
      <w:r>
        <w:rPr>
          <w:spacing w:val="-3"/>
        </w:rPr>
        <w:t>停工整改</w:t>
      </w:r>
    </w:p>
    <w:p>
      <w:pPr>
        <w:pStyle w:val="BodyText"/>
        <w:spacing w:before="13"/>
        <w:ind w:left="81"/>
      </w:pPr>
      <w:r>
        <w:rPr>
          <w:spacing w:val="-3"/>
        </w:rPr>
        <w:t>停工整改</w:t>
      </w:r>
    </w:p>
    <w:p>
      <w:pPr>
        <w:spacing w:after="0"/>
        <w:sectPr>
          <w:headerReference w:type="default" r:id="rId20"/>
          <w:footerReference w:type="default" r:id="rId21"/>
          <w:type w:val="continuous"/>
          <w:pgSz w:w="11910" w:h="16840"/>
          <w:pgMar w:top="2020" w:right="1060" w:bottom="1080" w:left="940" w:header="1000" w:footer="1201"/>
          <w:pgNumType w:start="8"/>
          <w:cols w:num="3" w:space="708" w:equalWidth="0">
            <w:col w:w="4922" w:space="40"/>
            <w:col w:w="2682" w:space="39"/>
            <w:col w:w="2227" w:space="0"/>
          </w:cols>
        </w:sectPr>
      </w:pPr>
    </w:p>
    <w:p>
      <w:pPr>
        <w:pStyle w:val="BodyText"/>
        <w:rPr>
          <w:sz w:val="20"/>
        </w:rPr>
      </w:pPr>
    </w:p>
    <w:p>
      <w:pPr>
        <w:pStyle w:val="BodyText"/>
        <w:spacing w:before="5"/>
        <w:rPr>
          <w:sz w:val="17"/>
        </w:rPr>
      </w:pPr>
    </w:p>
    <w:p>
      <w:pPr>
        <w:pStyle w:val="BodyText"/>
        <w:ind w:right="1181"/>
        <w:jc w:val="right"/>
      </w:pPr>
      <w:r>
        <w:rPr>
          <w:spacing w:val="-3"/>
        </w:rPr>
        <w:t>停工整改</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9"/>
        </w:rPr>
      </w:pPr>
    </w:p>
    <w:p>
      <w:pPr>
        <w:pStyle w:val="Heading1"/>
        <w:spacing w:before="0" w:line="538" w:lineRule="exact"/>
      </w:pPr>
      <w:bookmarkStart w:id="5" w:name="_TOC_250019"/>
      <w:bookmarkEnd w:id="5"/>
      <w:r>
        <w:rPr>
          <w:spacing w:val="-1"/>
        </w:rPr>
        <w:t>五、安全监理控制措施</w:t>
      </w:r>
    </w:p>
    <w:p>
      <w:pPr>
        <w:pStyle w:val="BodyText"/>
        <w:spacing w:before="11"/>
        <w:rPr>
          <w:rFonts w:ascii="Microsoft JhengHei"/>
          <w:b/>
          <w:sz w:val="20"/>
        </w:rPr>
      </w:pPr>
    </w:p>
    <w:p>
      <w:pPr>
        <w:pStyle w:val="Heading2"/>
        <w:spacing w:line="240" w:lineRule="auto"/>
      </w:pPr>
      <w:bookmarkStart w:id="6" w:name="_TOC_250018"/>
      <w:r>
        <w:rPr>
          <w:spacing w:val="-2"/>
        </w:rPr>
        <w:t>1、</w:t>
      </w:r>
      <w:r>
        <w:rPr>
          <w:rFonts w:ascii="Microsoft JhengHei" w:eastAsia="Microsoft JhengHei"/>
          <w:spacing w:val="-2"/>
        </w:rPr>
        <w:t>组织</w:t>
      </w:r>
      <w:bookmarkEnd w:id="6"/>
      <w:r>
        <w:rPr>
          <w:spacing w:val="-6"/>
        </w:rPr>
        <w:t>措施</w:t>
      </w:r>
    </w:p>
    <w:p>
      <w:pPr>
        <w:pStyle w:val="ListParagraph"/>
        <w:numPr>
          <w:ilvl w:val="0"/>
          <w:numId w:val="24"/>
        </w:numPr>
        <w:tabs>
          <w:tab w:val="left" w:pos="1502"/>
        </w:tabs>
        <w:spacing w:before="186" w:after="0" w:line="343" w:lineRule="auto"/>
        <w:ind w:left="421" w:right="298" w:firstLine="480"/>
        <w:jc w:val="left"/>
        <w:rPr>
          <w:sz w:val="24"/>
        </w:rPr>
        <w:sectPr>
          <w:headerReference w:type="default" r:id="rId22"/>
          <w:footerReference w:type="default" r:id="rId23"/>
          <w:type w:val="continuous"/>
          <w:pgSz w:w="11910" w:h="16840"/>
          <w:pgMar w:top="2020" w:right="1060" w:bottom="1080" w:left="940" w:header="1000" w:footer="1201"/>
          <w:pgNumType w:start="9"/>
          <w:cols w:space="708"/>
        </w:sectPr>
      </w:pPr>
      <w:r>
        <w:rPr>
          <w:spacing w:val="-2"/>
          <w:sz w:val="24"/>
        </w:rPr>
        <w:t>坚持“安全第一、预防为主”的方针，必须明确各级管理层，各部门的施工作</w:t>
      </w:r>
      <w:r>
        <w:rPr>
          <w:spacing w:val="-2"/>
          <w:sz w:val="24"/>
        </w:rPr>
        <w:t>业班组和施工人员的责任，是保障项目安全施工的重要手段。</w:t>
      </w:r>
    </w:p>
    <w:p>
      <w:pPr>
        <w:pStyle w:val="ListParagraph"/>
        <w:numPr>
          <w:ilvl w:val="0"/>
          <w:numId w:val="20"/>
        </w:numPr>
        <w:tabs>
          <w:tab w:val="left" w:pos="1502"/>
        </w:tabs>
        <w:spacing w:before="1" w:after="0" w:line="240" w:lineRule="auto"/>
        <w:ind w:left="1502" w:right="0" w:hanging="601"/>
        <w:jc w:val="left"/>
        <w:rPr>
          <w:sz w:val="24"/>
        </w:rPr>
      </w:pPr>
      <w:r>
        <w:rPr>
          <w:spacing w:val="-3"/>
          <w:sz w:val="24"/>
        </w:rPr>
        <w:t>督促和协助施工单位从制度和组织上加强安全生产和科学管理，建立和完善有</w:t>
      </w:r>
    </w:p>
    <w:p>
      <w:pPr>
        <w:spacing w:after="0" w:line="240" w:lineRule="auto"/>
        <w:jc w:val="left"/>
        <w:rPr>
          <w:sz w:val="24"/>
        </w:rPr>
        <w:sectPr>
          <w:headerReference w:type="default" r:id="rId24"/>
          <w:footerReference w:type="default" r:id="rId25"/>
          <w:type w:val="nextPage"/>
          <w:pgSz w:w="11910" w:h="16840"/>
          <w:pgMar w:top="2020" w:right="1060" w:bottom="1080" w:left="940" w:header="1000" w:footer="1201"/>
          <w:pgNumType w:start="10"/>
          <w:cols w:space="708"/>
          <w:titlePg w:val="0"/>
        </w:sectPr>
      </w:pPr>
    </w:p>
    <w:p>
      <w:pPr>
        <w:pStyle w:val="BodyText"/>
        <w:rPr>
          <w:sz w:val="20"/>
        </w:rPr>
      </w:pPr>
    </w:p>
    <w:p>
      <w:pPr>
        <w:pStyle w:val="BodyText"/>
        <w:spacing w:before="11"/>
        <w:rPr>
          <w:sz w:val="17"/>
        </w:rPr>
      </w:pPr>
    </w:p>
    <w:p>
      <w:pPr>
        <w:pStyle w:val="BodyText"/>
        <w:spacing w:before="67" w:line="343" w:lineRule="auto"/>
        <w:ind w:left="421" w:right="365"/>
        <w:jc w:val="both"/>
      </w:pPr>
      <w:r>
        <w:rPr>
          <w:spacing w:val="-2"/>
        </w:rPr>
        <w:t>关安全生产制度和体系。并要求其搞好自控，每月检查各施工单位安保体系运作情况，</w:t>
      </w:r>
      <w:r>
        <w:rPr>
          <w:spacing w:val="-2"/>
        </w:rPr>
        <w:t>要求其层层建立安保责任制，签订安保责任书，定期组织安全知识教育、做好逐级安全</w:t>
      </w:r>
      <w:r>
        <w:rPr>
          <w:spacing w:val="-2"/>
        </w:rPr>
        <w:t>交底工作。安全管理人员必须配备到位，并切实履行职责，加强日常安全检查。</w:t>
      </w:r>
    </w:p>
    <w:p>
      <w:pPr>
        <w:pStyle w:val="BodyText"/>
        <w:spacing w:line="343" w:lineRule="auto"/>
        <w:ind w:left="421" w:right="178" w:firstLine="480"/>
      </w:pPr>
      <w:r>
        <w:rPr>
          <w:spacing w:val="-5"/>
        </w:rPr>
        <w:t>检查施工单位安全生产保证体系文件。该文件包括：安全生产保证体系的程序文件、</w:t>
      </w:r>
      <w:r>
        <w:t>施工安全、文明施工各项管理制度、经济承包责任制，要有明确的安全指标和包括奖惩在内的保证措施、支持性文件、内部安全生产保证体系审核记录。检查施工单位内部安全生产保证体系审核记录。</w:t>
      </w:r>
    </w:p>
    <w:p>
      <w:pPr>
        <w:pStyle w:val="Heading2"/>
      </w:pPr>
      <w:bookmarkStart w:id="7" w:name="_TOC_250017"/>
      <w:r>
        <w:rPr>
          <w:spacing w:val="-2"/>
        </w:rPr>
        <w:t>2、技</w:t>
      </w:r>
      <w:r>
        <w:rPr>
          <w:rFonts w:ascii="Microsoft JhengHei" w:eastAsia="Microsoft JhengHei"/>
          <w:spacing w:val="-2"/>
        </w:rPr>
        <w:t>术</w:t>
      </w:r>
      <w:bookmarkEnd w:id="7"/>
      <w:r>
        <w:rPr>
          <w:spacing w:val="-6"/>
        </w:rPr>
        <w:t>措施</w:t>
      </w:r>
    </w:p>
    <w:p>
      <w:pPr>
        <w:pStyle w:val="ListParagraph"/>
        <w:numPr>
          <w:ilvl w:val="0"/>
          <w:numId w:val="25"/>
        </w:numPr>
        <w:tabs>
          <w:tab w:val="left" w:pos="1502"/>
        </w:tabs>
        <w:spacing w:before="186" w:after="0" w:line="240" w:lineRule="auto"/>
        <w:ind w:left="1502" w:right="0" w:hanging="601"/>
        <w:jc w:val="left"/>
        <w:rPr>
          <w:sz w:val="24"/>
        </w:rPr>
      </w:pPr>
      <w:r>
        <w:rPr>
          <w:spacing w:val="-1"/>
          <w:sz w:val="24"/>
        </w:rPr>
        <w:t>监理在审查施工组织设计时，应审核以下涉及安全技术措施的内容：</w:t>
      </w:r>
    </w:p>
    <w:p>
      <w:pPr>
        <w:pStyle w:val="ListParagraph"/>
        <w:numPr>
          <w:ilvl w:val="0"/>
          <w:numId w:val="18"/>
        </w:numPr>
        <w:tabs>
          <w:tab w:val="left" w:pos="1262"/>
        </w:tabs>
        <w:spacing w:before="133" w:after="0" w:line="343" w:lineRule="auto"/>
        <w:ind w:left="421" w:right="298" w:firstLine="480"/>
        <w:jc w:val="left"/>
        <w:rPr>
          <w:sz w:val="24"/>
        </w:rPr>
      </w:pPr>
      <w:r>
        <w:rPr>
          <w:spacing w:val="-2"/>
          <w:sz w:val="24"/>
        </w:rPr>
        <w:t>安全管理、质量管理和安全保证体系的组织机构，包括项目经理、工长、安全管</w:t>
      </w:r>
      <w:r>
        <w:rPr>
          <w:spacing w:val="-2"/>
          <w:sz w:val="24"/>
        </w:rPr>
        <w:t>理人员、特种作业人员配备的数量、资格培训证和上岗证；</w:t>
      </w:r>
    </w:p>
    <w:p>
      <w:pPr>
        <w:pStyle w:val="ListParagraph"/>
        <w:numPr>
          <w:ilvl w:val="0"/>
          <w:numId w:val="18"/>
        </w:numPr>
        <w:tabs>
          <w:tab w:val="left" w:pos="1262"/>
        </w:tabs>
        <w:spacing w:before="1" w:after="0" w:line="240" w:lineRule="auto"/>
        <w:ind w:left="1262" w:right="0" w:hanging="361"/>
        <w:jc w:val="left"/>
        <w:rPr>
          <w:sz w:val="24"/>
        </w:rPr>
      </w:pPr>
      <w:r>
        <w:rPr>
          <w:spacing w:val="-1"/>
          <w:sz w:val="24"/>
        </w:rPr>
        <w:t>施工安全生产责任制、安全管理规章制度、安全操作规程的制定情况；</w:t>
      </w:r>
    </w:p>
    <w:p>
      <w:pPr>
        <w:pStyle w:val="ListParagraph"/>
        <w:numPr>
          <w:ilvl w:val="0"/>
          <w:numId w:val="18"/>
        </w:numPr>
        <w:tabs>
          <w:tab w:val="left" w:pos="1262"/>
        </w:tabs>
        <w:spacing w:before="132" w:after="0" w:line="240" w:lineRule="auto"/>
        <w:ind w:left="1262" w:right="0" w:hanging="361"/>
        <w:jc w:val="left"/>
        <w:rPr>
          <w:sz w:val="24"/>
        </w:rPr>
      </w:pPr>
      <w:r>
        <w:rPr>
          <w:spacing w:val="-1"/>
          <w:sz w:val="24"/>
        </w:rPr>
        <w:t>起重机械设备、施工机具和电器设备等设置是否符合规范要求；</w:t>
      </w:r>
    </w:p>
    <w:p>
      <w:pPr>
        <w:pStyle w:val="ListParagraph"/>
        <w:numPr>
          <w:ilvl w:val="0"/>
          <w:numId w:val="18"/>
        </w:numPr>
        <w:tabs>
          <w:tab w:val="left" w:pos="1262"/>
        </w:tabs>
        <w:spacing w:before="133" w:after="0" w:line="343" w:lineRule="auto"/>
        <w:ind w:left="421" w:right="298" w:firstLine="480"/>
        <w:jc w:val="left"/>
        <w:rPr>
          <w:sz w:val="24"/>
        </w:rPr>
      </w:pPr>
      <w:r>
        <w:rPr>
          <w:spacing w:val="-2"/>
          <w:sz w:val="24"/>
        </w:rPr>
        <w:t>基坑支护、模板、脚手架、起重机械设备和整体提升脚手架拆装等专项方案是否</w:t>
      </w:r>
      <w:r>
        <w:rPr>
          <w:spacing w:val="-2"/>
          <w:sz w:val="24"/>
        </w:rPr>
        <w:t>符合规范要求；</w:t>
      </w:r>
    </w:p>
    <w:p>
      <w:pPr>
        <w:pStyle w:val="ListParagraph"/>
        <w:numPr>
          <w:ilvl w:val="0"/>
          <w:numId w:val="18"/>
        </w:numPr>
        <w:tabs>
          <w:tab w:val="left" w:pos="1262"/>
        </w:tabs>
        <w:spacing w:before="0" w:after="0" w:line="240" w:lineRule="auto"/>
        <w:ind w:left="1262" w:right="0" w:hanging="361"/>
        <w:jc w:val="left"/>
        <w:rPr>
          <w:sz w:val="24"/>
        </w:rPr>
      </w:pPr>
      <w:r>
        <w:rPr>
          <w:spacing w:val="-1"/>
          <w:sz w:val="24"/>
        </w:rPr>
        <w:t>事故应急救援预案的制定情况；</w:t>
      </w:r>
    </w:p>
    <w:p>
      <w:pPr>
        <w:pStyle w:val="ListParagraph"/>
        <w:numPr>
          <w:ilvl w:val="0"/>
          <w:numId w:val="18"/>
        </w:numPr>
        <w:tabs>
          <w:tab w:val="left" w:pos="1262"/>
        </w:tabs>
        <w:spacing w:before="133" w:after="0" w:line="240" w:lineRule="auto"/>
        <w:ind w:left="1262" w:right="0" w:hanging="361"/>
        <w:jc w:val="left"/>
        <w:rPr>
          <w:sz w:val="24"/>
        </w:rPr>
      </w:pPr>
      <w:r>
        <w:rPr>
          <w:spacing w:val="-1"/>
          <w:sz w:val="24"/>
        </w:rPr>
        <w:t>冬期、雨期等季节性施工方案的制定情况；</w:t>
      </w:r>
    </w:p>
    <w:p>
      <w:pPr>
        <w:pStyle w:val="ListParagraph"/>
        <w:numPr>
          <w:ilvl w:val="0"/>
          <w:numId w:val="18"/>
        </w:numPr>
        <w:tabs>
          <w:tab w:val="left" w:pos="1262"/>
        </w:tabs>
        <w:spacing w:before="132" w:after="0" w:line="343" w:lineRule="auto"/>
        <w:ind w:left="421" w:right="178" w:firstLine="480"/>
        <w:jc w:val="left"/>
        <w:rPr>
          <w:sz w:val="24"/>
        </w:rPr>
      </w:pPr>
      <w:r>
        <w:rPr>
          <w:spacing w:val="-2"/>
          <w:sz w:val="24"/>
        </w:rPr>
        <w:t>施工总平面图是否合理，办公、宿舍、食堂等临时设施的设置以及施工现场场地</w:t>
      </w:r>
      <w:r>
        <w:rPr>
          <w:spacing w:val="-2"/>
          <w:sz w:val="24"/>
        </w:rPr>
        <w:t>、道路、排污、排水、防火措施是否符合有关安全技术标准规范和文明施工要求。</w:t>
      </w:r>
    </w:p>
    <w:p>
      <w:pPr>
        <w:pStyle w:val="ListParagraph"/>
        <w:numPr>
          <w:ilvl w:val="0"/>
          <w:numId w:val="25"/>
        </w:numPr>
        <w:tabs>
          <w:tab w:val="left" w:pos="1502"/>
        </w:tabs>
        <w:spacing w:before="1" w:after="0" w:line="343" w:lineRule="auto"/>
        <w:ind w:left="421" w:right="298" w:firstLine="480"/>
        <w:jc w:val="both"/>
        <w:rPr>
          <w:sz w:val="24"/>
        </w:rPr>
      </w:pPr>
      <w:r>
        <w:rPr>
          <w:spacing w:val="-2"/>
          <w:sz w:val="24"/>
        </w:rPr>
        <w:t>临时用电组织设计及变更时，必须履行“编制、审核、批准”程序，由电气工</w:t>
      </w:r>
      <w:r>
        <w:rPr>
          <w:spacing w:val="-2"/>
          <w:sz w:val="24"/>
        </w:rPr>
        <w:t>程技术人员组织编制，经相关部门审核及具有法人资格企业的技术负责人批准后，报送</w:t>
      </w:r>
      <w:r>
        <w:rPr>
          <w:spacing w:val="-2"/>
          <w:sz w:val="24"/>
        </w:rPr>
        <w:t>监理审批实施，变更有电组织设计时应补充有关图纸资料。临时用电工程必须经编制、</w:t>
      </w:r>
      <w:r>
        <w:rPr>
          <w:spacing w:val="-2"/>
          <w:sz w:val="24"/>
        </w:rPr>
        <w:t>审核、批准部门和使用单位共同验收，合格后方可投入使用。</w:t>
      </w:r>
    </w:p>
    <w:p>
      <w:pPr>
        <w:pStyle w:val="BodyText"/>
        <w:spacing w:before="1" w:line="343" w:lineRule="auto"/>
        <w:ind w:left="421" w:right="365" w:firstLine="480"/>
        <w:jc w:val="both"/>
        <w:sectPr>
          <w:headerReference w:type="default" r:id="rId26"/>
          <w:footerReference w:type="default" r:id="rId27"/>
          <w:pgSz w:w="11910" w:h="16840"/>
          <w:pgMar w:top="2020" w:right="1060" w:bottom="1400" w:left="940" w:header="1000" w:footer="1201"/>
          <w:pgNumType w:start="11"/>
          <w:cols w:space="708"/>
        </w:sectPr>
      </w:pPr>
      <w:r>
        <w:rPr>
          <w:spacing w:val="-2"/>
        </w:rPr>
        <w:t>施工企业必须根据工程结构形式、荷载大小、基础情况（含地基土）、施工设备、</w:t>
      </w:r>
      <w:r>
        <w:rPr>
          <w:spacing w:val="-2"/>
        </w:rPr>
        <w:t>施工方式和材料供应等条件编制承重支撑架施工技术专项方案。承重支撑架施工技术专</w:t>
      </w:r>
      <w:r>
        <w:rPr>
          <w:spacing w:val="-2"/>
        </w:rPr>
        <w:t>项方案必须按规定程序编制、审核、审批，并逐一签字负责。必要时，可聘请有关技术</w:t>
      </w:r>
      <w:r>
        <w:rPr>
          <w:spacing w:val="-2"/>
        </w:rPr>
        <w:t>专家对承重支撑架方案进行论证，以确保方案的科学性、可行性和安全性，企业技术负</w:t>
      </w:r>
      <w:r>
        <w:rPr>
          <w:spacing w:val="-1"/>
        </w:rPr>
        <w:t>责人必须对专项技术方案进行审批，并最终承担技术责任。监理单位必须按照有关规范</w:t>
      </w:r>
    </w:p>
    <w:p>
      <w:pPr>
        <w:pStyle w:val="BodyText"/>
        <w:spacing w:before="1"/>
        <w:ind w:left="421"/>
      </w:pPr>
      <w:r>
        <w:rPr>
          <w:spacing w:val="-1"/>
        </w:rPr>
        <w:t>标准对承重支撑架施工技术专项方案进行严格审查，并由项目总监理工程师签字负责。</w:t>
      </w:r>
    </w:p>
    <w:p>
      <w:pPr>
        <w:spacing w:after="0"/>
        <w:sectPr>
          <w:headerReference w:type="default" r:id="rId28"/>
          <w:footerReference w:type="default" r:id="rId29"/>
          <w:type w:val="nextPage"/>
          <w:pgSz w:w="11910" w:h="16840"/>
          <w:pgMar w:top="2020" w:right="1060" w:bottom="1400" w:left="940" w:header="1000" w:footer="1201"/>
          <w:pgNumType w:start="12"/>
          <w:cols w:space="708"/>
          <w:titlePg w:val="0"/>
        </w:sectPr>
      </w:pPr>
    </w:p>
    <w:p>
      <w:pPr>
        <w:pStyle w:val="BodyText"/>
        <w:rPr>
          <w:sz w:val="20"/>
        </w:rPr>
      </w:pPr>
    </w:p>
    <w:p>
      <w:pPr>
        <w:pStyle w:val="BodyText"/>
        <w:spacing w:before="11"/>
        <w:rPr>
          <w:sz w:val="17"/>
        </w:rPr>
      </w:pPr>
    </w:p>
    <w:p>
      <w:pPr>
        <w:pStyle w:val="BodyText"/>
        <w:spacing w:before="67" w:line="343" w:lineRule="auto"/>
        <w:ind w:left="421" w:right="365"/>
      </w:pPr>
      <w:r>
        <w:rPr>
          <w:spacing w:val="-2"/>
        </w:rPr>
        <w:t>在施工过程中应重点检查实际施工情况与方案的符合性，发现问题应及时向施工单位提</w:t>
      </w:r>
      <w:r>
        <w:rPr>
          <w:spacing w:val="-2"/>
        </w:rPr>
        <w:t>出并督促其彻底整改；施工完毕后，项目监理部应组织验收并予以确认。</w:t>
      </w:r>
    </w:p>
    <w:p>
      <w:pPr>
        <w:pStyle w:val="BodyText"/>
        <w:spacing w:line="343" w:lineRule="auto"/>
        <w:ind w:left="421" w:right="178" w:firstLine="480"/>
      </w:pPr>
      <w:r>
        <w:t>基坑（槽</w:t>
      </w:r>
      <w:r>
        <w:rPr>
          <w:spacing w:val="-55"/>
        </w:rPr>
        <w:t>）</w:t>
      </w:r>
      <w:r>
        <w:rPr>
          <w:spacing w:val="-1"/>
        </w:rPr>
        <w:t>、边坡、基础桩、模板和临时建筑作业前，施工单位应按设计单位要求，</w:t>
      </w:r>
      <w:r>
        <w:t>根据地质情况、施工工艺、作业条件及周边环境编制施工方案，脚手架、模板工程应按相关规定编制施工方案，施工单位分管负责人审批签字，项目分管负责人组织有关部门验收，经验收合格签字后，方可作业。</w:t>
      </w:r>
    </w:p>
    <w:p>
      <w:pPr>
        <w:pStyle w:val="Heading2"/>
      </w:pPr>
      <w:bookmarkStart w:id="8" w:name="_TOC_250016"/>
      <w:r>
        <w:rPr>
          <w:spacing w:val="-2"/>
        </w:rPr>
        <w:t>3、</w:t>
      </w:r>
      <w:r>
        <w:rPr>
          <w:rFonts w:ascii="Microsoft JhengHei" w:eastAsia="Microsoft JhengHei"/>
          <w:spacing w:val="-2"/>
        </w:rPr>
        <w:t>经济</w:t>
      </w:r>
      <w:bookmarkEnd w:id="8"/>
      <w:r>
        <w:rPr>
          <w:spacing w:val="-6"/>
        </w:rPr>
        <w:t>措施</w:t>
      </w:r>
    </w:p>
    <w:p>
      <w:pPr>
        <w:pStyle w:val="BodyText"/>
        <w:spacing w:before="186" w:line="343" w:lineRule="auto"/>
        <w:ind w:left="421" w:right="299" w:firstLine="480"/>
        <w:jc w:val="both"/>
      </w:pPr>
      <w:r>
        <w:rPr>
          <w:spacing w:val="-2"/>
        </w:rPr>
        <w:t>配合政府安全管理部门的检查、指导，并定期组织施工单位对现场的安全文明施工</w:t>
      </w:r>
      <w:r>
        <w:rPr>
          <w:spacing w:val="-2"/>
        </w:rPr>
        <w:t>进行检查，对有安全隐患及人员的不安全行为等采取教育、通报、罚款等手段，以杜绝</w:t>
      </w:r>
      <w:r>
        <w:rPr>
          <w:spacing w:val="-2"/>
        </w:rPr>
        <w:t>事故的发生。</w:t>
      </w:r>
    </w:p>
    <w:p>
      <w:pPr>
        <w:pStyle w:val="Heading2"/>
      </w:pPr>
      <w:bookmarkStart w:id="9" w:name="_TOC_250015"/>
      <w:r>
        <w:rPr>
          <w:spacing w:val="-2"/>
        </w:rPr>
        <w:t>4</w:t>
      </w:r>
      <w:bookmarkEnd w:id="9"/>
      <w:r>
        <w:rPr>
          <w:spacing w:val="-4"/>
        </w:rPr>
        <w:t>、其他措施</w:t>
      </w:r>
    </w:p>
    <w:p>
      <w:pPr>
        <w:pStyle w:val="ListParagraph"/>
        <w:numPr>
          <w:ilvl w:val="0"/>
          <w:numId w:val="26"/>
        </w:numPr>
        <w:tabs>
          <w:tab w:val="left" w:pos="1502"/>
        </w:tabs>
        <w:spacing w:before="186" w:after="0" w:line="343" w:lineRule="auto"/>
        <w:ind w:left="421" w:right="298" w:firstLine="480"/>
        <w:jc w:val="left"/>
        <w:rPr>
          <w:sz w:val="24"/>
        </w:rPr>
      </w:pPr>
      <w:r>
        <w:rPr>
          <w:spacing w:val="-2"/>
          <w:sz w:val="24"/>
        </w:rPr>
        <w:t>工程开工前，项目监理部针对监理项目特点召开安全文明施工专题讨论会，加</w:t>
      </w:r>
      <w:r>
        <w:rPr>
          <w:spacing w:val="-2"/>
          <w:sz w:val="24"/>
        </w:rPr>
        <w:t>强安全文明知识的深化学习，进一步强化监理人员的安全意识。</w:t>
      </w:r>
    </w:p>
    <w:p>
      <w:pPr>
        <w:pStyle w:val="ListParagraph"/>
        <w:numPr>
          <w:ilvl w:val="0"/>
          <w:numId w:val="26"/>
        </w:numPr>
        <w:tabs>
          <w:tab w:val="left" w:pos="1627"/>
        </w:tabs>
        <w:spacing w:before="1" w:after="0" w:line="343" w:lineRule="auto"/>
        <w:ind w:left="421" w:right="299" w:firstLine="480"/>
        <w:jc w:val="both"/>
        <w:rPr>
          <w:sz w:val="24"/>
        </w:rPr>
      </w:pPr>
      <w:r>
        <w:rPr>
          <w:spacing w:val="-2"/>
          <w:sz w:val="24"/>
        </w:rPr>
        <w:t>项目监理部制定安全管理职责，落实安全责任制，总监负全责，各专业监理工程师各负其责。并在监理机构中安排专职安全监理人员负责本工程安全管理，负责施工现场的日常安全管理工作。当施工中出现了安全隐患，总监理工程师认为有必要停工以消除隐患时，可签发工程暂停令；当隐患消除、具备复工条件时，及时签署工程复工</w:t>
      </w:r>
      <w:r>
        <w:rPr>
          <w:spacing w:val="-2"/>
          <w:sz w:val="24"/>
        </w:rPr>
        <w:t>报审表，指令承包单位继续施工。由此发生的停工损失由责任方自行承担。</w:t>
      </w:r>
    </w:p>
    <w:p>
      <w:pPr>
        <w:pStyle w:val="ListParagraph"/>
        <w:numPr>
          <w:ilvl w:val="0"/>
          <w:numId w:val="26"/>
        </w:numPr>
        <w:tabs>
          <w:tab w:val="left" w:pos="1627"/>
        </w:tabs>
        <w:spacing w:before="1" w:after="0" w:line="343" w:lineRule="auto"/>
        <w:ind w:left="421" w:right="299" w:firstLine="480"/>
        <w:jc w:val="both"/>
        <w:rPr>
          <w:sz w:val="24"/>
        </w:rPr>
      </w:pPr>
      <w:r>
        <w:rPr>
          <w:spacing w:val="-2"/>
          <w:sz w:val="24"/>
        </w:rPr>
        <w:t>安全监理人员应对高危作业的关键工序实施现场旁站监督检查。监理的有关</w:t>
      </w:r>
      <w:r>
        <w:rPr>
          <w:spacing w:val="-2"/>
          <w:sz w:val="24"/>
        </w:rPr>
        <w:t>安全控制活动必须作好记录，记录应具体详细。</w:t>
      </w:r>
    </w:p>
    <w:p>
      <w:pPr>
        <w:pStyle w:val="ListParagraph"/>
        <w:numPr>
          <w:ilvl w:val="0"/>
          <w:numId w:val="26"/>
        </w:numPr>
        <w:tabs>
          <w:tab w:val="left" w:pos="1627"/>
        </w:tabs>
        <w:spacing w:before="1" w:after="0" w:line="343" w:lineRule="auto"/>
        <w:ind w:left="421" w:right="299" w:firstLine="480"/>
        <w:jc w:val="both"/>
        <w:rPr>
          <w:sz w:val="24"/>
        </w:rPr>
      </w:pPr>
      <w:r>
        <w:rPr>
          <w:spacing w:val="-2"/>
          <w:sz w:val="24"/>
        </w:rPr>
        <w:t>制定安全、文明施工管理中的奖罚机制，对成绩优异的监理人员实行奖励，</w:t>
      </w:r>
      <w:r>
        <w:rPr>
          <w:spacing w:val="-2"/>
          <w:sz w:val="24"/>
        </w:rPr>
        <w:t>对责任心不强的监理人员进行处罚，直至调离工作岗位。</w:t>
      </w:r>
    </w:p>
    <w:p>
      <w:pPr>
        <w:pStyle w:val="Heading1"/>
      </w:pPr>
      <w:bookmarkStart w:id="10" w:name="_TOC_250014"/>
      <w:bookmarkEnd w:id="10"/>
      <w:r>
        <w:rPr>
          <w:spacing w:val="-2"/>
        </w:rPr>
        <w:t>六、安全控制方法</w:t>
      </w:r>
    </w:p>
    <w:p>
      <w:pPr>
        <w:pStyle w:val="BodyText"/>
        <w:spacing w:before="11"/>
        <w:rPr>
          <w:rFonts w:ascii="Microsoft JhengHei"/>
          <w:b/>
          <w:sz w:val="20"/>
        </w:rPr>
      </w:pPr>
    </w:p>
    <w:p>
      <w:pPr>
        <w:pStyle w:val="Heading2"/>
        <w:spacing w:line="240" w:lineRule="auto"/>
      </w:pPr>
      <w:bookmarkStart w:id="11" w:name="_TOC_250013"/>
      <w:r>
        <w:rPr>
          <w:spacing w:val="-2"/>
        </w:rPr>
        <w:t>1、施工准</w:t>
      </w:r>
      <w:r>
        <w:rPr>
          <w:rFonts w:ascii="Microsoft JhengHei" w:eastAsia="Microsoft JhengHei"/>
          <w:spacing w:val="-2"/>
        </w:rPr>
        <w:t>备阶</w:t>
      </w:r>
      <w:r>
        <w:rPr>
          <w:spacing w:val="-2"/>
        </w:rPr>
        <w:t>段安全</w:t>
      </w:r>
      <w:r>
        <w:rPr>
          <w:rFonts w:ascii="Microsoft JhengHei" w:eastAsia="Microsoft JhengHei"/>
          <w:spacing w:val="-2"/>
        </w:rPr>
        <w:t>监</w:t>
      </w:r>
      <w:bookmarkEnd w:id="11"/>
      <w:r>
        <w:rPr>
          <w:spacing w:val="-5"/>
        </w:rPr>
        <w:t>理方法</w:t>
      </w:r>
    </w:p>
    <w:p>
      <w:pPr>
        <w:pStyle w:val="ListParagraph"/>
        <w:numPr>
          <w:ilvl w:val="0"/>
          <w:numId w:val="16"/>
        </w:numPr>
        <w:tabs>
          <w:tab w:val="left" w:pos="1502"/>
        </w:tabs>
        <w:spacing w:before="186" w:after="0" w:line="343" w:lineRule="auto"/>
        <w:ind w:left="421" w:right="178" w:firstLine="480"/>
        <w:jc w:val="left"/>
        <w:rPr>
          <w:sz w:val="24"/>
        </w:rPr>
      </w:pPr>
      <w:r>
        <w:rPr>
          <w:spacing w:val="-2"/>
          <w:sz w:val="24"/>
        </w:rPr>
        <w:t>严格审查施工承包单位上报的施工组织设计或专项施工方案（如基坑支护与降</w:t>
      </w:r>
      <w:r>
        <w:rPr>
          <w:spacing w:val="-2"/>
          <w:sz w:val="24"/>
        </w:rPr>
        <w:t>水工程、土方开挖工程、模板工程、起重吊装工程、脚手架工程等）中的安全技术方案、</w:t>
      </w:r>
    </w:p>
    <w:p>
      <w:pPr>
        <w:spacing w:after="0" w:line="343" w:lineRule="auto"/>
        <w:jc w:val="left"/>
        <w:rPr>
          <w:sz w:val="24"/>
        </w:rPr>
        <w:sectPr>
          <w:headerReference w:type="default" r:id="rId30"/>
          <w:footerReference w:type="default" r:id="rId31"/>
          <w:pgSz w:w="11910" w:h="16840"/>
          <w:pgMar w:top="2020" w:right="1060" w:bottom="1400" w:left="940" w:header="1000" w:footer="1201"/>
          <w:pgNumType w:start="13"/>
          <w:cols w:space="708"/>
        </w:sectPr>
      </w:pPr>
    </w:p>
    <w:p>
      <w:pPr>
        <w:pStyle w:val="BodyText"/>
        <w:rPr>
          <w:sz w:val="20"/>
        </w:rPr>
      </w:pPr>
    </w:p>
    <w:p>
      <w:pPr>
        <w:pStyle w:val="BodyText"/>
        <w:spacing w:before="11"/>
        <w:rPr>
          <w:sz w:val="17"/>
        </w:rPr>
      </w:pPr>
    </w:p>
    <w:p>
      <w:pPr>
        <w:pStyle w:val="BodyText"/>
        <w:spacing w:before="67" w:line="343" w:lineRule="auto"/>
        <w:ind w:left="421" w:right="299"/>
      </w:pPr>
      <w:r>
        <w:rPr>
          <w:spacing w:val="-2"/>
        </w:rPr>
        <w:t>安全技术措施是否符合工程建设强制性标准，是否包含涉及工程或施工安全的应急抢险</w:t>
      </w:r>
      <w:r>
        <w:rPr>
          <w:spacing w:val="-4"/>
        </w:rPr>
        <w:t>方案。</w:t>
      </w:r>
    </w:p>
    <w:p>
      <w:pPr>
        <w:pStyle w:val="ListParagraph"/>
        <w:numPr>
          <w:ilvl w:val="0"/>
          <w:numId w:val="27"/>
        </w:numPr>
        <w:tabs>
          <w:tab w:val="left" w:pos="1502"/>
        </w:tabs>
        <w:spacing w:before="0" w:after="0" w:line="343" w:lineRule="auto"/>
        <w:ind w:left="421" w:right="298" w:firstLine="480"/>
        <w:jc w:val="both"/>
        <w:rPr>
          <w:sz w:val="24"/>
        </w:rPr>
      </w:pPr>
      <w:r>
        <w:rPr>
          <w:spacing w:val="-1"/>
          <w:sz w:val="24"/>
        </w:rPr>
        <w:t>督促和协助施工单位从制度和组织上加强安全生产和科学管理，建立和完善</w:t>
      </w:r>
      <w:r>
        <w:rPr>
          <w:spacing w:val="-3"/>
          <w:sz w:val="24"/>
        </w:rPr>
        <w:t>有关安全生产制度和体系。坚持“安全第一、预防为主”的方针，必须明确各级管理层</w:t>
      </w:r>
      <w:r>
        <w:rPr>
          <w:sz w:val="24"/>
        </w:rPr>
        <w:t>，各部门的施工作业班组和施工人员的责任，是保障项目安全施工的重要手段。</w:t>
      </w:r>
    </w:p>
    <w:p>
      <w:pPr>
        <w:pStyle w:val="ListParagraph"/>
        <w:numPr>
          <w:ilvl w:val="0"/>
          <w:numId w:val="27"/>
        </w:numPr>
        <w:tabs>
          <w:tab w:val="left" w:pos="1502"/>
        </w:tabs>
        <w:spacing w:before="1" w:after="0" w:line="343" w:lineRule="auto"/>
        <w:ind w:left="421" w:right="298" w:firstLine="480"/>
        <w:jc w:val="left"/>
        <w:rPr>
          <w:sz w:val="24"/>
        </w:rPr>
      </w:pPr>
      <w:r>
        <w:rPr>
          <w:spacing w:val="-2"/>
          <w:sz w:val="24"/>
        </w:rPr>
        <w:t>认真检查施工单位的安全管理体系的贯彻落实情况，检查监督施工现场的安</w:t>
      </w:r>
      <w:r>
        <w:rPr>
          <w:spacing w:val="-4"/>
          <w:sz w:val="24"/>
        </w:rPr>
        <w:t>全防护设施和安全管理措施是否到位、有效。</w:t>
      </w:r>
    </w:p>
    <w:p>
      <w:pPr>
        <w:pStyle w:val="ListParagraph"/>
        <w:numPr>
          <w:ilvl w:val="0"/>
          <w:numId w:val="27"/>
        </w:numPr>
        <w:tabs>
          <w:tab w:val="left" w:pos="1502"/>
        </w:tabs>
        <w:spacing w:before="1" w:after="0" w:line="343" w:lineRule="auto"/>
        <w:ind w:left="421" w:right="298" w:firstLine="480"/>
        <w:jc w:val="both"/>
        <w:rPr>
          <w:sz w:val="24"/>
        </w:rPr>
      </w:pPr>
      <w:r>
        <w:rPr>
          <w:spacing w:val="-2"/>
          <w:sz w:val="24"/>
        </w:rPr>
        <w:t>督促施工承包单位做好安全技术交底制度，严格审查施工单位的各项安全技</w:t>
      </w:r>
      <w:r>
        <w:rPr>
          <w:spacing w:val="-3"/>
          <w:sz w:val="24"/>
        </w:rPr>
        <w:t>术交底记录，如：施工工种的安全技术交底记录，分项分部工程施工及新工艺、新技术</w:t>
      </w:r>
      <w:r>
        <w:rPr>
          <w:sz w:val="24"/>
        </w:rPr>
        <w:t>、新设备、新材料施工的安全技术交底记录等。</w:t>
      </w:r>
    </w:p>
    <w:p>
      <w:pPr>
        <w:pStyle w:val="ListParagraph"/>
        <w:numPr>
          <w:ilvl w:val="0"/>
          <w:numId w:val="27"/>
        </w:numPr>
        <w:tabs>
          <w:tab w:val="left" w:pos="1502"/>
        </w:tabs>
        <w:spacing w:before="0" w:after="0" w:line="240" w:lineRule="auto"/>
        <w:ind w:left="1502" w:right="0" w:hanging="601"/>
        <w:jc w:val="left"/>
        <w:rPr>
          <w:sz w:val="24"/>
        </w:rPr>
      </w:pPr>
      <w:r>
        <w:rPr>
          <w:spacing w:val="-6"/>
          <w:sz w:val="24"/>
        </w:rPr>
        <w:t>制定监理对现场安全文明施工的管理措施，及时向施工单位交底以便顺利实施。</w:t>
      </w:r>
    </w:p>
    <w:p>
      <w:pPr>
        <w:pStyle w:val="ListParagraph"/>
        <w:numPr>
          <w:ilvl w:val="0"/>
          <w:numId w:val="27"/>
        </w:numPr>
        <w:tabs>
          <w:tab w:val="left" w:pos="1502"/>
        </w:tabs>
        <w:spacing w:before="133" w:after="0" w:line="343" w:lineRule="auto"/>
        <w:ind w:left="421" w:right="298" w:firstLine="480"/>
        <w:jc w:val="both"/>
        <w:rPr>
          <w:sz w:val="24"/>
        </w:rPr>
      </w:pPr>
      <w:r>
        <w:rPr>
          <w:spacing w:val="-2"/>
          <w:sz w:val="24"/>
        </w:rPr>
        <w:t>加强季节性的安全防范工作。夏季，督促施工单位注重防雷、防暑降温、防台</w:t>
      </w:r>
      <w:r>
        <w:rPr>
          <w:spacing w:val="-2"/>
          <w:sz w:val="24"/>
        </w:rPr>
        <w:t>风及防涝；秋冬季狠抓消防工作，强化火种管制。在各施工区域内划定禁火区，严格实</w:t>
      </w:r>
      <w:r>
        <w:rPr>
          <w:spacing w:val="-2"/>
          <w:sz w:val="24"/>
        </w:rPr>
        <w:t>行动火许可证制度。</w:t>
      </w:r>
    </w:p>
    <w:p>
      <w:pPr>
        <w:pStyle w:val="Heading2"/>
      </w:pPr>
      <w:bookmarkStart w:id="12" w:name="_TOC_250012"/>
      <w:r>
        <w:rPr>
          <w:spacing w:val="-2"/>
        </w:rPr>
        <w:t>2、施工</w:t>
      </w:r>
      <w:r>
        <w:rPr>
          <w:rFonts w:ascii="Microsoft JhengHei" w:eastAsia="Microsoft JhengHei"/>
          <w:spacing w:val="-2"/>
        </w:rPr>
        <w:t>过</w:t>
      </w:r>
      <w:r>
        <w:rPr>
          <w:spacing w:val="-2"/>
        </w:rPr>
        <w:t>程中安全</w:t>
      </w:r>
      <w:r>
        <w:rPr>
          <w:rFonts w:ascii="Microsoft JhengHei" w:eastAsia="Microsoft JhengHei"/>
          <w:spacing w:val="-2"/>
        </w:rPr>
        <w:t>监</w:t>
      </w:r>
      <w:bookmarkEnd w:id="12"/>
      <w:r>
        <w:rPr>
          <w:spacing w:val="-5"/>
        </w:rPr>
        <w:t>理方法</w:t>
      </w:r>
    </w:p>
    <w:p>
      <w:pPr>
        <w:pStyle w:val="ListParagraph"/>
        <w:numPr>
          <w:ilvl w:val="0"/>
          <w:numId w:val="15"/>
        </w:numPr>
        <w:tabs>
          <w:tab w:val="left" w:pos="1502"/>
        </w:tabs>
        <w:spacing w:before="186" w:after="0" w:line="240" w:lineRule="auto"/>
        <w:ind w:left="1502" w:right="0" w:hanging="601"/>
        <w:jc w:val="left"/>
        <w:rPr>
          <w:sz w:val="24"/>
        </w:rPr>
      </w:pPr>
      <w:r>
        <w:rPr>
          <w:spacing w:val="-1"/>
          <w:sz w:val="24"/>
        </w:rPr>
        <w:t>督促施工单位完善技术和操作管理规程，实现安全文明施工。</w:t>
      </w:r>
    </w:p>
    <w:p>
      <w:pPr>
        <w:pStyle w:val="ListParagraph"/>
        <w:numPr>
          <w:ilvl w:val="0"/>
          <w:numId w:val="15"/>
        </w:numPr>
        <w:tabs>
          <w:tab w:val="left" w:pos="1502"/>
        </w:tabs>
        <w:spacing w:before="132" w:after="0" w:line="343" w:lineRule="auto"/>
        <w:ind w:left="421" w:right="298" w:firstLine="480"/>
        <w:jc w:val="left"/>
        <w:rPr>
          <w:sz w:val="24"/>
        </w:rPr>
      </w:pPr>
      <w:r>
        <w:rPr>
          <w:spacing w:val="-1"/>
          <w:sz w:val="24"/>
        </w:rPr>
        <w:t>监督施工单位按照工程建设强制性标准和专项安全施工方案组织施工，制止</w:t>
      </w:r>
      <w:r>
        <w:rPr>
          <w:spacing w:val="-4"/>
          <w:sz w:val="24"/>
        </w:rPr>
        <w:t>违规施工作业。</w:t>
      </w:r>
    </w:p>
    <w:p>
      <w:pPr>
        <w:pStyle w:val="ListParagraph"/>
        <w:numPr>
          <w:ilvl w:val="0"/>
          <w:numId w:val="15"/>
        </w:numPr>
        <w:tabs>
          <w:tab w:val="left" w:pos="1502"/>
        </w:tabs>
        <w:spacing w:before="1" w:after="0" w:line="343" w:lineRule="auto"/>
        <w:ind w:left="421" w:right="298" w:firstLine="480"/>
        <w:jc w:val="left"/>
        <w:rPr>
          <w:sz w:val="24"/>
        </w:rPr>
      </w:pPr>
      <w:r>
        <w:rPr>
          <w:spacing w:val="-2"/>
          <w:sz w:val="24"/>
        </w:rPr>
        <w:t>督促总包施工单位组织各分包单位每周进行安全自查工作；检查施工单位安全</w:t>
      </w:r>
      <w:r>
        <w:rPr>
          <w:spacing w:val="-2"/>
          <w:sz w:val="24"/>
        </w:rPr>
        <w:t>检查记录表，参加施工现场的安全生产检查。</w:t>
      </w:r>
    </w:p>
    <w:p>
      <w:pPr>
        <w:pStyle w:val="ListParagraph"/>
        <w:numPr>
          <w:ilvl w:val="0"/>
          <w:numId w:val="15"/>
        </w:numPr>
        <w:tabs>
          <w:tab w:val="left" w:pos="1502"/>
        </w:tabs>
        <w:spacing w:before="0" w:after="0" w:line="343" w:lineRule="auto"/>
        <w:ind w:left="421" w:right="298" w:firstLine="480"/>
        <w:jc w:val="both"/>
        <w:rPr>
          <w:sz w:val="24"/>
        </w:rPr>
      </w:pPr>
      <w:r>
        <w:rPr>
          <w:spacing w:val="-3"/>
          <w:sz w:val="24"/>
        </w:rPr>
        <w:t>建立每月安全检查制度。由安全监理人员定期组织进场各施工单位对现场的</w:t>
      </w:r>
      <w:r>
        <w:rPr>
          <w:spacing w:val="-3"/>
          <w:sz w:val="24"/>
        </w:rPr>
        <w:t>安全文明施工进行检查，包括对资料和现场逐项检查，检查完毕形成检查通报，对安全</w:t>
      </w:r>
      <w:r>
        <w:rPr>
          <w:sz w:val="24"/>
        </w:rPr>
        <w:t>隐患及人员的不安全行为等采取教育、通报、罚款等手段，以杜绝事故的发生。</w:t>
      </w:r>
    </w:p>
    <w:p>
      <w:pPr>
        <w:pStyle w:val="ListParagraph"/>
        <w:numPr>
          <w:ilvl w:val="0"/>
          <w:numId w:val="15"/>
        </w:numPr>
        <w:tabs>
          <w:tab w:val="left" w:pos="1502"/>
        </w:tabs>
        <w:spacing w:before="1" w:after="0" w:line="343" w:lineRule="auto"/>
        <w:ind w:left="421" w:right="178" w:firstLine="480"/>
        <w:jc w:val="left"/>
        <w:rPr>
          <w:sz w:val="24"/>
        </w:rPr>
        <w:sectPr>
          <w:headerReference w:type="default" r:id="rId32"/>
          <w:footerReference w:type="default" r:id="rId33"/>
          <w:pgSz w:w="11910" w:h="16840"/>
          <w:pgMar w:top="2020" w:right="1060" w:bottom="1400" w:left="940" w:header="1000" w:footer="1201"/>
          <w:pgNumType w:start="14"/>
          <w:cols w:space="708"/>
        </w:sectPr>
      </w:pPr>
      <w:r>
        <w:rPr>
          <w:spacing w:val="-4"/>
          <w:sz w:val="24"/>
        </w:rPr>
        <w:t>建立监理安全巡查制度，做好安全生产的监督检查工作，对不安全因素，及时</w:t>
      </w:r>
      <w:r>
        <w:rPr>
          <w:spacing w:val="-10"/>
          <w:sz w:val="24"/>
        </w:rPr>
        <w:t>督促施工单位整改；发现严重违规施工和存在安全事故隐患的，应当要求施工单位整改，</w:t>
      </w:r>
      <w:r>
        <w:rPr>
          <w:sz w:val="24"/>
        </w:rPr>
        <w:t>并检查整改结果，签署复查意见。情况严重的，由总监下达工程暂停施工令，要求施工单位暂时停止施工，并及时报告建设单位。施工单位拒不整改或者不停止施工的，工程监理单位应当及时向建筑工程安全监督机构报告。</w:t>
      </w:r>
    </w:p>
    <w:p>
      <w:pPr>
        <w:pStyle w:val="ListParagraph"/>
        <w:numPr>
          <w:ilvl w:val="0"/>
          <w:numId w:val="15"/>
        </w:numPr>
        <w:tabs>
          <w:tab w:val="left" w:pos="1502"/>
        </w:tabs>
        <w:spacing w:before="2" w:after="0" w:line="240" w:lineRule="auto"/>
        <w:ind w:left="1502" w:right="0" w:hanging="601"/>
        <w:jc w:val="left"/>
        <w:rPr>
          <w:sz w:val="24"/>
        </w:rPr>
      </w:pPr>
      <w:r>
        <w:rPr>
          <w:spacing w:val="-1"/>
          <w:sz w:val="24"/>
        </w:rPr>
        <w:t>安全监理人员应对高危作业的关键工序实施现场旁站监督检查。</w:t>
      </w:r>
    </w:p>
    <w:p>
      <w:pPr>
        <w:spacing w:after="0" w:line="240" w:lineRule="auto"/>
        <w:jc w:val="left"/>
        <w:rPr>
          <w:sz w:val="24"/>
        </w:rPr>
        <w:sectPr>
          <w:headerReference w:type="default" r:id="rId34"/>
          <w:footerReference w:type="default" r:id="rId35"/>
          <w:type w:val="nextPage"/>
          <w:pgSz w:w="11910" w:h="16840"/>
          <w:pgMar w:top="2020" w:right="1060" w:bottom="1400" w:left="940" w:header="1000" w:footer="1201"/>
          <w:pgNumType w:start="15"/>
          <w:cols w:space="708"/>
          <w:titlePg w:val="0"/>
        </w:sectPr>
      </w:pPr>
    </w:p>
    <w:p>
      <w:pPr>
        <w:pStyle w:val="BodyText"/>
        <w:rPr>
          <w:sz w:val="20"/>
        </w:rPr>
      </w:pPr>
    </w:p>
    <w:p>
      <w:pPr>
        <w:pStyle w:val="BodyText"/>
        <w:spacing w:before="11"/>
        <w:rPr>
          <w:sz w:val="17"/>
        </w:rPr>
      </w:pPr>
    </w:p>
    <w:p>
      <w:pPr>
        <w:pStyle w:val="ListParagraph"/>
        <w:numPr>
          <w:ilvl w:val="0"/>
          <w:numId w:val="15"/>
        </w:numPr>
        <w:tabs>
          <w:tab w:val="left" w:pos="1502"/>
        </w:tabs>
        <w:spacing w:before="67" w:after="0" w:line="343" w:lineRule="auto"/>
        <w:ind w:left="421" w:right="298" w:firstLine="480"/>
        <w:jc w:val="left"/>
        <w:rPr>
          <w:sz w:val="24"/>
        </w:rPr>
      </w:pPr>
      <w:r>
        <w:rPr>
          <w:spacing w:val="-2"/>
          <w:sz w:val="24"/>
        </w:rPr>
        <w:t>在监理例会上对上周的安全生产情况做专题总结，提出改进意见，并写入例会</w:t>
      </w:r>
      <w:r>
        <w:rPr>
          <w:spacing w:val="-4"/>
          <w:sz w:val="24"/>
        </w:rPr>
        <w:t>纪要。</w:t>
      </w:r>
    </w:p>
    <w:p>
      <w:pPr>
        <w:pStyle w:val="ListParagraph"/>
        <w:numPr>
          <w:ilvl w:val="0"/>
          <w:numId w:val="15"/>
        </w:numPr>
        <w:tabs>
          <w:tab w:val="left" w:pos="1502"/>
        </w:tabs>
        <w:spacing w:before="0" w:after="0" w:line="240" w:lineRule="auto"/>
        <w:ind w:left="1502" w:right="0" w:hanging="601"/>
        <w:jc w:val="left"/>
        <w:rPr>
          <w:sz w:val="24"/>
        </w:rPr>
      </w:pPr>
      <w:r>
        <w:rPr>
          <w:spacing w:val="-1"/>
          <w:sz w:val="24"/>
        </w:rPr>
        <w:t>配合政府安全管理部门的检查。</w:t>
      </w:r>
    </w:p>
    <w:p>
      <w:pPr>
        <w:pStyle w:val="Heading2"/>
        <w:spacing w:before="108" w:line="240" w:lineRule="auto"/>
      </w:pPr>
      <w:bookmarkStart w:id="13" w:name="_TOC_250011"/>
      <w:r>
        <w:rPr>
          <w:rFonts w:ascii="Microsoft JhengHei" w:eastAsia="Microsoft JhengHei"/>
          <w:spacing w:val="-6"/>
        </w:rPr>
        <w:t>3、</w:t>
      </w:r>
      <w:bookmarkEnd w:id="13"/>
      <w:r>
        <w:rPr>
          <w:spacing w:val="-7"/>
        </w:rPr>
        <w:t>事后控制</w:t>
      </w:r>
    </w:p>
    <w:p>
      <w:pPr>
        <w:pStyle w:val="ListParagraph"/>
        <w:numPr>
          <w:ilvl w:val="0"/>
          <w:numId w:val="14"/>
        </w:numPr>
        <w:tabs>
          <w:tab w:val="left" w:pos="1621"/>
        </w:tabs>
        <w:spacing w:before="186" w:after="0" w:line="343" w:lineRule="auto"/>
        <w:ind w:left="421" w:right="178" w:firstLine="480"/>
        <w:jc w:val="left"/>
        <w:rPr>
          <w:sz w:val="24"/>
        </w:rPr>
      </w:pPr>
      <w:r>
        <w:rPr>
          <w:spacing w:val="-2"/>
          <w:sz w:val="24"/>
        </w:rPr>
        <w:t>对发现的安全隐患，在发出监理通知要求责任人限期改正后，进行跟踪验证，</w:t>
      </w:r>
      <w:r>
        <w:rPr>
          <w:spacing w:val="-2"/>
          <w:sz w:val="24"/>
        </w:rPr>
        <w:t>确保纠正和预防措施得以落实。</w:t>
      </w:r>
    </w:p>
    <w:p>
      <w:pPr>
        <w:pStyle w:val="ListParagraph"/>
        <w:numPr>
          <w:ilvl w:val="0"/>
          <w:numId w:val="14"/>
        </w:numPr>
        <w:tabs>
          <w:tab w:val="left" w:pos="1621"/>
        </w:tabs>
        <w:spacing w:before="1" w:after="0" w:line="343" w:lineRule="auto"/>
        <w:ind w:left="421" w:right="365" w:firstLine="480"/>
        <w:jc w:val="left"/>
        <w:rPr>
          <w:sz w:val="24"/>
        </w:rPr>
      </w:pPr>
      <w:r>
        <w:rPr>
          <w:spacing w:val="-2"/>
          <w:sz w:val="24"/>
        </w:rPr>
        <w:t>对安全事故的处理坚持“四个不放过”，事故原因不清楚不放过，事故责任</w:t>
      </w:r>
      <w:r>
        <w:rPr>
          <w:spacing w:val="-2"/>
          <w:sz w:val="24"/>
        </w:rPr>
        <w:t>者和员工没有受到教育不放过，事故责任者没有处理不放过，没有防范措施不放过。</w:t>
      </w:r>
    </w:p>
    <w:p>
      <w:pPr>
        <w:pStyle w:val="ListParagraph"/>
        <w:numPr>
          <w:ilvl w:val="0"/>
          <w:numId w:val="14"/>
        </w:numPr>
        <w:tabs>
          <w:tab w:val="left" w:pos="1502"/>
        </w:tabs>
        <w:spacing w:before="0" w:after="0" w:line="240" w:lineRule="auto"/>
        <w:ind w:left="1502" w:right="0" w:hanging="601"/>
        <w:jc w:val="left"/>
        <w:rPr>
          <w:sz w:val="24"/>
        </w:rPr>
      </w:pPr>
      <w:r>
        <w:rPr>
          <w:spacing w:val="-1"/>
          <w:sz w:val="24"/>
        </w:rPr>
        <w:t>严格按以下程序处理安全事故：</w:t>
      </w:r>
    </w:p>
    <w:p>
      <w:pPr>
        <w:pStyle w:val="ListParagraph"/>
        <w:numPr>
          <w:ilvl w:val="1"/>
          <w:numId w:val="14"/>
        </w:numPr>
        <w:tabs>
          <w:tab w:val="left" w:pos="1681"/>
        </w:tabs>
        <w:spacing w:before="133" w:after="0" w:line="343" w:lineRule="auto"/>
        <w:ind w:left="780" w:right="306" w:firstLine="540"/>
        <w:jc w:val="left"/>
        <w:rPr>
          <w:sz w:val="24"/>
        </w:rPr>
      </w:pPr>
      <w:r>
        <w:rPr>
          <w:spacing w:val="-2"/>
          <w:sz w:val="24"/>
        </w:rPr>
        <w:t>报告安全事故：安全事故发生后，应立即用最快的传递手段，将发生事故的</w:t>
      </w:r>
      <w:r>
        <w:rPr>
          <w:spacing w:val="-2"/>
          <w:sz w:val="24"/>
        </w:rPr>
        <w:t>时间、地点、伤亡人数、事故原因等情况上报总监和公司。</w:t>
      </w:r>
    </w:p>
    <w:p>
      <w:pPr>
        <w:pStyle w:val="ListParagraph"/>
        <w:numPr>
          <w:ilvl w:val="1"/>
          <w:numId w:val="14"/>
        </w:numPr>
        <w:tabs>
          <w:tab w:val="left" w:pos="1681"/>
        </w:tabs>
        <w:spacing w:before="0" w:after="0" w:line="343" w:lineRule="auto"/>
        <w:ind w:left="780" w:right="306" w:firstLine="540"/>
        <w:jc w:val="left"/>
        <w:rPr>
          <w:sz w:val="24"/>
        </w:rPr>
      </w:pPr>
      <w:r>
        <w:rPr>
          <w:spacing w:val="-2"/>
          <w:sz w:val="24"/>
        </w:rPr>
        <w:t>事故处理：监理工程师应参与抢救伤员、排除险情、防止事故蔓延扩大，做</w:t>
      </w:r>
      <w:r>
        <w:rPr>
          <w:spacing w:val="-2"/>
          <w:sz w:val="24"/>
        </w:rPr>
        <w:t>好标识，保护好现场。</w:t>
      </w:r>
    </w:p>
    <w:p>
      <w:pPr>
        <w:pStyle w:val="ListParagraph"/>
        <w:numPr>
          <w:ilvl w:val="1"/>
          <w:numId w:val="14"/>
        </w:numPr>
        <w:tabs>
          <w:tab w:val="left" w:pos="1681"/>
        </w:tabs>
        <w:spacing w:before="1" w:after="0" w:line="240" w:lineRule="auto"/>
        <w:ind w:left="1681" w:right="0" w:hanging="361"/>
        <w:jc w:val="left"/>
        <w:rPr>
          <w:sz w:val="24"/>
        </w:rPr>
      </w:pPr>
      <w:r>
        <w:rPr>
          <w:spacing w:val="-1"/>
          <w:sz w:val="24"/>
        </w:rPr>
        <w:t>事故调查：监理部应组织或参与有关方组成的调查组，开展调查。</w:t>
      </w:r>
    </w:p>
    <w:p>
      <w:pPr>
        <w:pStyle w:val="ListParagraph"/>
        <w:numPr>
          <w:ilvl w:val="1"/>
          <w:numId w:val="14"/>
        </w:numPr>
        <w:tabs>
          <w:tab w:val="left" w:pos="1681"/>
        </w:tabs>
        <w:spacing w:before="132" w:after="0" w:line="343" w:lineRule="auto"/>
        <w:ind w:left="780" w:right="180" w:firstLine="540"/>
        <w:jc w:val="left"/>
        <w:rPr>
          <w:sz w:val="24"/>
        </w:rPr>
      </w:pPr>
      <w:r>
        <w:rPr>
          <w:spacing w:val="-14"/>
          <w:sz w:val="24"/>
        </w:rPr>
        <w:t>调查报告：调查组应把事故发生的经过、原因、性质、损失责任、处理意见、</w:t>
      </w:r>
      <w:r>
        <w:rPr>
          <w:spacing w:val="-2"/>
          <w:sz w:val="24"/>
        </w:rPr>
        <w:t>纠正和预防措施撰写成调查报告，并经调查组全体成员签字确认后报有关主管部门。</w:t>
      </w:r>
    </w:p>
    <w:p>
      <w:pPr>
        <w:pStyle w:val="ListParagraph"/>
        <w:numPr>
          <w:ilvl w:val="1"/>
          <w:numId w:val="14"/>
        </w:numPr>
        <w:tabs>
          <w:tab w:val="left" w:pos="1681"/>
        </w:tabs>
        <w:spacing w:before="1" w:after="0" w:line="343" w:lineRule="auto"/>
        <w:ind w:left="780" w:right="300" w:firstLine="540"/>
        <w:jc w:val="both"/>
        <w:rPr>
          <w:sz w:val="24"/>
        </w:rPr>
      </w:pPr>
      <w:r>
        <w:rPr>
          <w:spacing w:val="-2"/>
          <w:sz w:val="24"/>
        </w:rPr>
        <w:t>安全事故发生后，项目监理部应及时总结经验和教训，做好安全监理台帐记</w:t>
      </w:r>
      <w:r>
        <w:rPr>
          <w:spacing w:val="-2"/>
          <w:sz w:val="24"/>
        </w:rPr>
        <w:t>录工作；另发监理通知要求施工总承包单位及各分包单位及时进行总结，并提出避免</w:t>
      </w:r>
      <w:r>
        <w:rPr>
          <w:spacing w:val="-2"/>
          <w:sz w:val="24"/>
        </w:rPr>
        <w:t>类似安全事故再次发生的措施和保证。</w:t>
      </w:r>
    </w:p>
    <w:p>
      <w:pPr>
        <w:pStyle w:val="Heading1"/>
      </w:pPr>
      <w:bookmarkStart w:id="14" w:name="_TOC_250010"/>
      <w:bookmarkEnd w:id="14"/>
      <w:r>
        <w:rPr>
          <w:spacing w:val="-1"/>
        </w:rPr>
        <w:t>七、安全监理控制要点</w:t>
      </w:r>
    </w:p>
    <w:p>
      <w:pPr>
        <w:pStyle w:val="BodyText"/>
        <w:spacing w:before="18"/>
        <w:rPr>
          <w:rFonts w:ascii="Microsoft JhengHei"/>
          <w:b/>
          <w:sz w:val="21"/>
        </w:rPr>
      </w:pPr>
    </w:p>
    <w:p>
      <w:pPr>
        <w:pStyle w:val="BodyText"/>
        <w:spacing w:line="343" w:lineRule="auto"/>
        <w:ind w:left="421" w:right="365" w:firstLine="480"/>
      </w:pPr>
      <w:r>
        <w:rPr>
          <w:spacing w:val="-2"/>
        </w:rPr>
        <w:t>专业监理工程师在巡视现场或旁站监理过程中，应监督、检查承包单位是否按以下</w:t>
      </w:r>
      <w:r>
        <w:rPr>
          <w:spacing w:val="-2"/>
        </w:rPr>
        <w:t>要求做好以下安全生产检查工作：</w:t>
      </w:r>
    </w:p>
    <w:p>
      <w:pPr>
        <w:pStyle w:val="Heading2"/>
        <w:rPr>
          <w:rFonts w:ascii="Microsoft JhengHei" w:eastAsia="Microsoft JhengHei"/>
        </w:rPr>
      </w:pPr>
      <w:bookmarkStart w:id="15" w:name="_TOC_250009"/>
      <w:r>
        <w:rPr>
          <w:rFonts w:ascii="Microsoft JhengHei" w:eastAsia="Microsoft JhengHei"/>
          <w:spacing w:val="-6"/>
        </w:rPr>
        <w:t>1</w:t>
      </w:r>
      <w:r>
        <w:rPr>
          <w:rFonts w:ascii="Microsoft JhengHei" w:eastAsia="Microsoft JhengHei"/>
          <w:spacing w:val="-6"/>
        </w:rPr>
        <w:t>、临时</w:t>
      </w:r>
      <w:r>
        <w:rPr>
          <w:spacing w:val="-6"/>
        </w:rPr>
        <w:t>用</w:t>
      </w:r>
      <w:bookmarkEnd w:id="15"/>
      <w:r>
        <w:rPr>
          <w:rFonts w:ascii="Microsoft JhengHei" w:eastAsia="Microsoft JhengHei"/>
          <w:spacing w:val="-10"/>
        </w:rPr>
        <w:t>电</w:t>
      </w:r>
    </w:p>
    <w:p>
      <w:pPr>
        <w:pStyle w:val="BodyText"/>
        <w:spacing w:before="186" w:line="343" w:lineRule="auto"/>
        <w:ind w:left="421" w:right="299" w:firstLine="480"/>
      </w:pPr>
      <w:r>
        <w:rPr>
          <w:spacing w:val="-2"/>
        </w:rPr>
        <w:t>施工区、生活区、办公区的配电线路架设和照明设备、灯具的安装、使用应符合规</w:t>
      </w:r>
      <w:r>
        <w:rPr>
          <w:spacing w:val="-2"/>
        </w:rPr>
        <w:t>定要求；特殊施工部位的内外线路按规范要求采取特殊安全防护措施。</w:t>
      </w:r>
    </w:p>
    <w:p>
      <w:pPr>
        <w:pStyle w:val="BodyText"/>
        <w:spacing w:before="1"/>
        <w:ind w:left="901"/>
      </w:pPr>
      <w:r>
        <w:rPr>
          <w:spacing w:val="-1"/>
        </w:rPr>
        <w:t>配电箱和开关箱选型、配置合理，安装符合规定，箱体整洁、牢固，具备防潮、防</w:t>
      </w:r>
    </w:p>
    <w:p>
      <w:pPr>
        <w:pStyle w:val="BodyText"/>
        <w:spacing w:before="132"/>
        <w:ind w:left="421"/>
      </w:pPr>
      <w:r>
        <w:rPr>
          <w:spacing w:val="-3"/>
        </w:rPr>
        <w:t>水功能。</w:t>
      </w:r>
    </w:p>
    <w:p>
      <w:pPr>
        <w:spacing w:after="0"/>
        <w:sectPr>
          <w:headerReference w:type="default" r:id="rId36"/>
          <w:footerReference w:type="default" r:id="rId37"/>
          <w:pgSz w:w="11910" w:h="16840"/>
          <w:pgMar w:top="2020" w:right="1060" w:bottom="1400" w:left="940" w:header="1000" w:footer="1201"/>
          <w:pgNumType w:start="16"/>
          <w:cols w:space="708"/>
        </w:sectPr>
      </w:pPr>
    </w:p>
    <w:p>
      <w:pPr>
        <w:pStyle w:val="BodyText"/>
        <w:rPr>
          <w:sz w:val="20"/>
        </w:rPr>
      </w:pPr>
    </w:p>
    <w:p>
      <w:pPr>
        <w:pStyle w:val="BodyText"/>
        <w:spacing w:before="11"/>
        <w:rPr>
          <w:sz w:val="17"/>
        </w:rPr>
      </w:pPr>
    </w:p>
    <w:p>
      <w:pPr>
        <w:pStyle w:val="BodyText"/>
        <w:spacing w:before="67" w:line="343" w:lineRule="auto"/>
        <w:ind w:left="421" w:right="178" w:firstLine="480"/>
      </w:pPr>
      <w:r>
        <w:rPr>
          <w:spacing w:val="-4"/>
        </w:rPr>
        <w:t>配电系统和施工机具采用可靠的接零或接地保护，配电箱和开关箱设两级漏电保护；</w:t>
      </w:r>
      <w:r>
        <w:rPr>
          <w:spacing w:val="-2"/>
        </w:rPr>
        <w:t>值班电工个人防护整齐，持证上岗。</w:t>
      </w:r>
    </w:p>
    <w:p>
      <w:pPr>
        <w:pStyle w:val="BodyText"/>
        <w:spacing w:line="343" w:lineRule="auto"/>
        <w:ind w:left="421" w:right="299" w:firstLine="480"/>
      </w:pPr>
      <w:r>
        <w:rPr>
          <w:spacing w:val="-2"/>
        </w:rPr>
        <w:t>电动机具电源线压接牢固，绝缘完好，无乱拉、扯、压、砸现象；电焊机一、二次</w:t>
      </w:r>
      <w:r>
        <w:rPr>
          <w:spacing w:val="-2"/>
        </w:rPr>
        <w:t>线防护齐全，焊把线双线到位，无破损。</w:t>
      </w:r>
    </w:p>
    <w:p>
      <w:pPr>
        <w:pStyle w:val="BodyText"/>
        <w:spacing w:before="1"/>
        <w:ind w:left="901"/>
      </w:pPr>
      <w:r>
        <w:rPr>
          <w:spacing w:val="-1"/>
        </w:rPr>
        <w:t>临时用电有设计方案和管理制度，值班电工有值班、检测、维修记录。</w:t>
      </w:r>
    </w:p>
    <w:p>
      <w:pPr>
        <w:pStyle w:val="BodyText"/>
        <w:spacing w:before="132" w:line="343" w:lineRule="auto"/>
        <w:ind w:left="421" w:right="365" w:firstLine="480"/>
      </w:pPr>
      <w:r>
        <w:rPr>
          <w:spacing w:val="-2"/>
        </w:rPr>
        <w:t>施工用电应重点检查在建工程与临近高压线的距离、支线架设、现场照明及低压干</w:t>
      </w:r>
      <w:r>
        <w:rPr>
          <w:spacing w:val="-2"/>
        </w:rPr>
        <w:t>线架设、开关箱、熔丝、变配电装置。（详见附表四）</w:t>
      </w:r>
    </w:p>
    <w:p>
      <w:pPr>
        <w:pStyle w:val="Heading2"/>
      </w:pPr>
      <w:bookmarkStart w:id="16" w:name="_TOC_250008"/>
      <w:r>
        <w:rPr>
          <w:rFonts w:ascii="Microsoft JhengHei" w:eastAsia="Microsoft JhengHei"/>
          <w:spacing w:val="-6"/>
        </w:rPr>
        <w:t>2、</w:t>
      </w:r>
      <w:bookmarkEnd w:id="16"/>
      <w:r>
        <w:rPr>
          <w:spacing w:val="-7"/>
        </w:rPr>
        <w:t>土方工程</w:t>
      </w:r>
    </w:p>
    <w:p>
      <w:pPr>
        <w:pStyle w:val="ListParagraph"/>
        <w:numPr>
          <w:ilvl w:val="0"/>
          <w:numId w:val="28"/>
        </w:numPr>
        <w:tabs>
          <w:tab w:val="left" w:pos="1502"/>
        </w:tabs>
        <w:spacing w:before="186" w:after="0" w:line="240" w:lineRule="auto"/>
        <w:ind w:left="1502" w:right="0" w:hanging="601"/>
        <w:jc w:val="left"/>
        <w:rPr>
          <w:sz w:val="24"/>
        </w:rPr>
      </w:pPr>
      <w:r>
        <w:rPr>
          <w:spacing w:val="-3"/>
          <w:sz w:val="24"/>
        </w:rPr>
        <w:t>挖土工程</w:t>
      </w:r>
    </w:p>
    <w:p>
      <w:pPr>
        <w:pStyle w:val="ListParagraph"/>
        <w:numPr>
          <w:ilvl w:val="0"/>
          <w:numId w:val="12"/>
        </w:numPr>
        <w:tabs>
          <w:tab w:val="left" w:pos="1262"/>
        </w:tabs>
        <w:spacing w:before="133" w:after="0" w:line="240" w:lineRule="auto"/>
        <w:ind w:left="1262" w:right="0" w:hanging="361"/>
        <w:jc w:val="left"/>
        <w:rPr>
          <w:sz w:val="24"/>
        </w:rPr>
      </w:pPr>
      <w:r>
        <w:rPr>
          <w:spacing w:val="-1"/>
          <w:sz w:val="24"/>
        </w:rPr>
        <w:t>挖土中如发现管道、电缆及其他埋设物应及时向有关单位报告，不得擅自处理。</w:t>
      </w:r>
    </w:p>
    <w:p>
      <w:pPr>
        <w:pStyle w:val="ListParagraph"/>
        <w:numPr>
          <w:ilvl w:val="0"/>
          <w:numId w:val="12"/>
        </w:numPr>
        <w:tabs>
          <w:tab w:val="left" w:pos="1262"/>
        </w:tabs>
        <w:spacing w:before="132" w:after="0" w:line="343" w:lineRule="auto"/>
        <w:ind w:left="421" w:right="365" w:firstLine="480"/>
        <w:jc w:val="both"/>
        <w:rPr>
          <w:sz w:val="24"/>
        </w:rPr>
      </w:pPr>
      <w:r>
        <w:rPr>
          <w:sz w:val="24"/>
        </w:rPr>
        <w:t>在人工挖土时，前后操作人员间距不应小于2~3M，堆土要在1M</w:t>
      </w:r>
      <w:r>
        <w:rPr>
          <w:spacing w:val="-6"/>
          <w:sz w:val="24"/>
        </w:rPr>
        <w:t xml:space="preserve"> 以外，并且高度</w:t>
      </w:r>
      <w:r>
        <w:rPr>
          <w:spacing w:val="-2"/>
          <w:sz w:val="24"/>
        </w:rPr>
        <w:t>不得超过1.5M。</w:t>
      </w:r>
    </w:p>
    <w:p>
      <w:pPr>
        <w:pStyle w:val="ListParagraph"/>
        <w:numPr>
          <w:ilvl w:val="0"/>
          <w:numId w:val="12"/>
        </w:numPr>
        <w:tabs>
          <w:tab w:val="left" w:pos="1262"/>
        </w:tabs>
        <w:spacing w:before="1" w:after="0" w:line="343" w:lineRule="auto"/>
        <w:ind w:left="421" w:right="298" w:firstLine="480"/>
        <w:jc w:val="both"/>
        <w:rPr>
          <w:sz w:val="24"/>
        </w:rPr>
      </w:pPr>
      <w:r>
        <w:rPr>
          <w:spacing w:val="-2"/>
          <w:sz w:val="24"/>
        </w:rPr>
        <w:t>承包单位质检员每日或雨后必须检查土壁及支撑稳定情况，在确保安全的情况</w:t>
      </w:r>
      <w:r>
        <w:rPr>
          <w:spacing w:val="-4"/>
          <w:sz w:val="24"/>
        </w:rPr>
        <w:t>下施工，并且不得将土和其他物件堆在支撑上，不得在支撑上行走或站立。如发现有裂缝及坍塌可能时，要及时组织人员撤离现场并及时报告，采取措施予以处理。</w:t>
      </w:r>
    </w:p>
    <w:p>
      <w:pPr>
        <w:pStyle w:val="ListParagraph"/>
        <w:numPr>
          <w:ilvl w:val="0"/>
          <w:numId w:val="12"/>
        </w:numPr>
        <w:tabs>
          <w:tab w:val="left" w:pos="1262"/>
        </w:tabs>
        <w:spacing w:before="1" w:after="0" w:line="343" w:lineRule="auto"/>
        <w:ind w:left="421" w:right="298" w:firstLine="480"/>
        <w:jc w:val="both"/>
        <w:rPr>
          <w:sz w:val="24"/>
        </w:rPr>
      </w:pPr>
      <w:r>
        <w:rPr>
          <w:spacing w:val="-2"/>
          <w:sz w:val="24"/>
        </w:rPr>
        <w:t>承包方施工机械应停放在坚实的地基上，如基础过差，要求其采取走道板等加固</w:t>
      </w:r>
      <w:r>
        <w:rPr>
          <w:spacing w:val="-2"/>
          <w:sz w:val="24"/>
        </w:rPr>
        <w:t>措施，在已挖空的基坑2M</w:t>
      </w:r>
      <w:r>
        <w:rPr>
          <w:spacing w:val="-5"/>
          <w:sz w:val="24"/>
        </w:rPr>
        <w:t xml:space="preserve"> 以内，挖土机不能行驶。运土汽车不宜靠近基坑平行行驶，防</w:t>
      </w:r>
      <w:r>
        <w:rPr>
          <w:spacing w:val="-2"/>
          <w:sz w:val="24"/>
        </w:rPr>
        <w:t>止坍方翻车。</w:t>
      </w:r>
    </w:p>
    <w:p>
      <w:pPr>
        <w:pStyle w:val="ListParagraph"/>
        <w:numPr>
          <w:ilvl w:val="0"/>
          <w:numId w:val="12"/>
        </w:numPr>
        <w:tabs>
          <w:tab w:val="left" w:pos="1262"/>
        </w:tabs>
        <w:spacing w:before="0" w:after="0" w:line="240" w:lineRule="auto"/>
        <w:ind w:left="1262" w:right="0" w:hanging="361"/>
        <w:jc w:val="left"/>
        <w:rPr>
          <w:sz w:val="24"/>
        </w:rPr>
      </w:pPr>
      <w:r>
        <w:rPr>
          <w:spacing w:val="-1"/>
          <w:sz w:val="24"/>
        </w:rPr>
        <w:t>配合拉铲的清坡、清底工作，工人不准在机械回转半径下工作。</w:t>
      </w:r>
    </w:p>
    <w:p>
      <w:pPr>
        <w:pStyle w:val="ListParagraph"/>
        <w:numPr>
          <w:ilvl w:val="0"/>
          <w:numId w:val="12"/>
        </w:numPr>
        <w:tabs>
          <w:tab w:val="left" w:pos="1262"/>
        </w:tabs>
        <w:spacing w:before="133" w:after="0" w:line="240" w:lineRule="auto"/>
        <w:ind w:left="1262" w:right="0" w:hanging="361"/>
        <w:jc w:val="left"/>
        <w:rPr>
          <w:sz w:val="24"/>
        </w:rPr>
      </w:pPr>
      <w:r>
        <w:rPr>
          <w:sz w:val="24"/>
        </w:rPr>
        <w:t>检查现场基坑四周是否设置1.5M</w:t>
      </w:r>
      <w:r>
        <w:rPr>
          <w:spacing w:val="-1"/>
          <w:sz w:val="24"/>
        </w:rPr>
        <w:t xml:space="preserve"> 高护栏和一定数量的临时上下施工专用梯。</w:t>
      </w:r>
    </w:p>
    <w:p>
      <w:pPr>
        <w:pStyle w:val="ListParagraph"/>
        <w:numPr>
          <w:ilvl w:val="0"/>
          <w:numId w:val="12"/>
        </w:numPr>
        <w:tabs>
          <w:tab w:val="left" w:pos="1262"/>
        </w:tabs>
        <w:spacing w:before="132" w:after="0" w:line="240" w:lineRule="auto"/>
        <w:ind w:left="1262" w:right="0" w:hanging="361"/>
        <w:jc w:val="left"/>
        <w:rPr>
          <w:sz w:val="24"/>
        </w:rPr>
      </w:pPr>
      <w:r>
        <w:rPr>
          <w:spacing w:val="-5"/>
          <w:sz w:val="24"/>
        </w:rPr>
        <w:t>开挖基坑时，必须设有确实可行的排水措施，以免基坑积水，影响基坑土壤结构。</w:t>
      </w:r>
    </w:p>
    <w:p>
      <w:pPr>
        <w:pStyle w:val="ListParagraph"/>
        <w:numPr>
          <w:ilvl w:val="0"/>
          <w:numId w:val="12"/>
        </w:numPr>
        <w:tabs>
          <w:tab w:val="left" w:pos="1262"/>
        </w:tabs>
        <w:spacing w:before="133" w:after="0" w:line="240" w:lineRule="auto"/>
        <w:ind w:left="1262" w:right="0" w:hanging="361"/>
        <w:jc w:val="left"/>
        <w:rPr>
          <w:sz w:val="24"/>
        </w:rPr>
      </w:pPr>
      <w:r>
        <w:rPr>
          <w:spacing w:val="-1"/>
          <w:sz w:val="24"/>
        </w:rPr>
        <w:t>挖土机械不得在施工中碰撞支撑，以免破坏或拉损支撑。</w:t>
      </w:r>
    </w:p>
    <w:p>
      <w:pPr>
        <w:pStyle w:val="ListParagraph"/>
        <w:numPr>
          <w:ilvl w:val="0"/>
          <w:numId w:val="28"/>
        </w:numPr>
        <w:tabs>
          <w:tab w:val="left" w:pos="1502"/>
        </w:tabs>
        <w:spacing w:before="132" w:after="0" w:line="240" w:lineRule="auto"/>
        <w:ind w:left="1502" w:right="0" w:hanging="601"/>
        <w:jc w:val="left"/>
        <w:rPr>
          <w:sz w:val="24"/>
        </w:rPr>
      </w:pPr>
      <w:r>
        <w:rPr>
          <w:spacing w:val="-2"/>
          <w:sz w:val="24"/>
        </w:rPr>
        <w:t>回填土工程</w:t>
      </w:r>
    </w:p>
    <w:p>
      <w:pPr>
        <w:pStyle w:val="ListParagraph"/>
        <w:numPr>
          <w:ilvl w:val="0"/>
          <w:numId w:val="11"/>
        </w:numPr>
        <w:tabs>
          <w:tab w:val="left" w:pos="1262"/>
        </w:tabs>
        <w:spacing w:before="133" w:after="0" w:line="240" w:lineRule="auto"/>
        <w:ind w:left="1262" w:right="0" w:hanging="361"/>
        <w:jc w:val="left"/>
        <w:rPr>
          <w:sz w:val="24"/>
        </w:rPr>
      </w:pPr>
      <w:r>
        <w:rPr>
          <w:spacing w:val="-1"/>
          <w:sz w:val="24"/>
        </w:rPr>
        <w:t>装载机作业时，在其作业范围内，不得同时有人从事平土作业。</w:t>
      </w:r>
    </w:p>
    <w:p>
      <w:pPr>
        <w:pStyle w:val="ListParagraph"/>
        <w:numPr>
          <w:ilvl w:val="0"/>
          <w:numId w:val="11"/>
        </w:numPr>
        <w:tabs>
          <w:tab w:val="left" w:pos="1262"/>
        </w:tabs>
        <w:spacing w:before="132" w:after="0" w:line="343" w:lineRule="auto"/>
        <w:ind w:left="421" w:right="178" w:firstLine="480"/>
        <w:jc w:val="left"/>
        <w:rPr>
          <w:sz w:val="24"/>
        </w:rPr>
      </w:pPr>
      <w:r>
        <w:rPr>
          <w:spacing w:val="-2"/>
          <w:sz w:val="24"/>
        </w:rPr>
        <w:t>打夯机工作前，应检查电源线是否有缺陷和漏电，机械运转是否正常，机械是否</w:t>
      </w:r>
      <w:r>
        <w:rPr>
          <w:spacing w:val="-2"/>
          <w:sz w:val="24"/>
        </w:rPr>
        <w:t>装置了漏电开关保护，按一机一开关安装，机械不准带病运转，操作人员应带绝缘手套。</w:t>
      </w:r>
    </w:p>
    <w:p>
      <w:pPr>
        <w:pStyle w:val="ListParagraph"/>
        <w:numPr>
          <w:ilvl w:val="0"/>
          <w:numId w:val="11"/>
        </w:numPr>
        <w:tabs>
          <w:tab w:val="left" w:pos="1262"/>
        </w:tabs>
        <w:spacing w:before="1" w:after="0" w:line="343" w:lineRule="auto"/>
        <w:ind w:left="421" w:right="298" w:firstLine="480"/>
        <w:jc w:val="left"/>
        <w:rPr>
          <w:sz w:val="24"/>
        </w:rPr>
      </w:pPr>
      <w:r>
        <w:rPr>
          <w:spacing w:val="-2"/>
          <w:sz w:val="24"/>
        </w:rPr>
        <w:t>基坑的支撑，应按回填的速度，按施工组织设计要求依次拆除，即填土时应从深</w:t>
      </w:r>
      <w:r>
        <w:rPr>
          <w:spacing w:val="-2"/>
          <w:sz w:val="24"/>
        </w:rPr>
        <w:t>到浅分层进行，填好一层拆除一层，不能事先将支撑拆掉。</w:t>
      </w:r>
    </w:p>
    <w:p>
      <w:pPr>
        <w:spacing w:after="0" w:line="343" w:lineRule="auto"/>
        <w:jc w:val="left"/>
        <w:rPr>
          <w:sz w:val="24"/>
        </w:rPr>
      </w:pPr>
      <w:r>
        <w:rPr>
          <w:sz w:val="24"/>
        </w:rPr>
        <w:br/>
      </w:r>
      <w:r>
        <w:rPr>
          <w:sz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8" w:history="1">
        <w:r>
          <w:rPr>
            <w:rFonts w:ascii="SimSun" w:eastAsia="SimSun" w:hAnsi="SimSun" w:cs="SimSun"/>
            <w:b/>
            <w:bCs/>
            <w:color w:val="0000EE"/>
            <w:sz w:val="30"/>
            <w:szCs w:val="30"/>
            <w:u w:val="single" w:color="0000EE"/>
          </w:rPr>
          <w:t>https://d.book118.com/636211144124010054</w:t>
        </w:r>
      </w:hyperlink>
    </w:p>
    <w:p>
      <w:pPr>
        <w:spacing w:after="0" w:line="343" w:lineRule="auto"/>
        <w:jc w:val="left"/>
        <w:rPr>
          <w:sz w:val="24"/>
        </w:rPr>
      </w:pPr>
    </w:p>
    <w:sectPr>
      <w:headerReference w:type="default" r:id="rId39"/>
      <w:footerReference w:type="default" r:id="rId40"/>
      <w:pgSz w:w="11910" w:h="16840"/>
      <w:pgMar w:top="2020" w:right="1060" w:bottom="1400" w:left="940" w:header="1000" w:footer="1201"/>
      <w:pgNumType w:start="17"/>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Yu Gothic">
    <w:altName w:val="Yu Gothic"/>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1" style="mso-position-horizontal-relative:page;mso-position-vertical-relative:page;position:absolute;z-index:-251658240" from="66.6pt,790.15pt" to="510.75pt,790.15pt" stroked="t" strokecolor="black" strokeweight="4.5pt">
          <v:stroke dashstyle="solid"/>
        </v:lin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4" style="mso-position-horizontal-relative:page;mso-position-vertical-relative:page;position:absolute;z-index:-251657216"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55" type="#_x0000_t202" style="width:32.35pt;height:17.55pt;margin-top:770.4pt;margin-left:477.98pt;mso-position-horizontal-relative:page;mso-position-vertical-relative:page;position:absolute;z-index:-251656192"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8" style="mso-position-horizontal-relative:page;mso-position-vertical-relative:page;position:absolute;z-index:-251655168"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59" type="#_x0000_t202" style="width:32.35pt;height:17.55pt;margin-top:770.4pt;margin-left:477.98pt;mso-position-horizontal-relative:page;mso-position-vertical-relative:page;position:absolute;z-index:-251654144"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2</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2" style="mso-position-horizontal-relative:page;mso-position-vertical-relative:page;position:absolute;z-index:-251653120"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63" type="#_x0000_t202" style="width:32.35pt;height:17.55pt;margin-top:770.4pt;margin-left:477.98pt;mso-position-horizontal-relative:page;mso-position-vertical-relative:page;position:absolute;z-index:-251652096"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3</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6" style="mso-position-horizontal-relative:page;mso-position-vertical-relative:page;position:absolute;z-index:-251651072"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67" type="#_x0000_t202" style="width:32.35pt;height:17.55pt;margin-top:770.4pt;margin-left:477.98pt;mso-position-horizontal-relative:page;mso-position-vertical-relative:page;position:absolute;z-index:-251650048"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4</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0" style="mso-position-horizontal-relative:page;mso-position-vertical-relative:page;position:absolute;z-index:-251649024"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71" type="#_x0000_t202" style="width:32.35pt;height:17.55pt;margin-top:770.4pt;margin-left:477.98pt;mso-position-horizontal-relative:page;mso-position-vertical-relative:page;position:absolute;z-index:-251648000"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5</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4" style="mso-position-horizontal-relative:page;mso-position-vertical-relative:page;position:absolute;z-index:-251646976"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75" type="#_x0000_t202" style="width:32.35pt;height:17.55pt;margin-top:770.4pt;margin-left:477.98pt;mso-position-horizontal-relative:page;mso-position-vertical-relative:page;position:absolute;z-index:-251645952"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32</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8" style="mso-position-horizontal-relative:page;mso-position-vertical-relative:page;position:absolute;z-index:-251644928"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79" type="#_x0000_t202" style="width:32.35pt;height:17.55pt;margin-top:770.4pt;margin-left:477.98pt;mso-position-horizontal-relative:page;mso-position-vertical-relative:page;position:absolute;z-index:-251643904"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32</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2" style="mso-position-horizontal-relative:page;mso-position-vertical-relative:page;position:absolute;z-index:-251642880"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83" type="#_x0000_t202" style="width:32.35pt;height:17.55pt;margin-top:770.4pt;margin-left:477.98pt;mso-position-horizontal-relative:page;mso-position-vertical-relative:page;position:absolute;z-index:-251641856"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32</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6" style="mso-position-horizontal-relative:page;mso-position-vertical-relative:page;position:absolute;z-index:-251640832"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87" type="#_x0000_t202" style="width:32.35pt;height:17.55pt;margin-top:770.4pt;margin-left:477.98pt;mso-position-horizontal-relative:page;mso-position-vertical-relative:page;position:absolute;z-index:-251639808"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32</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0" style="mso-position-horizontal-relative:page;mso-position-vertical-relative:page;position:absolute;z-index:-251638784"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91" type="#_x0000_t202" style="width:32.35pt;height:17.55pt;margin-top:770.4pt;margin-left:477.98pt;mso-position-horizontal-relative:page;mso-position-vertical-relative:page;position:absolute;z-index:-251637760"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10</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4" style="mso-position-horizontal-relative:page;mso-position-vertical-relative:page;position:absolute;z-index:-251636736"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95" type="#_x0000_t202" style="width:32.35pt;height:17.55pt;margin-top:770.4pt;margin-left:477.98pt;mso-position-horizontal-relative:page;mso-position-vertical-relative:page;position:absolute;z-index:-251635712"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11</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8" style="mso-position-horizontal-relative:page;mso-position-vertical-relative:page;position:absolute;z-index:-251634688"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099" type="#_x0000_t202" style="width:32.35pt;height:17.55pt;margin-top:770.4pt;margin-left:477.98pt;mso-position-horizontal-relative:page;mso-position-vertical-relative:page;position:absolute;z-index:-251633664"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12</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2" style="mso-position-horizontal-relative:page;mso-position-vertical-relative:page;position:absolute;z-index:-251632640"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103" type="#_x0000_t202" style="width:32.35pt;height:17.55pt;margin-top:770.4pt;margin-left:477.98pt;mso-position-horizontal-relative:page;mso-position-vertical-relative:page;position:absolute;z-index:-251631616"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13</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6" style="mso-position-horizontal-relative:page;mso-position-vertical-relative:page;position:absolute;z-index:-251630592"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107" type="#_x0000_t202" style="width:32.35pt;height:17.55pt;margin-top:770.4pt;margin-left:477.98pt;mso-position-horizontal-relative:page;mso-position-vertical-relative:page;position:absolute;z-index:-251629568"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14</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0" style="mso-position-horizontal-relative:page;mso-position-vertical-relative:page;position:absolute;z-index:-251628544"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111" type="#_x0000_t202" style="width:32.35pt;height:17.55pt;margin-top:770.4pt;margin-left:477.98pt;mso-position-horizontal-relative:page;mso-position-vertical-relative:page;position:absolute;z-index:-251627520"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15</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4" style="mso-position-horizontal-relative:page;mso-position-vertical-relative:page;position:absolute;z-index:-251626496"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115" type="#_x0000_t202" style="width:32.35pt;height:17.55pt;margin-top:770.4pt;margin-left:477.98pt;mso-position-horizontal-relative:page;mso-position-vertical-relative:page;position:absolute;z-index:-251625472"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16</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8" style="mso-position-horizontal-relative:page;mso-position-vertical-relative:page;position:absolute;z-index:-251624448" from="66.6pt,790.15pt" to="510.75pt,790.15pt" stroked="t" strokecolor="black" strokeweight="4.5pt">
          <v:stroke dashstyle="solid"/>
        </v:line>
      </w:pict>
    </w:r>
    <w:r>
      <w:pict>
        <v:shapetype id="_x0000_t202" coordsize="21600,21600" o:spt="202" path="m,l,21600r21600,l21600,xe">
          <v:stroke joinstyle="miter"/>
          <v:path gradientshapeok="t" o:connecttype="rect"/>
        </v:shapetype>
        <v:shape id="_x0000_s2119" type="#_x0000_t202" style="width:32.35pt;height:17.55pt;margin-top:770.4pt;margin-left:477.98pt;mso-position-horizontal-relative:page;mso-position-vertical-relative:page;position:absolute;z-index:-251623424" filled="f" stroked="f">
          <v:textbox inset="0,0,0,0">
            <w:txbxContent>
              <w:p>
                <w:pPr>
                  <w:spacing w:before="8"/>
                  <w:ind w:left="20" w:right="0" w:firstLine="0"/>
                  <w:jc w:val="left"/>
                  <w:rPr>
                    <w:rFonts w:ascii="Times New Roman"/>
                    <w:sz w:val="28"/>
                  </w:rPr>
                </w:pPr>
                <w:r>
                  <w:rPr>
                    <w:rFonts w:ascii="Times New Roman"/>
                    <w:sz w:val="28"/>
                  </w:rPr>
                  <w:t xml:space="preserve">- </w:t>
                </w:r>
                <w:r>
                  <w:rPr>
                    <w:rFonts w:ascii="Times New Roman"/>
                    <w:sz w:val="28"/>
                  </w:rPr>
                  <w:fldChar w:fldCharType="begin"/>
                </w:r>
                <w:r>
                  <w:rPr>
                    <w:rFonts w:ascii="Times New Roman"/>
                    <w:sz w:val="28"/>
                  </w:rPr>
                  <w:instrText xml:space="preserve"> PAGE </w:instrText>
                </w:r>
                <w:r>
                  <w:rPr>
                    <w:rFonts w:ascii="Times New Roman"/>
                    <w:sz w:val="28"/>
                  </w:rPr>
                  <w:fldChar w:fldCharType="separate"/>
                </w:r>
                <w:r>
                  <w:rPr>
                    <w:rFonts w:ascii="Times New Roman"/>
                    <w:sz w:val="28"/>
                  </w:rPr>
                  <w:t>18</w:t>
                </w:r>
                <w:r>
                  <w:rPr>
                    <w:rFonts w:ascii="Times New Roman"/>
                    <w:sz w:val="28"/>
                  </w:rPr>
                  <w:fldChar w:fldCharType="end"/>
                </w:r>
                <w:r>
                  <w:rPr>
                    <w:rFonts w:ascii="Times New Roman"/>
                    <w:sz w:val="28"/>
                  </w:rPr>
                  <w:t xml:space="preserve"> </w:t>
                </w:r>
                <w:r>
                  <w:rPr>
                    <w:rFonts w:ascii="Times New Roman"/>
                    <w:spacing w:val="-10"/>
                    <w:sz w:val="28"/>
                  </w:rPr>
                  <w:t>-</w:t>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58240"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49" style="mso-position-horizontal-relative:page;mso-position-vertical-relative:page;position:absolute;z-index:-251657216"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50" type="#_x0000_t202" style="width:50pt;height:14.75pt;margin-top:80.28pt;margin-left:105.06pt;mso-position-horizontal-relative:page;mso-position-vertical-relative:page;position:absolute;z-index:-251656192"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61312"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52" style="mso-position-horizontal-relative:page;mso-position-vertical-relative:page;position:absolute;z-index:-251654144"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53" type="#_x0000_t202" style="width:50pt;height:14.75pt;margin-top:80.28pt;margin-left:105.06pt;mso-position-horizontal-relative:page;mso-position-vertical-relative:page;position:absolute;z-index:-251653120"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64384"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13489590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59005"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56" style="mso-position-horizontal-relative:page;mso-position-vertical-relative:page;position:absolute;z-index:-251651072"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57" type="#_x0000_t202" style="width:50pt;height:14.75pt;margin-top:80.28pt;margin-left:105.06pt;mso-position-horizontal-relative:page;mso-position-vertical-relative:page;position:absolute;z-index:-251650048"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67456"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4626081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08119"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60" style="mso-position-horizontal-relative:page;mso-position-vertical-relative:page;position:absolute;z-index:-251648000"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61" type="#_x0000_t202" style="width:50pt;height:14.75pt;margin-top:80.28pt;margin-left:105.06pt;mso-position-horizontal-relative:page;mso-position-vertical-relative:page;position:absolute;z-index:-251646976"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70528"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630670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7064"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64" style="mso-position-horizontal-relative:page;mso-position-vertical-relative:page;position:absolute;z-index:-251644928"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65" type="#_x0000_t202" style="width:50pt;height:14.75pt;margin-top:80.28pt;margin-left:105.06pt;mso-position-horizontal-relative:page;mso-position-vertical-relative:page;position:absolute;z-index:-251643904"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73600"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678790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9046"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68" style="mso-position-horizontal-relative:page;mso-position-vertical-relative:page;position:absolute;z-index:-251641856"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69" type="#_x0000_t202" style="width:50pt;height:14.75pt;margin-top:80.28pt;margin-left:105.06pt;mso-position-horizontal-relative:page;mso-position-vertical-relative:page;position:absolute;z-index:-251640832"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76672"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189583578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835780"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72" style="mso-position-horizontal-relative:page;mso-position-vertical-relative:page;position:absolute;z-index:-251638784"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73" type="#_x0000_t202" style="width:50pt;height:14.75pt;margin-top:80.28pt;margin-left:105.06pt;mso-position-horizontal-relative:page;mso-position-vertical-relative:page;position:absolute;z-index:-251637760"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79744"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6002938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93852"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76" style="mso-position-horizontal-relative:page;mso-position-vertical-relative:page;position:absolute;z-index:-251635712"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77" type="#_x0000_t202" style="width:50pt;height:14.75pt;margin-top:80.28pt;margin-left:105.06pt;mso-position-horizontal-relative:page;mso-position-vertical-relative:page;position:absolute;z-index:-251634688"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82816"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4443592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59299"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80" style="mso-position-horizontal-relative:page;mso-position-vertical-relative:page;position:absolute;z-index:-251632640"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81" type="#_x0000_t202" style="width:50pt;height:14.75pt;margin-top:80.28pt;margin-left:105.06pt;mso-position-horizontal-relative:page;mso-position-vertical-relative:page;position:absolute;z-index:-251631616"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85888"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4954965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96551"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84" style="mso-position-horizontal-relative:page;mso-position-vertical-relative:page;position:absolute;z-index:-251629568"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85" type="#_x0000_t202" style="width:50pt;height:14.75pt;margin-top:80.28pt;margin-left:105.06pt;mso-position-horizontal-relative:page;mso-position-vertical-relative:page;position:absolute;z-index:-251628544"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88960"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9028630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63001"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88" style="mso-position-horizontal-relative:page;mso-position-vertical-relative:page;position:absolute;z-index:-251626496"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89" type="#_x0000_t202" style="width:50pt;height:14.75pt;margin-top:80.28pt;margin-left:105.06pt;mso-position-horizontal-relative:page;mso-position-vertical-relative:page;position:absolute;z-index:-251625472"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92032"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19124477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47797"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92" style="mso-position-horizontal-relative:page;mso-position-vertical-relative:page;position:absolute;z-index:-251623424"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93" type="#_x0000_t202" style="width:50pt;height:14.75pt;margin-top:80.28pt;margin-left:105.06pt;mso-position-horizontal-relative:page;mso-position-vertical-relative:page;position:absolute;z-index:-251622400"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95104"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21767316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73168"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096" style="mso-position-horizontal-relative:page;mso-position-vertical-relative:page;position:absolute;z-index:-251620352"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097" type="#_x0000_t202" style="width:50pt;height:14.75pt;margin-top:80.28pt;margin-left:105.06pt;mso-position-horizontal-relative:page;mso-position-vertical-relative:page;position:absolute;z-index:-251619328"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698176"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449541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4165"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100" style="mso-position-horizontal-relative:page;mso-position-vertical-relative:page;position:absolute;z-index:-251617280"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101" type="#_x0000_t202" style="width:50pt;height:14.75pt;margin-top:80.28pt;margin-left:105.06pt;mso-position-horizontal-relative:page;mso-position-vertical-relative:page;position:absolute;z-index:-251616256"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701248"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4736498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49805"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104" style="mso-position-horizontal-relative:page;mso-position-vertical-relative:page;position:absolute;z-index:-251614208"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105" type="#_x0000_t202" style="width:50pt;height:14.75pt;margin-top:80.28pt;margin-left:105.06pt;mso-position-horizontal-relative:page;mso-position-vertical-relative:page;position:absolute;z-index:-251613184"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704320"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7293677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67701"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108" style="mso-position-horizontal-relative:page;mso-position-vertical-relative:page;position:absolute;z-index:-251611136"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109" type="#_x0000_t202" style="width:50pt;height:14.75pt;margin-top:80.28pt;margin-left:105.06pt;mso-position-horizontal-relative:page;mso-position-vertical-relative:page;position:absolute;z-index:-251610112"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707392"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18107396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39661"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112" style="mso-position-horizontal-relative:page;mso-position-vertical-relative:page;position:absolute;z-index:-251608064"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113" type="#_x0000_t202" style="width:50pt;height:14.75pt;margin-top:80.28pt;margin-left:105.06pt;mso-position-horizontal-relative:page;mso-position-vertical-relative:page;position:absolute;z-index:-251607040"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drawing>
        <wp:anchor distT="0" distB="0" distL="0" distR="0" simplePos="0" relativeHeight="251710464" behindDoc="1" locked="0" layoutInCell="1" allowOverlap="1">
          <wp:simplePos x="0" y="0"/>
          <wp:positionH relativeFrom="page">
            <wp:posOffset>864235</wp:posOffset>
          </wp:positionH>
          <wp:positionV relativeFrom="page">
            <wp:posOffset>634968</wp:posOffset>
          </wp:positionV>
          <wp:extent cx="413765" cy="488680"/>
          <wp:effectExtent l="0" t="0" r="0" b="0"/>
          <wp:wrapNone/>
          <wp:docPr id="17146916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691607" name="image1.png"/>
                  <pic:cNvPicPr/>
                </pic:nvPicPr>
                <pic:blipFill>
                  <a:blip xmlns:r="http://schemas.openxmlformats.org/officeDocument/2006/relationships" r:embed="rId1" cstate="print"/>
                  <a:stretch>
                    <a:fillRect/>
                  </a:stretch>
                </pic:blipFill>
                <pic:spPr>
                  <a:xfrm>
                    <a:off x="0" y="0"/>
                    <a:ext cx="413765" cy="488680"/>
                  </a:xfrm>
                  <a:prstGeom prst="rect">
                    <a:avLst/>
                  </a:prstGeom>
                </pic:spPr>
              </pic:pic>
            </a:graphicData>
          </a:graphic>
        </wp:anchor>
      </w:drawing>
    </w:r>
    <w:r>
      <w:pict>
        <v:line id="_x0000_s2116" style="mso-position-horizontal-relative:page;mso-position-vertical-relative:page;position:absolute;z-index:-251604992" from="66.6pt,98.85pt" to="528.75pt,98.85pt" stroked="t" strokecolor="black" strokeweight="4.5pt">
          <v:stroke dashstyle="solid"/>
        </v:line>
      </w:pict>
    </w:r>
    <w:r>
      <w:pict>
        <v:shapetype id="_x0000_t202" coordsize="21600,21600" o:spt="202" path="m,l,21600r21600,l21600,xe">
          <v:stroke joinstyle="miter"/>
          <v:path gradientshapeok="t" o:connecttype="rect"/>
        </v:shapetype>
        <v:shape id="_x0000_s2117" type="#_x0000_t202" style="width:50pt;height:14.75pt;margin-top:80.28pt;margin-left:105.06pt;mso-position-horizontal-relative:page;mso-position-vertical-relative:page;position:absolute;z-index:-251603968" filled="f" stroked="f">
          <v:textbox inset="0,0,0,0">
            <w:txbxContent>
              <w:p>
                <w:pPr>
                  <w:spacing w:before="0" w:line="294" w:lineRule="exact"/>
                  <w:ind w:left="20" w:right="0" w:firstLine="0"/>
                  <w:jc w:val="left"/>
                  <w:rPr>
                    <w:sz w:val="25"/>
                  </w:rPr>
                </w:pPr>
                <w:r>
                  <w:rPr>
                    <w:spacing w:val="-10"/>
                    <w:sz w:val="25"/>
                  </w:rPr>
                  <w:t>长</w:t>
                </w:r>
                <w:r>
                  <w:rPr>
                    <w:spacing w:val="-10"/>
                    <w:sz w:val="25"/>
                  </w:rPr>
                  <w:t>城</w:t>
                </w:r>
                <w:r>
                  <w:rPr>
                    <w:spacing w:val="-10"/>
                    <w:sz w:val="25"/>
                  </w:rPr>
                  <w:t>监</w:t>
                </w:r>
                <w:r>
                  <w:rPr>
                    <w:spacing w:val="-10"/>
                    <w:sz w:val="25"/>
                  </w:rPr>
                  <w:t>理</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32DED6"/>
    <w:multiLevelType w:val="hybridMultilevel"/>
    <w:tmpl w:val="00000000"/>
    <w:lvl w:ilvl="0">
      <w:start w:val="1"/>
      <w:numFmt w:val="decimal"/>
      <w:lvlText w:val="（%1）"/>
      <w:lvlJc w:val="left"/>
      <w:pPr>
        <w:ind w:left="421" w:hanging="701"/>
        <w:jc w:val="right"/>
      </w:pPr>
      <w:rPr>
        <w:rFonts w:ascii="宋体" w:eastAsia="宋体" w:hAnsi="宋体" w:cs="宋体" w:hint="default"/>
        <w:b w:val="0"/>
        <w:bCs w:val="0"/>
        <w:i w:val="0"/>
        <w:iCs w:val="0"/>
        <w:spacing w:val="-65"/>
        <w:w w:val="100"/>
        <w:sz w:val="26"/>
        <w:szCs w:val="26"/>
        <w:lang w:val="en-US" w:eastAsia="zh-CN" w:bidi="ar-SA"/>
      </w:rPr>
    </w:lvl>
    <w:lvl w:ilvl="1">
      <w:start w:val="0"/>
      <w:numFmt w:val="bullet"/>
      <w:lvlText w:val="•"/>
      <w:lvlJc w:val="left"/>
      <w:pPr>
        <w:ind w:left="1368" w:hanging="701"/>
      </w:pPr>
      <w:rPr>
        <w:rFonts w:hint="default"/>
        <w:lang w:val="en-US" w:eastAsia="zh-CN" w:bidi="ar-SA"/>
      </w:rPr>
    </w:lvl>
    <w:lvl w:ilvl="2">
      <w:start w:val="0"/>
      <w:numFmt w:val="bullet"/>
      <w:lvlText w:val="•"/>
      <w:lvlJc w:val="left"/>
      <w:pPr>
        <w:ind w:left="2317" w:hanging="701"/>
      </w:pPr>
      <w:rPr>
        <w:rFonts w:hint="default"/>
        <w:lang w:val="en-US" w:eastAsia="zh-CN" w:bidi="ar-SA"/>
      </w:rPr>
    </w:lvl>
    <w:lvl w:ilvl="3">
      <w:start w:val="0"/>
      <w:numFmt w:val="bullet"/>
      <w:lvlText w:val="•"/>
      <w:lvlJc w:val="left"/>
      <w:pPr>
        <w:ind w:left="3266" w:hanging="701"/>
      </w:pPr>
      <w:rPr>
        <w:rFonts w:hint="default"/>
        <w:lang w:val="en-US" w:eastAsia="zh-CN" w:bidi="ar-SA"/>
      </w:rPr>
    </w:lvl>
    <w:lvl w:ilvl="4">
      <w:start w:val="0"/>
      <w:numFmt w:val="bullet"/>
      <w:lvlText w:val="•"/>
      <w:lvlJc w:val="left"/>
      <w:pPr>
        <w:ind w:left="4214" w:hanging="701"/>
      </w:pPr>
      <w:rPr>
        <w:rFonts w:hint="default"/>
        <w:lang w:val="en-US" w:eastAsia="zh-CN" w:bidi="ar-SA"/>
      </w:rPr>
    </w:lvl>
    <w:lvl w:ilvl="5">
      <w:start w:val="0"/>
      <w:numFmt w:val="bullet"/>
      <w:lvlText w:val="•"/>
      <w:lvlJc w:val="left"/>
      <w:pPr>
        <w:ind w:left="5163" w:hanging="701"/>
      </w:pPr>
      <w:rPr>
        <w:rFonts w:hint="default"/>
        <w:lang w:val="en-US" w:eastAsia="zh-CN" w:bidi="ar-SA"/>
      </w:rPr>
    </w:lvl>
    <w:lvl w:ilvl="6">
      <w:start w:val="0"/>
      <w:numFmt w:val="bullet"/>
      <w:lvlText w:val="•"/>
      <w:lvlJc w:val="left"/>
      <w:pPr>
        <w:ind w:left="6112" w:hanging="701"/>
      </w:pPr>
      <w:rPr>
        <w:rFonts w:hint="default"/>
        <w:lang w:val="en-US" w:eastAsia="zh-CN" w:bidi="ar-SA"/>
      </w:rPr>
    </w:lvl>
    <w:lvl w:ilvl="7">
      <w:start w:val="0"/>
      <w:numFmt w:val="bullet"/>
      <w:lvlText w:val="•"/>
      <w:lvlJc w:val="left"/>
      <w:pPr>
        <w:ind w:left="7060" w:hanging="701"/>
      </w:pPr>
      <w:rPr>
        <w:rFonts w:hint="default"/>
        <w:lang w:val="en-US" w:eastAsia="zh-CN" w:bidi="ar-SA"/>
      </w:rPr>
    </w:lvl>
    <w:lvl w:ilvl="8">
      <w:start w:val="0"/>
      <w:numFmt w:val="bullet"/>
      <w:lvlText w:val="•"/>
      <w:lvlJc w:val="left"/>
      <w:pPr>
        <w:ind w:left="8009" w:hanging="701"/>
      </w:pPr>
      <w:rPr>
        <w:rFonts w:hint="default"/>
        <w:lang w:val="en-US" w:eastAsia="zh-CN" w:bidi="ar-SA"/>
      </w:rPr>
    </w:lvl>
  </w:abstractNum>
  <w:abstractNum w:abstractNumId="1">
    <w:nsid w:val="14995F4E"/>
    <w:multiLevelType w:val="hybridMultilevel"/>
    <w:tmpl w:val="00000000"/>
    <w:lvl w:ilvl="0">
      <w:start w:val="1"/>
      <w:numFmt w:val="decimal"/>
      <w:lvlText w:val="（%1）"/>
      <w:lvlJc w:val="left"/>
      <w:pPr>
        <w:ind w:left="421" w:hanging="720"/>
        <w:jc w:val="left"/>
      </w:pPr>
      <w:rPr>
        <w:rFonts w:ascii="宋体" w:eastAsia="宋体" w:hAnsi="宋体" w:cs="宋体" w:hint="default"/>
        <w:b w:val="0"/>
        <w:bCs w:val="0"/>
        <w:i w:val="0"/>
        <w:iCs w:val="0"/>
        <w:w w:val="100"/>
        <w:sz w:val="24"/>
        <w:szCs w:val="24"/>
        <w:lang w:val="en-US" w:eastAsia="zh-CN" w:bidi="ar-SA"/>
      </w:rPr>
    </w:lvl>
    <w:lvl w:ilvl="1">
      <w:start w:val="1"/>
      <w:numFmt w:val="decimal"/>
      <w:lvlText w:val="%2）"/>
      <w:lvlJc w:val="left"/>
      <w:pPr>
        <w:ind w:left="780" w:hanging="361"/>
        <w:jc w:val="lef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1794" w:hanging="361"/>
      </w:pPr>
      <w:rPr>
        <w:rFonts w:hint="default"/>
        <w:lang w:val="en-US" w:eastAsia="zh-CN" w:bidi="ar-SA"/>
      </w:rPr>
    </w:lvl>
    <w:lvl w:ilvl="3">
      <w:start w:val="0"/>
      <w:numFmt w:val="bullet"/>
      <w:lvlText w:val="•"/>
      <w:lvlJc w:val="left"/>
      <w:pPr>
        <w:ind w:left="2808" w:hanging="361"/>
      </w:pPr>
      <w:rPr>
        <w:rFonts w:hint="default"/>
        <w:lang w:val="en-US" w:eastAsia="zh-CN" w:bidi="ar-SA"/>
      </w:rPr>
    </w:lvl>
    <w:lvl w:ilvl="4">
      <w:start w:val="0"/>
      <w:numFmt w:val="bullet"/>
      <w:lvlText w:val="•"/>
      <w:lvlJc w:val="left"/>
      <w:pPr>
        <w:ind w:left="3822" w:hanging="361"/>
      </w:pPr>
      <w:rPr>
        <w:rFonts w:hint="default"/>
        <w:lang w:val="en-US" w:eastAsia="zh-CN" w:bidi="ar-SA"/>
      </w:rPr>
    </w:lvl>
    <w:lvl w:ilvl="5">
      <w:start w:val="0"/>
      <w:numFmt w:val="bullet"/>
      <w:lvlText w:val="•"/>
      <w:lvlJc w:val="left"/>
      <w:pPr>
        <w:ind w:left="4836" w:hanging="361"/>
      </w:pPr>
      <w:rPr>
        <w:rFonts w:hint="default"/>
        <w:lang w:val="en-US" w:eastAsia="zh-CN" w:bidi="ar-SA"/>
      </w:rPr>
    </w:lvl>
    <w:lvl w:ilvl="6">
      <w:start w:val="0"/>
      <w:numFmt w:val="bullet"/>
      <w:lvlText w:val="•"/>
      <w:lvlJc w:val="left"/>
      <w:pPr>
        <w:ind w:left="5850" w:hanging="361"/>
      </w:pPr>
      <w:rPr>
        <w:rFonts w:hint="default"/>
        <w:lang w:val="en-US" w:eastAsia="zh-CN" w:bidi="ar-SA"/>
      </w:rPr>
    </w:lvl>
    <w:lvl w:ilvl="7">
      <w:start w:val="0"/>
      <w:numFmt w:val="bullet"/>
      <w:lvlText w:val="•"/>
      <w:lvlJc w:val="left"/>
      <w:pPr>
        <w:ind w:left="6864" w:hanging="361"/>
      </w:pPr>
      <w:rPr>
        <w:rFonts w:hint="default"/>
        <w:lang w:val="en-US" w:eastAsia="zh-CN" w:bidi="ar-SA"/>
      </w:rPr>
    </w:lvl>
    <w:lvl w:ilvl="8">
      <w:start w:val="0"/>
      <w:numFmt w:val="bullet"/>
      <w:lvlText w:val="•"/>
      <w:lvlJc w:val="left"/>
      <w:pPr>
        <w:ind w:left="7878" w:hanging="361"/>
      </w:pPr>
      <w:rPr>
        <w:rFonts w:hint="default"/>
        <w:lang w:val="en-US" w:eastAsia="zh-CN" w:bidi="ar-SA"/>
      </w:rPr>
    </w:lvl>
  </w:abstractNum>
  <w:abstractNum w:abstractNumId="2">
    <w:nsid w:val="16EB6CF7"/>
    <w:multiLevelType w:val="hybridMultilevel"/>
    <w:tmpl w:val="00000000"/>
    <w:lvl w:ilvl="0">
      <w:start w:val="1"/>
      <w:numFmt w:val="decimal"/>
      <w:lvlText w:val="（%1）"/>
      <w:lvlJc w:val="left"/>
      <w:pPr>
        <w:ind w:left="421" w:hanging="601"/>
        <w:jc w:val="left"/>
      </w:pPr>
      <w:rPr>
        <w:rFonts w:ascii="宋体" w:eastAsia="宋体" w:hAnsi="宋体" w:cs="宋体" w:hint="default"/>
        <w:b w:val="0"/>
        <w:bCs w:val="0"/>
        <w:i w:val="0"/>
        <w:iCs w:val="0"/>
        <w:spacing w:val="-28"/>
        <w:w w:val="100"/>
        <w:sz w:val="22"/>
        <w:szCs w:val="22"/>
        <w:lang w:val="en-US" w:eastAsia="zh-CN" w:bidi="ar-SA"/>
      </w:rPr>
    </w:lvl>
    <w:lvl w:ilvl="1">
      <w:start w:val="0"/>
      <w:numFmt w:val="bullet"/>
      <w:lvlText w:val="•"/>
      <w:lvlJc w:val="left"/>
      <w:pPr>
        <w:ind w:left="136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266" w:hanging="601"/>
      </w:pPr>
      <w:rPr>
        <w:rFonts w:hint="default"/>
        <w:lang w:val="en-US" w:eastAsia="zh-CN" w:bidi="ar-SA"/>
      </w:rPr>
    </w:lvl>
    <w:lvl w:ilvl="4">
      <w:start w:val="0"/>
      <w:numFmt w:val="bullet"/>
      <w:lvlText w:val="•"/>
      <w:lvlJc w:val="left"/>
      <w:pPr>
        <w:ind w:left="4214" w:hanging="601"/>
      </w:pPr>
      <w:rPr>
        <w:rFonts w:hint="default"/>
        <w:lang w:val="en-US" w:eastAsia="zh-CN" w:bidi="ar-SA"/>
      </w:rPr>
    </w:lvl>
    <w:lvl w:ilvl="5">
      <w:start w:val="0"/>
      <w:numFmt w:val="bullet"/>
      <w:lvlText w:val="•"/>
      <w:lvlJc w:val="left"/>
      <w:pPr>
        <w:ind w:left="5163" w:hanging="601"/>
      </w:pPr>
      <w:rPr>
        <w:rFonts w:hint="default"/>
        <w:lang w:val="en-US" w:eastAsia="zh-CN" w:bidi="ar-SA"/>
      </w:rPr>
    </w:lvl>
    <w:lvl w:ilvl="6">
      <w:start w:val="0"/>
      <w:numFmt w:val="bullet"/>
      <w:lvlText w:val="•"/>
      <w:lvlJc w:val="left"/>
      <w:pPr>
        <w:ind w:left="6112" w:hanging="601"/>
      </w:pPr>
      <w:rPr>
        <w:rFonts w:hint="default"/>
        <w:lang w:val="en-US" w:eastAsia="zh-CN" w:bidi="ar-SA"/>
      </w:rPr>
    </w:lvl>
    <w:lvl w:ilvl="7">
      <w:start w:val="0"/>
      <w:numFmt w:val="bullet"/>
      <w:lvlText w:val="•"/>
      <w:lvlJc w:val="left"/>
      <w:pPr>
        <w:ind w:left="7060" w:hanging="601"/>
      </w:pPr>
      <w:rPr>
        <w:rFonts w:hint="default"/>
        <w:lang w:val="en-US" w:eastAsia="zh-CN" w:bidi="ar-SA"/>
      </w:rPr>
    </w:lvl>
    <w:lvl w:ilvl="8">
      <w:start w:val="0"/>
      <w:numFmt w:val="bullet"/>
      <w:lvlText w:val="•"/>
      <w:lvlJc w:val="left"/>
      <w:pPr>
        <w:ind w:left="8009" w:hanging="601"/>
      </w:pPr>
      <w:rPr>
        <w:rFonts w:hint="default"/>
        <w:lang w:val="en-US" w:eastAsia="zh-CN" w:bidi="ar-SA"/>
      </w:rPr>
    </w:lvl>
  </w:abstractNum>
  <w:abstractNum w:abstractNumId="3">
    <w:nsid w:val="1E0870EF"/>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4">
    <w:nsid w:val="1E35B551"/>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5">
    <w:nsid w:val="2663A6FF"/>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6">
    <w:nsid w:val="27BB1446"/>
    <w:multiLevelType w:val="hybridMultilevel"/>
    <w:tmpl w:val="00000000"/>
    <w:lvl w:ilvl="0">
      <w:start w:val="1"/>
      <w:numFmt w:val="decimal"/>
      <w:lvlText w:val="%1）"/>
      <w:lvlJc w:val="left"/>
      <w:pPr>
        <w:ind w:left="421" w:hanging="361"/>
        <w:jc w:val="left"/>
      </w:pPr>
      <w:rPr>
        <w:rFonts w:ascii="宋体" w:eastAsia="宋体" w:hAnsi="宋体" w:cs="宋体" w:hint="default"/>
        <w:b w:val="0"/>
        <w:bCs w:val="0"/>
        <w:i w:val="0"/>
        <w:iCs w:val="0"/>
        <w:spacing w:val="-12"/>
        <w:w w:val="100"/>
        <w:sz w:val="22"/>
        <w:szCs w:val="22"/>
        <w:lang w:val="en-US" w:eastAsia="zh-CN" w:bidi="ar-SA"/>
      </w:rPr>
    </w:lvl>
    <w:lvl w:ilvl="1">
      <w:start w:val="0"/>
      <w:numFmt w:val="bullet"/>
      <w:lvlText w:val="•"/>
      <w:lvlJc w:val="left"/>
      <w:pPr>
        <w:ind w:left="1368" w:hanging="361"/>
      </w:pPr>
      <w:rPr>
        <w:rFonts w:hint="default"/>
        <w:lang w:val="en-US" w:eastAsia="zh-CN" w:bidi="ar-SA"/>
      </w:rPr>
    </w:lvl>
    <w:lvl w:ilvl="2">
      <w:start w:val="0"/>
      <w:numFmt w:val="bullet"/>
      <w:lvlText w:val="•"/>
      <w:lvlJc w:val="left"/>
      <w:pPr>
        <w:ind w:left="2317" w:hanging="361"/>
      </w:pPr>
      <w:rPr>
        <w:rFonts w:hint="default"/>
        <w:lang w:val="en-US" w:eastAsia="zh-CN" w:bidi="ar-SA"/>
      </w:rPr>
    </w:lvl>
    <w:lvl w:ilvl="3">
      <w:start w:val="0"/>
      <w:numFmt w:val="bullet"/>
      <w:lvlText w:val="•"/>
      <w:lvlJc w:val="left"/>
      <w:pPr>
        <w:ind w:left="3266" w:hanging="361"/>
      </w:pPr>
      <w:rPr>
        <w:rFonts w:hint="default"/>
        <w:lang w:val="en-US" w:eastAsia="zh-CN" w:bidi="ar-SA"/>
      </w:rPr>
    </w:lvl>
    <w:lvl w:ilvl="4">
      <w:start w:val="0"/>
      <w:numFmt w:val="bullet"/>
      <w:lvlText w:val="•"/>
      <w:lvlJc w:val="left"/>
      <w:pPr>
        <w:ind w:left="4214" w:hanging="361"/>
      </w:pPr>
      <w:rPr>
        <w:rFonts w:hint="default"/>
        <w:lang w:val="en-US" w:eastAsia="zh-CN" w:bidi="ar-SA"/>
      </w:rPr>
    </w:lvl>
    <w:lvl w:ilvl="5">
      <w:start w:val="0"/>
      <w:numFmt w:val="bullet"/>
      <w:lvlText w:val="•"/>
      <w:lvlJc w:val="left"/>
      <w:pPr>
        <w:ind w:left="5163" w:hanging="361"/>
      </w:pPr>
      <w:rPr>
        <w:rFonts w:hint="default"/>
        <w:lang w:val="en-US" w:eastAsia="zh-CN" w:bidi="ar-SA"/>
      </w:rPr>
    </w:lvl>
    <w:lvl w:ilvl="6">
      <w:start w:val="0"/>
      <w:numFmt w:val="bullet"/>
      <w:lvlText w:val="•"/>
      <w:lvlJc w:val="left"/>
      <w:pPr>
        <w:ind w:left="6112" w:hanging="361"/>
      </w:pPr>
      <w:rPr>
        <w:rFonts w:hint="default"/>
        <w:lang w:val="en-US" w:eastAsia="zh-CN" w:bidi="ar-SA"/>
      </w:rPr>
    </w:lvl>
    <w:lvl w:ilvl="7">
      <w:start w:val="0"/>
      <w:numFmt w:val="bullet"/>
      <w:lvlText w:val="•"/>
      <w:lvlJc w:val="left"/>
      <w:pPr>
        <w:ind w:left="7060" w:hanging="361"/>
      </w:pPr>
      <w:rPr>
        <w:rFonts w:hint="default"/>
        <w:lang w:val="en-US" w:eastAsia="zh-CN" w:bidi="ar-SA"/>
      </w:rPr>
    </w:lvl>
    <w:lvl w:ilvl="8">
      <w:start w:val="0"/>
      <w:numFmt w:val="bullet"/>
      <w:lvlText w:val="•"/>
      <w:lvlJc w:val="left"/>
      <w:pPr>
        <w:ind w:left="8009" w:hanging="361"/>
      </w:pPr>
      <w:rPr>
        <w:rFonts w:hint="default"/>
        <w:lang w:val="en-US" w:eastAsia="zh-CN" w:bidi="ar-SA"/>
      </w:rPr>
    </w:lvl>
  </w:abstractNum>
  <w:abstractNum w:abstractNumId="7">
    <w:nsid w:val="2BDE2828"/>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8">
    <w:nsid w:val="2CDC3E7C"/>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9">
    <w:nsid w:val="2D7BBD83"/>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10">
    <w:nsid w:val="31A75520"/>
    <w:multiLevelType w:val="hybridMultilevel"/>
    <w:tmpl w:val="00000000"/>
    <w:lvl w:ilvl="0">
      <w:start w:val="0"/>
      <w:numFmt w:val="bullet"/>
      <w:lvlText w:val="□"/>
      <w:lvlJc w:val="left"/>
      <w:pPr>
        <w:ind w:left="996" w:hanging="360"/>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553" w:hanging="360"/>
      </w:pPr>
      <w:rPr>
        <w:rFonts w:hint="default"/>
        <w:lang w:val="en-US" w:eastAsia="zh-CN" w:bidi="ar-SA"/>
      </w:rPr>
    </w:lvl>
    <w:lvl w:ilvl="2">
      <w:start w:val="0"/>
      <w:numFmt w:val="bullet"/>
      <w:lvlText w:val="•"/>
      <w:lvlJc w:val="left"/>
      <w:pPr>
        <w:ind w:left="2107" w:hanging="360"/>
      </w:pPr>
      <w:rPr>
        <w:rFonts w:hint="default"/>
        <w:lang w:val="en-US" w:eastAsia="zh-CN" w:bidi="ar-SA"/>
      </w:rPr>
    </w:lvl>
    <w:lvl w:ilvl="3">
      <w:start w:val="0"/>
      <w:numFmt w:val="bullet"/>
      <w:lvlText w:val="•"/>
      <w:lvlJc w:val="left"/>
      <w:pPr>
        <w:ind w:left="2660" w:hanging="360"/>
      </w:pPr>
      <w:rPr>
        <w:rFonts w:hint="default"/>
        <w:lang w:val="en-US" w:eastAsia="zh-CN" w:bidi="ar-SA"/>
      </w:rPr>
    </w:lvl>
    <w:lvl w:ilvl="4">
      <w:start w:val="0"/>
      <w:numFmt w:val="bullet"/>
      <w:lvlText w:val="•"/>
      <w:lvlJc w:val="left"/>
      <w:pPr>
        <w:ind w:left="3214" w:hanging="360"/>
      </w:pPr>
      <w:rPr>
        <w:rFonts w:hint="default"/>
        <w:lang w:val="en-US" w:eastAsia="zh-CN" w:bidi="ar-SA"/>
      </w:rPr>
    </w:lvl>
    <w:lvl w:ilvl="5">
      <w:start w:val="0"/>
      <w:numFmt w:val="bullet"/>
      <w:lvlText w:val="•"/>
      <w:lvlJc w:val="left"/>
      <w:pPr>
        <w:ind w:left="3768" w:hanging="360"/>
      </w:pPr>
      <w:rPr>
        <w:rFonts w:hint="default"/>
        <w:lang w:val="en-US" w:eastAsia="zh-CN" w:bidi="ar-SA"/>
      </w:rPr>
    </w:lvl>
    <w:lvl w:ilvl="6">
      <w:start w:val="0"/>
      <w:numFmt w:val="bullet"/>
      <w:lvlText w:val="•"/>
      <w:lvlJc w:val="left"/>
      <w:pPr>
        <w:ind w:left="4321" w:hanging="360"/>
      </w:pPr>
      <w:rPr>
        <w:rFonts w:hint="default"/>
        <w:lang w:val="en-US" w:eastAsia="zh-CN" w:bidi="ar-SA"/>
      </w:rPr>
    </w:lvl>
    <w:lvl w:ilvl="7">
      <w:start w:val="0"/>
      <w:numFmt w:val="bullet"/>
      <w:lvlText w:val="•"/>
      <w:lvlJc w:val="left"/>
      <w:pPr>
        <w:ind w:left="4875" w:hanging="360"/>
      </w:pPr>
      <w:rPr>
        <w:rFonts w:hint="default"/>
        <w:lang w:val="en-US" w:eastAsia="zh-CN" w:bidi="ar-SA"/>
      </w:rPr>
    </w:lvl>
    <w:lvl w:ilvl="8">
      <w:start w:val="0"/>
      <w:numFmt w:val="bullet"/>
      <w:lvlText w:val="•"/>
      <w:lvlJc w:val="left"/>
      <w:pPr>
        <w:ind w:left="5428" w:hanging="360"/>
      </w:pPr>
      <w:rPr>
        <w:rFonts w:hint="default"/>
        <w:lang w:val="en-US" w:eastAsia="zh-CN" w:bidi="ar-SA"/>
      </w:rPr>
    </w:lvl>
  </w:abstractNum>
  <w:abstractNum w:abstractNumId="11">
    <w:nsid w:val="38D7916F"/>
    <w:multiLevelType w:val="hybridMultilevel"/>
    <w:tmpl w:val="00000000"/>
    <w:lvl w:ilvl="0">
      <w:start w:val="1"/>
      <w:numFmt w:val="decimal"/>
      <w:lvlText w:val="（%1）"/>
      <w:lvlJc w:val="left"/>
      <w:pPr>
        <w:ind w:left="421" w:hanging="601"/>
        <w:jc w:val="left"/>
      </w:pPr>
      <w:rPr>
        <w:rFonts w:ascii="宋体" w:eastAsia="宋体" w:hAnsi="宋体" w:cs="宋体" w:hint="default"/>
        <w:b w:val="0"/>
        <w:bCs w:val="0"/>
        <w:i w:val="0"/>
        <w:iCs w:val="0"/>
        <w:spacing w:val="-19"/>
        <w:w w:val="100"/>
        <w:sz w:val="22"/>
        <w:szCs w:val="22"/>
        <w:lang w:val="en-US" w:eastAsia="zh-CN" w:bidi="ar-SA"/>
      </w:rPr>
    </w:lvl>
    <w:lvl w:ilvl="1">
      <w:start w:val="0"/>
      <w:numFmt w:val="bullet"/>
      <w:lvlText w:val="•"/>
      <w:lvlJc w:val="left"/>
      <w:pPr>
        <w:ind w:left="136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266" w:hanging="601"/>
      </w:pPr>
      <w:rPr>
        <w:rFonts w:hint="default"/>
        <w:lang w:val="en-US" w:eastAsia="zh-CN" w:bidi="ar-SA"/>
      </w:rPr>
    </w:lvl>
    <w:lvl w:ilvl="4">
      <w:start w:val="0"/>
      <w:numFmt w:val="bullet"/>
      <w:lvlText w:val="•"/>
      <w:lvlJc w:val="left"/>
      <w:pPr>
        <w:ind w:left="4214" w:hanging="601"/>
      </w:pPr>
      <w:rPr>
        <w:rFonts w:hint="default"/>
        <w:lang w:val="en-US" w:eastAsia="zh-CN" w:bidi="ar-SA"/>
      </w:rPr>
    </w:lvl>
    <w:lvl w:ilvl="5">
      <w:start w:val="0"/>
      <w:numFmt w:val="bullet"/>
      <w:lvlText w:val="•"/>
      <w:lvlJc w:val="left"/>
      <w:pPr>
        <w:ind w:left="5163" w:hanging="601"/>
      </w:pPr>
      <w:rPr>
        <w:rFonts w:hint="default"/>
        <w:lang w:val="en-US" w:eastAsia="zh-CN" w:bidi="ar-SA"/>
      </w:rPr>
    </w:lvl>
    <w:lvl w:ilvl="6">
      <w:start w:val="0"/>
      <w:numFmt w:val="bullet"/>
      <w:lvlText w:val="•"/>
      <w:lvlJc w:val="left"/>
      <w:pPr>
        <w:ind w:left="6112" w:hanging="601"/>
      </w:pPr>
      <w:rPr>
        <w:rFonts w:hint="default"/>
        <w:lang w:val="en-US" w:eastAsia="zh-CN" w:bidi="ar-SA"/>
      </w:rPr>
    </w:lvl>
    <w:lvl w:ilvl="7">
      <w:start w:val="0"/>
      <w:numFmt w:val="bullet"/>
      <w:lvlText w:val="•"/>
      <w:lvlJc w:val="left"/>
      <w:pPr>
        <w:ind w:left="7060" w:hanging="601"/>
      </w:pPr>
      <w:rPr>
        <w:rFonts w:hint="default"/>
        <w:lang w:val="en-US" w:eastAsia="zh-CN" w:bidi="ar-SA"/>
      </w:rPr>
    </w:lvl>
    <w:lvl w:ilvl="8">
      <w:start w:val="0"/>
      <w:numFmt w:val="bullet"/>
      <w:lvlText w:val="•"/>
      <w:lvlJc w:val="left"/>
      <w:pPr>
        <w:ind w:left="8009" w:hanging="601"/>
      </w:pPr>
      <w:rPr>
        <w:rFonts w:hint="default"/>
        <w:lang w:val="en-US" w:eastAsia="zh-CN" w:bidi="ar-SA"/>
      </w:rPr>
    </w:lvl>
  </w:abstractNum>
  <w:abstractNum w:abstractNumId="12">
    <w:nsid w:val="3A26F5E0"/>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13">
    <w:nsid w:val="42CD6A93"/>
    <w:multiLevelType w:val="hybridMultilevel"/>
    <w:tmpl w:val="00000000"/>
    <w:lvl w:ilvl="0">
      <w:start w:val="1"/>
      <w:numFmt w:val="decimal"/>
      <w:lvlText w:val="（%1）"/>
      <w:lvlJc w:val="left"/>
      <w:pPr>
        <w:ind w:left="421" w:hanging="601"/>
        <w:jc w:val="left"/>
      </w:pPr>
      <w:rPr>
        <w:rFonts w:ascii="宋体" w:eastAsia="宋体" w:hAnsi="宋体" w:cs="宋体" w:hint="default"/>
        <w:b w:val="0"/>
        <w:bCs w:val="0"/>
        <w:i w:val="0"/>
        <w:iCs w:val="0"/>
        <w:spacing w:val="-10"/>
        <w:w w:val="100"/>
        <w:sz w:val="22"/>
        <w:szCs w:val="22"/>
        <w:lang w:val="en-US" w:eastAsia="zh-CN" w:bidi="ar-SA"/>
      </w:rPr>
    </w:lvl>
    <w:lvl w:ilvl="1">
      <w:start w:val="0"/>
      <w:numFmt w:val="bullet"/>
      <w:lvlText w:val="•"/>
      <w:lvlJc w:val="left"/>
      <w:pPr>
        <w:ind w:left="136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266" w:hanging="601"/>
      </w:pPr>
      <w:rPr>
        <w:rFonts w:hint="default"/>
        <w:lang w:val="en-US" w:eastAsia="zh-CN" w:bidi="ar-SA"/>
      </w:rPr>
    </w:lvl>
    <w:lvl w:ilvl="4">
      <w:start w:val="0"/>
      <w:numFmt w:val="bullet"/>
      <w:lvlText w:val="•"/>
      <w:lvlJc w:val="left"/>
      <w:pPr>
        <w:ind w:left="4214" w:hanging="601"/>
      </w:pPr>
      <w:rPr>
        <w:rFonts w:hint="default"/>
        <w:lang w:val="en-US" w:eastAsia="zh-CN" w:bidi="ar-SA"/>
      </w:rPr>
    </w:lvl>
    <w:lvl w:ilvl="5">
      <w:start w:val="0"/>
      <w:numFmt w:val="bullet"/>
      <w:lvlText w:val="•"/>
      <w:lvlJc w:val="left"/>
      <w:pPr>
        <w:ind w:left="5163" w:hanging="601"/>
      </w:pPr>
      <w:rPr>
        <w:rFonts w:hint="default"/>
        <w:lang w:val="en-US" w:eastAsia="zh-CN" w:bidi="ar-SA"/>
      </w:rPr>
    </w:lvl>
    <w:lvl w:ilvl="6">
      <w:start w:val="0"/>
      <w:numFmt w:val="bullet"/>
      <w:lvlText w:val="•"/>
      <w:lvlJc w:val="left"/>
      <w:pPr>
        <w:ind w:left="6112" w:hanging="601"/>
      </w:pPr>
      <w:rPr>
        <w:rFonts w:hint="default"/>
        <w:lang w:val="en-US" w:eastAsia="zh-CN" w:bidi="ar-SA"/>
      </w:rPr>
    </w:lvl>
    <w:lvl w:ilvl="7">
      <w:start w:val="0"/>
      <w:numFmt w:val="bullet"/>
      <w:lvlText w:val="•"/>
      <w:lvlJc w:val="left"/>
      <w:pPr>
        <w:ind w:left="7060" w:hanging="601"/>
      </w:pPr>
      <w:rPr>
        <w:rFonts w:hint="default"/>
        <w:lang w:val="en-US" w:eastAsia="zh-CN" w:bidi="ar-SA"/>
      </w:rPr>
    </w:lvl>
    <w:lvl w:ilvl="8">
      <w:start w:val="0"/>
      <w:numFmt w:val="bullet"/>
      <w:lvlText w:val="•"/>
      <w:lvlJc w:val="left"/>
      <w:pPr>
        <w:ind w:left="8009" w:hanging="601"/>
      </w:pPr>
      <w:rPr>
        <w:rFonts w:hint="default"/>
        <w:lang w:val="en-US" w:eastAsia="zh-CN" w:bidi="ar-SA"/>
      </w:rPr>
    </w:lvl>
  </w:abstractNum>
  <w:abstractNum w:abstractNumId="14">
    <w:nsid w:val="43263385"/>
    <w:multiLevelType w:val="hybridMultilevel"/>
    <w:tmpl w:val="00000000"/>
    <w:lvl w:ilvl="0">
      <w:start w:val="1"/>
      <w:numFmt w:val="decimal"/>
      <w:lvlText w:val="%1）"/>
      <w:lvlJc w:val="left"/>
      <w:pPr>
        <w:ind w:left="421"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368" w:hanging="361"/>
      </w:pPr>
      <w:rPr>
        <w:rFonts w:hint="default"/>
        <w:lang w:val="en-US" w:eastAsia="zh-CN" w:bidi="ar-SA"/>
      </w:rPr>
    </w:lvl>
    <w:lvl w:ilvl="2">
      <w:start w:val="0"/>
      <w:numFmt w:val="bullet"/>
      <w:lvlText w:val="•"/>
      <w:lvlJc w:val="left"/>
      <w:pPr>
        <w:ind w:left="2317" w:hanging="361"/>
      </w:pPr>
      <w:rPr>
        <w:rFonts w:hint="default"/>
        <w:lang w:val="en-US" w:eastAsia="zh-CN" w:bidi="ar-SA"/>
      </w:rPr>
    </w:lvl>
    <w:lvl w:ilvl="3">
      <w:start w:val="0"/>
      <w:numFmt w:val="bullet"/>
      <w:lvlText w:val="•"/>
      <w:lvlJc w:val="left"/>
      <w:pPr>
        <w:ind w:left="3266" w:hanging="361"/>
      </w:pPr>
      <w:rPr>
        <w:rFonts w:hint="default"/>
        <w:lang w:val="en-US" w:eastAsia="zh-CN" w:bidi="ar-SA"/>
      </w:rPr>
    </w:lvl>
    <w:lvl w:ilvl="4">
      <w:start w:val="0"/>
      <w:numFmt w:val="bullet"/>
      <w:lvlText w:val="•"/>
      <w:lvlJc w:val="left"/>
      <w:pPr>
        <w:ind w:left="4214" w:hanging="361"/>
      </w:pPr>
      <w:rPr>
        <w:rFonts w:hint="default"/>
        <w:lang w:val="en-US" w:eastAsia="zh-CN" w:bidi="ar-SA"/>
      </w:rPr>
    </w:lvl>
    <w:lvl w:ilvl="5">
      <w:start w:val="0"/>
      <w:numFmt w:val="bullet"/>
      <w:lvlText w:val="•"/>
      <w:lvlJc w:val="left"/>
      <w:pPr>
        <w:ind w:left="5163" w:hanging="361"/>
      </w:pPr>
      <w:rPr>
        <w:rFonts w:hint="default"/>
        <w:lang w:val="en-US" w:eastAsia="zh-CN" w:bidi="ar-SA"/>
      </w:rPr>
    </w:lvl>
    <w:lvl w:ilvl="6">
      <w:start w:val="0"/>
      <w:numFmt w:val="bullet"/>
      <w:lvlText w:val="•"/>
      <w:lvlJc w:val="left"/>
      <w:pPr>
        <w:ind w:left="6112" w:hanging="361"/>
      </w:pPr>
      <w:rPr>
        <w:rFonts w:hint="default"/>
        <w:lang w:val="en-US" w:eastAsia="zh-CN" w:bidi="ar-SA"/>
      </w:rPr>
    </w:lvl>
    <w:lvl w:ilvl="7">
      <w:start w:val="0"/>
      <w:numFmt w:val="bullet"/>
      <w:lvlText w:val="•"/>
      <w:lvlJc w:val="left"/>
      <w:pPr>
        <w:ind w:left="7060" w:hanging="361"/>
      </w:pPr>
      <w:rPr>
        <w:rFonts w:hint="default"/>
        <w:lang w:val="en-US" w:eastAsia="zh-CN" w:bidi="ar-SA"/>
      </w:rPr>
    </w:lvl>
    <w:lvl w:ilvl="8">
      <w:start w:val="0"/>
      <w:numFmt w:val="bullet"/>
      <w:lvlText w:val="•"/>
      <w:lvlJc w:val="left"/>
      <w:pPr>
        <w:ind w:left="8009" w:hanging="361"/>
      </w:pPr>
      <w:rPr>
        <w:rFonts w:hint="default"/>
        <w:lang w:val="en-US" w:eastAsia="zh-CN" w:bidi="ar-SA"/>
      </w:rPr>
    </w:lvl>
  </w:abstractNum>
  <w:abstractNum w:abstractNumId="15">
    <w:nsid w:val="45E1F5CE"/>
    <w:multiLevelType w:val="hybridMultilevel"/>
    <w:tmpl w:val="00000000"/>
    <w:lvl w:ilvl="0">
      <w:start w:val="1"/>
      <w:numFmt w:val="decimal"/>
      <w:lvlText w:val="%1）"/>
      <w:lvlJc w:val="left"/>
      <w:pPr>
        <w:ind w:left="12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124" w:hanging="361"/>
      </w:pPr>
      <w:rPr>
        <w:rFonts w:hint="default"/>
        <w:lang w:val="en-US" w:eastAsia="zh-CN" w:bidi="ar-SA"/>
      </w:rPr>
    </w:lvl>
    <w:lvl w:ilvl="2">
      <w:start w:val="0"/>
      <w:numFmt w:val="bullet"/>
      <w:lvlText w:val="•"/>
      <w:lvlJc w:val="left"/>
      <w:pPr>
        <w:ind w:left="2989" w:hanging="361"/>
      </w:pPr>
      <w:rPr>
        <w:rFonts w:hint="default"/>
        <w:lang w:val="en-US" w:eastAsia="zh-CN" w:bidi="ar-SA"/>
      </w:rPr>
    </w:lvl>
    <w:lvl w:ilvl="3">
      <w:start w:val="0"/>
      <w:numFmt w:val="bullet"/>
      <w:lvlText w:val="•"/>
      <w:lvlJc w:val="left"/>
      <w:pPr>
        <w:ind w:left="3854" w:hanging="361"/>
      </w:pPr>
      <w:rPr>
        <w:rFonts w:hint="default"/>
        <w:lang w:val="en-US" w:eastAsia="zh-CN" w:bidi="ar-SA"/>
      </w:rPr>
    </w:lvl>
    <w:lvl w:ilvl="4">
      <w:start w:val="0"/>
      <w:numFmt w:val="bullet"/>
      <w:lvlText w:val="•"/>
      <w:lvlJc w:val="left"/>
      <w:pPr>
        <w:ind w:left="4718" w:hanging="361"/>
      </w:pPr>
      <w:rPr>
        <w:rFonts w:hint="default"/>
        <w:lang w:val="en-US" w:eastAsia="zh-CN" w:bidi="ar-SA"/>
      </w:rPr>
    </w:lvl>
    <w:lvl w:ilvl="5">
      <w:start w:val="0"/>
      <w:numFmt w:val="bullet"/>
      <w:lvlText w:val="•"/>
      <w:lvlJc w:val="left"/>
      <w:pPr>
        <w:ind w:left="5583" w:hanging="361"/>
      </w:pPr>
      <w:rPr>
        <w:rFonts w:hint="default"/>
        <w:lang w:val="en-US" w:eastAsia="zh-CN" w:bidi="ar-SA"/>
      </w:rPr>
    </w:lvl>
    <w:lvl w:ilvl="6">
      <w:start w:val="0"/>
      <w:numFmt w:val="bullet"/>
      <w:lvlText w:val="•"/>
      <w:lvlJc w:val="left"/>
      <w:pPr>
        <w:ind w:left="6448" w:hanging="361"/>
      </w:pPr>
      <w:rPr>
        <w:rFonts w:hint="default"/>
        <w:lang w:val="en-US" w:eastAsia="zh-CN" w:bidi="ar-SA"/>
      </w:rPr>
    </w:lvl>
    <w:lvl w:ilvl="7">
      <w:start w:val="0"/>
      <w:numFmt w:val="bullet"/>
      <w:lvlText w:val="•"/>
      <w:lvlJc w:val="left"/>
      <w:pPr>
        <w:ind w:left="7312" w:hanging="361"/>
      </w:pPr>
      <w:rPr>
        <w:rFonts w:hint="default"/>
        <w:lang w:val="en-US" w:eastAsia="zh-CN" w:bidi="ar-SA"/>
      </w:rPr>
    </w:lvl>
    <w:lvl w:ilvl="8">
      <w:start w:val="0"/>
      <w:numFmt w:val="bullet"/>
      <w:lvlText w:val="•"/>
      <w:lvlJc w:val="left"/>
      <w:pPr>
        <w:ind w:left="8177" w:hanging="361"/>
      </w:pPr>
      <w:rPr>
        <w:rFonts w:hint="default"/>
        <w:lang w:val="en-US" w:eastAsia="zh-CN" w:bidi="ar-SA"/>
      </w:rPr>
    </w:lvl>
  </w:abstractNum>
  <w:abstractNum w:abstractNumId="16">
    <w:nsid w:val="4756CDA4"/>
    <w:multiLevelType w:val="hybridMultilevel"/>
    <w:tmpl w:val="00000000"/>
    <w:lvl w:ilvl="0">
      <w:start w:val="1"/>
      <w:numFmt w:val="decimal"/>
      <w:lvlText w:val="（%1）"/>
      <w:lvlJc w:val="left"/>
      <w:pPr>
        <w:ind w:left="421" w:hanging="601"/>
        <w:jc w:val="left"/>
      </w:pPr>
      <w:rPr>
        <w:rFonts w:ascii="宋体" w:eastAsia="宋体" w:hAnsi="宋体" w:cs="宋体" w:hint="default"/>
        <w:b w:val="0"/>
        <w:bCs w:val="0"/>
        <w:i w:val="0"/>
        <w:iCs w:val="0"/>
        <w:spacing w:val="-28"/>
        <w:w w:val="100"/>
        <w:sz w:val="22"/>
        <w:szCs w:val="22"/>
        <w:lang w:val="en-US" w:eastAsia="zh-CN" w:bidi="ar-SA"/>
      </w:rPr>
    </w:lvl>
    <w:lvl w:ilvl="1">
      <w:start w:val="0"/>
      <w:numFmt w:val="bullet"/>
      <w:lvlText w:val="•"/>
      <w:lvlJc w:val="left"/>
      <w:pPr>
        <w:ind w:left="136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266" w:hanging="601"/>
      </w:pPr>
      <w:rPr>
        <w:rFonts w:hint="default"/>
        <w:lang w:val="en-US" w:eastAsia="zh-CN" w:bidi="ar-SA"/>
      </w:rPr>
    </w:lvl>
    <w:lvl w:ilvl="4">
      <w:start w:val="0"/>
      <w:numFmt w:val="bullet"/>
      <w:lvlText w:val="•"/>
      <w:lvlJc w:val="left"/>
      <w:pPr>
        <w:ind w:left="4214" w:hanging="601"/>
      </w:pPr>
      <w:rPr>
        <w:rFonts w:hint="default"/>
        <w:lang w:val="en-US" w:eastAsia="zh-CN" w:bidi="ar-SA"/>
      </w:rPr>
    </w:lvl>
    <w:lvl w:ilvl="5">
      <w:start w:val="0"/>
      <w:numFmt w:val="bullet"/>
      <w:lvlText w:val="•"/>
      <w:lvlJc w:val="left"/>
      <w:pPr>
        <w:ind w:left="5163" w:hanging="601"/>
      </w:pPr>
      <w:rPr>
        <w:rFonts w:hint="default"/>
        <w:lang w:val="en-US" w:eastAsia="zh-CN" w:bidi="ar-SA"/>
      </w:rPr>
    </w:lvl>
    <w:lvl w:ilvl="6">
      <w:start w:val="0"/>
      <w:numFmt w:val="bullet"/>
      <w:lvlText w:val="•"/>
      <w:lvlJc w:val="left"/>
      <w:pPr>
        <w:ind w:left="6112" w:hanging="601"/>
      </w:pPr>
      <w:rPr>
        <w:rFonts w:hint="default"/>
        <w:lang w:val="en-US" w:eastAsia="zh-CN" w:bidi="ar-SA"/>
      </w:rPr>
    </w:lvl>
    <w:lvl w:ilvl="7">
      <w:start w:val="0"/>
      <w:numFmt w:val="bullet"/>
      <w:lvlText w:val="•"/>
      <w:lvlJc w:val="left"/>
      <w:pPr>
        <w:ind w:left="7060" w:hanging="601"/>
      </w:pPr>
      <w:rPr>
        <w:rFonts w:hint="default"/>
        <w:lang w:val="en-US" w:eastAsia="zh-CN" w:bidi="ar-SA"/>
      </w:rPr>
    </w:lvl>
    <w:lvl w:ilvl="8">
      <w:start w:val="0"/>
      <w:numFmt w:val="bullet"/>
      <w:lvlText w:val="•"/>
      <w:lvlJc w:val="left"/>
      <w:pPr>
        <w:ind w:left="8009" w:hanging="601"/>
      </w:pPr>
      <w:rPr>
        <w:rFonts w:hint="default"/>
        <w:lang w:val="en-US" w:eastAsia="zh-CN" w:bidi="ar-SA"/>
      </w:rPr>
    </w:lvl>
  </w:abstractNum>
  <w:abstractNum w:abstractNumId="17">
    <w:nsid w:val="4798B010"/>
    <w:multiLevelType w:val="hybridMultilevel"/>
    <w:tmpl w:val="00000000"/>
    <w:lvl w:ilvl="0">
      <w:start w:val="1"/>
      <w:numFmt w:val="decimal"/>
      <w:lvlText w:val="（%1）"/>
      <w:lvlJc w:val="left"/>
      <w:pPr>
        <w:ind w:left="421" w:hanging="601"/>
        <w:jc w:val="left"/>
      </w:pPr>
      <w:rPr>
        <w:rFonts w:ascii="宋体" w:eastAsia="宋体" w:hAnsi="宋体" w:cs="宋体" w:hint="default"/>
        <w:b w:val="0"/>
        <w:bCs w:val="0"/>
        <w:i w:val="0"/>
        <w:iCs w:val="0"/>
        <w:spacing w:val="-19"/>
        <w:w w:val="100"/>
        <w:sz w:val="22"/>
        <w:szCs w:val="22"/>
        <w:lang w:val="en-US" w:eastAsia="zh-CN" w:bidi="ar-SA"/>
      </w:rPr>
    </w:lvl>
    <w:lvl w:ilvl="1">
      <w:start w:val="0"/>
      <w:numFmt w:val="bullet"/>
      <w:lvlText w:val="•"/>
      <w:lvlJc w:val="left"/>
      <w:pPr>
        <w:ind w:left="136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266" w:hanging="601"/>
      </w:pPr>
      <w:rPr>
        <w:rFonts w:hint="default"/>
        <w:lang w:val="en-US" w:eastAsia="zh-CN" w:bidi="ar-SA"/>
      </w:rPr>
    </w:lvl>
    <w:lvl w:ilvl="4">
      <w:start w:val="0"/>
      <w:numFmt w:val="bullet"/>
      <w:lvlText w:val="•"/>
      <w:lvlJc w:val="left"/>
      <w:pPr>
        <w:ind w:left="4214" w:hanging="601"/>
      </w:pPr>
      <w:rPr>
        <w:rFonts w:hint="default"/>
        <w:lang w:val="en-US" w:eastAsia="zh-CN" w:bidi="ar-SA"/>
      </w:rPr>
    </w:lvl>
    <w:lvl w:ilvl="5">
      <w:start w:val="0"/>
      <w:numFmt w:val="bullet"/>
      <w:lvlText w:val="•"/>
      <w:lvlJc w:val="left"/>
      <w:pPr>
        <w:ind w:left="5163" w:hanging="601"/>
      </w:pPr>
      <w:rPr>
        <w:rFonts w:hint="default"/>
        <w:lang w:val="en-US" w:eastAsia="zh-CN" w:bidi="ar-SA"/>
      </w:rPr>
    </w:lvl>
    <w:lvl w:ilvl="6">
      <w:start w:val="0"/>
      <w:numFmt w:val="bullet"/>
      <w:lvlText w:val="•"/>
      <w:lvlJc w:val="left"/>
      <w:pPr>
        <w:ind w:left="6112" w:hanging="601"/>
      </w:pPr>
      <w:rPr>
        <w:rFonts w:hint="default"/>
        <w:lang w:val="en-US" w:eastAsia="zh-CN" w:bidi="ar-SA"/>
      </w:rPr>
    </w:lvl>
    <w:lvl w:ilvl="7">
      <w:start w:val="0"/>
      <w:numFmt w:val="bullet"/>
      <w:lvlText w:val="•"/>
      <w:lvlJc w:val="left"/>
      <w:pPr>
        <w:ind w:left="7060" w:hanging="601"/>
      </w:pPr>
      <w:rPr>
        <w:rFonts w:hint="default"/>
        <w:lang w:val="en-US" w:eastAsia="zh-CN" w:bidi="ar-SA"/>
      </w:rPr>
    </w:lvl>
    <w:lvl w:ilvl="8">
      <w:start w:val="0"/>
      <w:numFmt w:val="bullet"/>
      <w:lvlText w:val="•"/>
      <w:lvlJc w:val="left"/>
      <w:pPr>
        <w:ind w:left="8009" w:hanging="601"/>
      </w:pPr>
      <w:rPr>
        <w:rFonts w:hint="default"/>
        <w:lang w:val="en-US" w:eastAsia="zh-CN" w:bidi="ar-SA"/>
      </w:rPr>
    </w:lvl>
  </w:abstractNum>
  <w:abstractNum w:abstractNumId="18">
    <w:nsid w:val="4D976B85"/>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19">
    <w:nsid w:val="51A77F6F"/>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20">
    <w:nsid w:val="5678D7CD"/>
    <w:multiLevelType w:val="hybridMultilevel"/>
    <w:tmpl w:val="00000000"/>
    <w:lvl w:ilvl="0">
      <w:start w:val="1"/>
      <w:numFmt w:val="decimal"/>
      <w:lvlText w:val="（%1）"/>
      <w:lvlJc w:val="left"/>
      <w:pPr>
        <w:ind w:left="421"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36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266" w:hanging="601"/>
      </w:pPr>
      <w:rPr>
        <w:rFonts w:hint="default"/>
        <w:lang w:val="en-US" w:eastAsia="zh-CN" w:bidi="ar-SA"/>
      </w:rPr>
    </w:lvl>
    <w:lvl w:ilvl="4">
      <w:start w:val="0"/>
      <w:numFmt w:val="bullet"/>
      <w:lvlText w:val="•"/>
      <w:lvlJc w:val="left"/>
      <w:pPr>
        <w:ind w:left="4214" w:hanging="601"/>
      </w:pPr>
      <w:rPr>
        <w:rFonts w:hint="default"/>
        <w:lang w:val="en-US" w:eastAsia="zh-CN" w:bidi="ar-SA"/>
      </w:rPr>
    </w:lvl>
    <w:lvl w:ilvl="5">
      <w:start w:val="0"/>
      <w:numFmt w:val="bullet"/>
      <w:lvlText w:val="•"/>
      <w:lvlJc w:val="left"/>
      <w:pPr>
        <w:ind w:left="5163" w:hanging="601"/>
      </w:pPr>
      <w:rPr>
        <w:rFonts w:hint="default"/>
        <w:lang w:val="en-US" w:eastAsia="zh-CN" w:bidi="ar-SA"/>
      </w:rPr>
    </w:lvl>
    <w:lvl w:ilvl="6">
      <w:start w:val="0"/>
      <w:numFmt w:val="bullet"/>
      <w:lvlText w:val="•"/>
      <w:lvlJc w:val="left"/>
      <w:pPr>
        <w:ind w:left="6112" w:hanging="601"/>
      </w:pPr>
      <w:rPr>
        <w:rFonts w:hint="default"/>
        <w:lang w:val="en-US" w:eastAsia="zh-CN" w:bidi="ar-SA"/>
      </w:rPr>
    </w:lvl>
    <w:lvl w:ilvl="7">
      <w:start w:val="0"/>
      <w:numFmt w:val="bullet"/>
      <w:lvlText w:val="•"/>
      <w:lvlJc w:val="left"/>
      <w:pPr>
        <w:ind w:left="7060" w:hanging="601"/>
      </w:pPr>
      <w:rPr>
        <w:rFonts w:hint="default"/>
        <w:lang w:val="en-US" w:eastAsia="zh-CN" w:bidi="ar-SA"/>
      </w:rPr>
    </w:lvl>
    <w:lvl w:ilvl="8">
      <w:start w:val="0"/>
      <w:numFmt w:val="bullet"/>
      <w:lvlText w:val="•"/>
      <w:lvlJc w:val="left"/>
      <w:pPr>
        <w:ind w:left="8009" w:hanging="601"/>
      </w:pPr>
      <w:rPr>
        <w:rFonts w:hint="default"/>
        <w:lang w:val="en-US" w:eastAsia="zh-CN" w:bidi="ar-SA"/>
      </w:rPr>
    </w:lvl>
  </w:abstractNum>
  <w:abstractNum w:abstractNumId="21">
    <w:nsid w:val="5B52606B"/>
    <w:multiLevelType w:val="hybridMultilevel"/>
    <w:tmpl w:val="00000000"/>
    <w:lvl w:ilvl="0">
      <w:start w:val="1"/>
      <w:numFmt w:val="decimal"/>
      <w:lvlText w:val="%1）"/>
      <w:lvlJc w:val="left"/>
      <w:pPr>
        <w:ind w:left="126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124" w:hanging="361"/>
      </w:pPr>
      <w:rPr>
        <w:rFonts w:hint="default"/>
        <w:lang w:val="en-US" w:eastAsia="zh-CN" w:bidi="ar-SA"/>
      </w:rPr>
    </w:lvl>
    <w:lvl w:ilvl="2">
      <w:start w:val="0"/>
      <w:numFmt w:val="bullet"/>
      <w:lvlText w:val="•"/>
      <w:lvlJc w:val="left"/>
      <w:pPr>
        <w:ind w:left="2989" w:hanging="361"/>
      </w:pPr>
      <w:rPr>
        <w:rFonts w:hint="default"/>
        <w:lang w:val="en-US" w:eastAsia="zh-CN" w:bidi="ar-SA"/>
      </w:rPr>
    </w:lvl>
    <w:lvl w:ilvl="3">
      <w:start w:val="0"/>
      <w:numFmt w:val="bullet"/>
      <w:lvlText w:val="•"/>
      <w:lvlJc w:val="left"/>
      <w:pPr>
        <w:ind w:left="3854" w:hanging="361"/>
      </w:pPr>
      <w:rPr>
        <w:rFonts w:hint="default"/>
        <w:lang w:val="en-US" w:eastAsia="zh-CN" w:bidi="ar-SA"/>
      </w:rPr>
    </w:lvl>
    <w:lvl w:ilvl="4">
      <w:start w:val="0"/>
      <w:numFmt w:val="bullet"/>
      <w:lvlText w:val="•"/>
      <w:lvlJc w:val="left"/>
      <w:pPr>
        <w:ind w:left="4718" w:hanging="361"/>
      </w:pPr>
      <w:rPr>
        <w:rFonts w:hint="default"/>
        <w:lang w:val="en-US" w:eastAsia="zh-CN" w:bidi="ar-SA"/>
      </w:rPr>
    </w:lvl>
    <w:lvl w:ilvl="5">
      <w:start w:val="0"/>
      <w:numFmt w:val="bullet"/>
      <w:lvlText w:val="•"/>
      <w:lvlJc w:val="left"/>
      <w:pPr>
        <w:ind w:left="5583" w:hanging="361"/>
      </w:pPr>
      <w:rPr>
        <w:rFonts w:hint="default"/>
        <w:lang w:val="en-US" w:eastAsia="zh-CN" w:bidi="ar-SA"/>
      </w:rPr>
    </w:lvl>
    <w:lvl w:ilvl="6">
      <w:start w:val="0"/>
      <w:numFmt w:val="bullet"/>
      <w:lvlText w:val="•"/>
      <w:lvlJc w:val="left"/>
      <w:pPr>
        <w:ind w:left="6448" w:hanging="361"/>
      </w:pPr>
      <w:rPr>
        <w:rFonts w:hint="default"/>
        <w:lang w:val="en-US" w:eastAsia="zh-CN" w:bidi="ar-SA"/>
      </w:rPr>
    </w:lvl>
    <w:lvl w:ilvl="7">
      <w:start w:val="0"/>
      <w:numFmt w:val="bullet"/>
      <w:lvlText w:val="•"/>
      <w:lvlJc w:val="left"/>
      <w:pPr>
        <w:ind w:left="7312" w:hanging="361"/>
      </w:pPr>
      <w:rPr>
        <w:rFonts w:hint="default"/>
        <w:lang w:val="en-US" w:eastAsia="zh-CN" w:bidi="ar-SA"/>
      </w:rPr>
    </w:lvl>
    <w:lvl w:ilvl="8">
      <w:start w:val="0"/>
      <w:numFmt w:val="bullet"/>
      <w:lvlText w:val="•"/>
      <w:lvlJc w:val="left"/>
      <w:pPr>
        <w:ind w:left="8177" w:hanging="361"/>
      </w:pPr>
      <w:rPr>
        <w:rFonts w:hint="default"/>
        <w:lang w:val="en-US" w:eastAsia="zh-CN" w:bidi="ar-SA"/>
      </w:rPr>
    </w:lvl>
  </w:abstractNum>
  <w:abstractNum w:abstractNumId="22">
    <w:nsid w:val="61CED3D6"/>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23">
    <w:nsid w:val="696A8AF5"/>
    <w:multiLevelType w:val="hybridMultilevel"/>
    <w:tmpl w:val="00000000"/>
    <w:lvl w:ilvl="0">
      <w:start w:val="1"/>
      <w:numFmt w:val="decimal"/>
      <w:lvlText w:val="（%1）"/>
      <w:lvlJc w:val="left"/>
      <w:pPr>
        <w:ind w:left="421" w:hanging="601"/>
        <w:jc w:val="left"/>
      </w:pPr>
      <w:rPr>
        <w:rFonts w:ascii="宋体" w:eastAsia="宋体" w:hAnsi="宋体" w:cs="宋体" w:hint="default"/>
        <w:b w:val="0"/>
        <w:bCs w:val="0"/>
        <w:i w:val="0"/>
        <w:iCs w:val="0"/>
        <w:spacing w:val="-19"/>
        <w:w w:val="100"/>
        <w:sz w:val="22"/>
        <w:szCs w:val="22"/>
        <w:lang w:val="en-US" w:eastAsia="zh-CN" w:bidi="ar-SA"/>
      </w:rPr>
    </w:lvl>
    <w:lvl w:ilvl="1">
      <w:start w:val="0"/>
      <w:numFmt w:val="bullet"/>
      <w:lvlText w:val="•"/>
      <w:lvlJc w:val="left"/>
      <w:pPr>
        <w:ind w:left="136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266" w:hanging="601"/>
      </w:pPr>
      <w:rPr>
        <w:rFonts w:hint="default"/>
        <w:lang w:val="en-US" w:eastAsia="zh-CN" w:bidi="ar-SA"/>
      </w:rPr>
    </w:lvl>
    <w:lvl w:ilvl="4">
      <w:start w:val="0"/>
      <w:numFmt w:val="bullet"/>
      <w:lvlText w:val="•"/>
      <w:lvlJc w:val="left"/>
      <w:pPr>
        <w:ind w:left="4214" w:hanging="601"/>
      </w:pPr>
      <w:rPr>
        <w:rFonts w:hint="default"/>
        <w:lang w:val="en-US" w:eastAsia="zh-CN" w:bidi="ar-SA"/>
      </w:rPr>
    </w:lvl>
    <w:lvl w:ilvl="5">
      <w:start w:val="0"/>
      <w:numFmt w:val="bullet"/>
      <w:lvlText w:val="•"/>
      <w:lvlJc w:val="left"/>
      <w:pPr>
        <w:ind w:left="5163" w:hanging="601"/>
      </w:pPr>
      <w:rPr>
        <w:rFonts w:hint="default"/>
        <w:lang w:val="en-US" w:eastAsia="zh-CN" w:bidi="ar-SA"/>
      </w:rPr>
    </w:lvl>
    <w:lvl w:ilvl="6">
      <w:start w:val="0"/>
      <w:numFmt w:val="bullet"/>
      <w:lvlText w:val="•"/>
      <w:lvlJc w:val="left"/>
      <w:pPr>
        <w:ind w:left="6112" w:hanging="601"/>
      </w:pPr>
      <w:rPr>
        <w:rFonts w:hint="default"/>
        <w:lang w:val="en-US" w:eastAsia="zh-CN" w:bidi="ar-SA"/>
      </w:rPr>
    </w:lvl>
    <w:lvl w:ilvl="7">
      <w:start w:val="0"/>
      <w:numFmt w:val="bullet"/>
      <w:lvlText w:val="•"/>
      <w:lvlJc w:val="left"/>
      <w:pPr>
        <w:ind w:left="7060" w:hanging="601"/>
      </w:pPr>
      <w:rPr>
        <w:rFonts w:hint="default"/>
        <w:lang w:val="en-US" w:eastAsia="zh-CN" w:bidi="ar-SA"/>
      </w:rPr>
    </w:lvl>
    <w:lvl w:ilvl="8">
      <w:start w:val="0"/>
      <w:numFmt w:val="bullet"/>
      <w:lvlText w:val="•"/>
      <w:lvlJc w:val="left"/>
      <w:pPr>
        <w:ind w:left="8009" w:hanging="601"/>
      </w:pPr>
      <w:rPr>
        <w:rFonts w:hint="default"/>
        <w:lang w:val="en-US" w:eastAsia="zh-CN" w:bidi="ar-SA"/>
      </w:rPr>
    </w:lvl>
  </w:abstractNum>
  <w:abstractNum w:abstractNumId="24">
    <w:nsid w:val="69E13F89"/>
    <w:multiLevelType w:val="hybridMultilevel"/>
    <w:tmpl w:val="00000000"/>
    <w:lvl w:ilvl="0">
      <w:start w:val="1"/>
      <w:numFmt w:val="decimal"/>
      <w:lvlText w:val="（%1）"/>
      <w:lvlJc w:val="left"/>
      <w:pPr>
        <w:ind w:left="421" w:hanging="601"/>
        <w:jc w:val="left"/>
      </w:pPr>
      <w:rPr>
        <w:rFonts w:ascii="宋体" w:eastAsia="宋体" w:hAnsi="宋体" w:cs="宋体" w:hint="default"/>
        <w:b w:val="0"/>
        <w:bCs w:val="0"/>
        <w:i w:val="0"/>
        <w:iCs w:val="0"/>
        <w:spacing w:val="-10"/>
        <w:w w:val="100"/>
        <w:sz w:val="22"/>
        <w:szCs w:val="22"/>
        <w:lang w:val="en-US" w:eastAsia="zh-CN" w:bidi="ar-SA"/>
      </w:rPr>
    </w:lvl>
    <w:lvl w:ilvl="1">
      <w:start w:val="0"/>
      <w:numFmt w:val="bullet"/>
      <w:lvlText w:val="•"/>
      <w:lvlJc w:val="left"/>
      <w:pPr>
        <w:ind w:left="136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266" w:hanging="601"/>
      </w:pPr>
      <w:rPr>
        <w:rFonts w:hint="default"/>
        <w:lang w:val="en-US" w:eastAsia="zh-CN" w:bidi="ar-SA"/>
      </w:rPr>
    </w:lvl>
    <w:lvl w:ilvl="4">
      <w:start w:val="0"/>
      <w:numFmt w:val="bullet"/>
      <w:lvlText w:val="•"/>
      <w:lvlJc w:val="left"/>
      <w:pPr>
        <w:ind w:left="4214" w:hanging="601"/>
      </w:pPr>
      <w:rPr>
        <w:rFonts w:hint="default"/>
        <w:lang w:val="en-US" w:eastAsia="zh-CN" w:bidi="ar-SA"/>
      </w:rPr>
    </w:lvl>
    <w:lvl w:ilvl="5">
      <w:start w:val="0"/>
      <w:numFmt w:val="bullet"/>
      <w:lvlText w:val="•"/>
      <w:lvlJc w:val="left"/>
      <w:pPr>
        <w:ind w:left="5163" w:hanging="601"/>
      </w:pPr>
      <w:rPr>
        <w:rFonts w:hint="default"/>
        <w:lang w:val="en-US" w:eastAsia="zh-CN" w:bidi="ar-SA"/>
      </w:rPr>
    </w:lvl>
    <w:lvl w:ilvl="6">
      <w:start w:val="0"/>
      <w:numFmt w:val="bullet"/>
      <w:lvlText w:val="•"/>
      <w:lvlJc w:val="left"/>
      <w:pPr>
        <w:ind w:left="6112" w:hanging="601"/>
      </w:pPr>
      <w:rPr>
        <w:rFonts w:hint="default"/>
        <w:lang w:val="en-US" w:eastAsia="zh-CN" w:bidi="ar-SA"/>
      </w:rPr>
    </w:lvl>
    <w:lvl w:ilvl="7">
      <w:start w:val="0"/>
      <w:numFmt w:val="bullet"/>
      <w:lvlText w:val="•"/>
      <w:lvlJc w:val="left"/>
      <w:pPr>
        <w:ind w:left="7060" w:hanging="601"/>
      </w:pPr>
      <w:rPr>
        <w:rFonts w:hint="default"/>
        <w:lang w:val="en-US" w:eastAsia="zh-CN" w:bidi="ar-SA"/>
      </w:rPr>
    </w:lvl>
    <w:lvl w:ilvl="8">
      <w:start w:val="0"/>
      <w:numFmt w:val="bullet"/>
      <w:lvlText w:val="•"/>
      <w:lvlJc w:val="left"/>
      <w:pPr>
        <w:ind w:left="8009" w:hanging="601"/>
      </w:pPr>
      <w:rPr>
        <w:rFonts w:hint="default"/>
        <w:lang w:val="en-US" w:eastAsia="zh-CN" w:bidi="ar-SA"/>
      </w:rPr>
    </w:lvl>
  </w:abstractNum>
  <w:abstractNum w:abstractNumId="25">
    <w:nsid w:val="6D74122F"/>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26">
    <w:nsid w:val="71F8C092"/>
    <w:multiLevelType w:val="hybridMultilevel"/>
    <w:tmpl w:val="00000000"/>
    <w:lvl w:ilvl="0">
      <w:start w:val="1"/>
      <w:numFmt w:val="decimal"/>
      <w:lvlText w:val="（%1）"/>
      <w:lvlJc w:val="left"/>
      <w:pPr>
        <w:ind w:left="15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340" w:hanging="601"/>
      </w:pPr>
      <w:rPr>
        <w:rFonts w:hint="default"/>
        <w:lang w:val="en-US" w:eastAsia="zh-CN" w:bidi="ar-SA"/>
      </w:rPr>
    </w:lvl>
    <w:lvl w:ilvl="2">
      <w:start w:val="0"/>
      <w:numFmt w:val="bullet"/>
      <w:lvlText w:val="•"/>
      <w:lvlJc w:val="left"/>
      <w:pPr>
        <w:ind w:left="3181" w:hanging="601"/>
      </w:pPr>
      <w:rPr>
        <w:rFonts w:hint="default"/>
        <w:lang w:val="en-US" w:eastAsia="zh-CN" w:bidi="ar-SA"/>
      </w:rPr>
    </w:lvl>
    <w:lvl w:ilvl="3">
      <w:start w:val="0"/>
      <w:numFmt w:val="bullet"/>
      <w:lvlText w:val="•"/>
      <w:lvlJc w:val="left"/>
      <w:pPr>
        <w:ind w:left="4022" w:hanging="601"/>
      </w:pPr>
      <w:rPr>
        <w:rFonts w:hint="default"/>
        <w:lang w:val="en-US" w:eastAsia="zh-CN" w:bidi="ar-SA"/>
      </w:rPr>
    </w:lvl>
    <w:lvl w:ilvl="4">
      <w:start w:val="0"/>
      <w:numFmt w:val="bullet"/>
      <w:lvlText w:val="•"/>
      <w:lvlJc w:val="left"/>
      <w:pPr>
        <w:ind w:left="4862" w:hanging="601"/>
      </w:pPr>
      <w:rPr>
        <w:rFonts w:hint="default"/>
        <w:lang w:val="en-US" w:eastAsia="zh-CN" w:bidi="ar-SA"/>
      </w:rPr>
    </w:lvl>
    <w:lvl w:ilvl="5">
      <w:start w:val="0"/>
      <w:numFmt w:val="bullet"/>
      <w:lvlText w:val="•"/>
      <w:lvlJc w:val="left"/>
      <w:pPr>
        <w:ind w:left="5703" w:hanging="601"/>
      </w:pPr>
      <w:rPr>
        <w:rFonts w:hint="default"/>
        <w:lang w:val="en-US" w:eastAsia="zh-CN" w:bidi="ar-SA"/>
      </w:rPr>
    </w:lvl>
    <w:lvl w:ilvl="6">
      <w:start w:val="0"/>
      <w:numFmt w:val="bullet"/>
      <w:lvlText w:val="•"/>
      <w:lvlJc w:val="left"/>
      <w:pPr>
        <w:ind w:left="6544" w:hanging="601"/>
      </w:pPr>
      <w:rPr>
        <w:rFonts w:hint="default"/>
        <w:lang w:val="en-US" w:eastAsia="zh-CN" w:bidi="ar-SA"/>
      </w:rPr>
    </w:lvl>
    <w:lvl w:ilvl="7">
      <w:start w:val="0"/>
      <w:numFmt w:val="bullet"/>
      <w:lvlText w:val="•"/>
      <w:lvlJc w:val="left"/>
      <w:pPr>
        <w:ind w:left="7384" w:hanging="601"/>
      </w:pPr>
      <w:rPr>
        <w:rFonts w:hint="default"/>
        <w:lang w:val="en-US" w:eastAsia="zh-CN" w:bidi="ar-SA"/>
      </w:rPr>
    </w:lvl>
    <w:lvl w:ilvl="8">
      <w:start w:val="0"/>
      <w:numFmt w:val="bullet"/>
      <w:lvlText w:val="•"/>
      <w:lvlJc w:val="left"/>
      <w:pPr>
        <w:ind w:left="8225" w:hanging="601"/>
      </w:pPr>
      <w:rPr>
        <w:rFonts w:hint="default"/>
        <w:lang w:val="en-US" w:eastAsia="zh-CN" w:bidi="ar-SA"/>
      </w:rPr>
    </w:lvl>
  </w:abstractNum>
  <w:abstractNum w:abstractNumId="27">
    <w:nsid w:val="74544D01"/>
    <w:multiLevelType w:val="hybridMultilevel"/>
    <w:tmpl w:val="00000000"/>
    <w:lvl w:ilvl="0">
      <w:start w:val="1"/>
      <w:numFmt w:val="decimal"/>
      <w:lvlText w:val="%1）"/>
      <w:lvlJc w:val="left"/>
      <w:pPr>
        <w:ind w:left="421"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368" w:hanging="361"/>
      </w:pPr>
      <w:rPr>
        <w:rFonts w:hint="default"/>
        <w:lang w:val="en-US" w:eastAsia="zh-CN" w:bidi="ar-SA"/>
      </w:rPr>
    </w:lvl>
    <w:lvl w:ilvl="2">
      <w:start w:val="0"/>
      <w:numFmt w:val="bullet"/>
      <w:lvlText w:val="•"/>
      <w:lvlJc w:val="left"/>
      <w:pPr>
        <w:ind w:left="2317" w:hanging="361"/>
      </w:pPr>
      <w:rPr>
        <w:rFonts w:hint="default"/>
        <w:lang w:val="en-US" w:eastAsia="zh-CN" w:bidi="ar-SA"/>
      </w:rPr>
    </w:lvl>
    <w:lvl w:ilvl="3">
      <w:start w:val="0"/>
      <w:numFmt w:val="bullet"/>
      <w:lvlText w:val="•"/>
      <w:lvlJc w:val="left"/>
      <w:pPr>
        <w:ind w:left="3266" w:hanging="361"/>
      </w:pPr>
      <w:rPr>
        <w:rFonts w:hint="default"/>
        <w:lang w:val="en-US" w:eastAsia="zh-CN" w:bidi="ar-SA"/>
      </w:rPr>
    </w:lvl>
    <w:lvl w:ilvl="4">
      <w:start w:val="0"/>
      <w:numFmt w:val="bullet"/>
      <w:lvlText w:val="•"/>
      <w:lvlJc w:val="left"/>
      <w:pPr>
        <w:ind w:left="4214" w:hanging="361"/>
      </w:pPr>
      <w:rPr>
        <w:rFonts w:hint="default"/>
        <w:lang w:val="en-US" w:eastAsia="zh-CN" w:bidi="ar-SA"/>
      </w:rPr>
    </w:lvl>
    <w:lvl w:ilvl="5">
      <w:start w:val="0"/>
      <w:numFmt w:val="bullet"/>
      <w:lvlText w:val="•"/>
      <w:lvlJc w:val="left"/>
      <w:pPr>
        <w:ind w:left="5163" w:hanging="361"/>
      </w:pPr>
      <w:rPr>
        <w:rFonts w:hint="default"/>
        <w:lang w:val="en-US" w:eastAsia="zh-CN" w:bidi="ar-SA"/>
      </w:rPr>
    </w:lvl>
    <w:lvl w:ilvl="6">
      <w:start w:val="0"/>
      <w:numFmt w:val="bullet"/>
      <w:lvlText w:val="•"/>
      <w:lvlJc w:val="left"/>
      <w:pPr>
        <w:ind w:left="6112" w:hanging="361"/>
      </w:pPr>
      <w:rPr>
        <w:rFonts w:hint="default"/>
        <w:lang w:val="en-US" w:eastAsia="zh-CN" w:bidi="ar-SA"/>
      </w:rPr>
    </w:lvl>
    <w:lvl w:ilvl="7">
      <w:start w:val="0"/>
      <w:numFmt w:val="bullet"/>
      <w:lvlText w:val="•"/>
      <w:lvlJc w:val="left"/>
      <w:pPr>
        <w:ind w:left="7060" w:hanging="361"/>
      </w:pPr>
      <w:rPr>
        <w:rFonts w:hint="default"/>
        <w:lang w:val="en-US" w:eastAsia="zh-CN" w:bidi="ar-SA"/>
      </w:rPr>
    </w:lvl>
    <w:lvl w:ilvl="8">
      <w:start w:val="0"/>
      <w:numFmt w:val="bullet"/>
      <w:lvlText w:val="•"/>
      <w:lvlJc w:val="left"/>
      <w:pPr>
        <w:ind w:left="8009" w:hanging="361"/>
      </w:pPr>
      <w:rPr>
        <w:rFonts w:hint="default"/>
        <w:lang w:val="en-US" w:eastAsia="zh-CN" w:bidi="ar-SA"/>
      </w:rPr>
    </w:lvl>
  </w:abstractNum>
  <w:num w:numId="1">
    <w:abstractNumId w:val="0"/>
  </w:num>
  <w:num w:numId="2">
    <w:abstractNumId w:val="10"/>
  </w:num>
  <w:num w:numId="3">
    <w:abstractNumId w:val="3"/>
  </w:num>
  <w:num w:numId="4">
    <w:abstractNumId w:val="19"/>
  </w:num>
  <w:num w:numId="5">
    <w:abstractNumId w:val="12"/>
  </w:num>
  <w:num w:numId="6">
    <w:abstractNumId w:val="4"/>
  </w:num>
  <w:num w:numId="7">
    <w:abstractNumId w:val="11"/>
  </w:num>
  <w:num w:numId="8">
    <w:abstractNumId w:val="27"/>
  </w:num>
  <w:num w:numId="9">
    <w:abstractNumId w:val="14"/>
  </w:num>
  <w:num w:numId="10">
    <w:abstractNumId w:val="22"/>
  </w:num>
  <w:num w:numId="11">
    <w:abstractNumId w:val="21"/>
  </w:num>
  <w:num w:numId="12">
    <w:abstractNumId w:val="15"/>
  </w:num>
  <w:num w:numId="13">
    <w:abstractNumId w:val="9"/>
  </w:num>
  <w:num w:numId="14">
    <w:abstractNumId w:val="1"/>
  </w:num>
  <w:num w:numId="15">
    <w:abstractNumId w:val="18"/>
  </w:num>
  <w:num w:numId="16">
    <w:abstractNumId w:val="2"/>
  </w:num>
  <w:num w:numId="17">
    <w:abstractNumId w:val="23"/>
  </w:num>
  <w:num w:numId="18">
    <w:abstractNumId w:val="6"/>
  </w:num>
  <w:num w:numId="19">
    <w:abstractNumId w:val="8"/>
  </w:num>
  <w:num w:numId="20">
    <w:abstractNumId w:val="24"/>
  </w:num>
  <w:num w:numId="21">
    <w:abstractNumId w:val="20"/>
  </w:num>
  <w:num w:numId="22">
    <w:abstractNumId w:val="25"/>
  </w:num>
  <w:num w:numId="23">
    <w:abstractNumId w:val="5"/>
  </w:num>
  <w:num w:numId="24">
    <w:abstractNumId w:val="13"/>
  </w:num>
  <w:num w:numId="25">
    <w:abstractNumId w:val="7"/>
  </w:num>
  <w:num w:numId="26">
    <w:abstractNumId w:val="17"/>
  </w:num>
  <w:num w:numId="27">
    <w:abstractNumId w:val="16"/>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152"/>
      <w:ind w:left="421"/>
      <w:outlineLvl w:val="0"/>
    </w:pPr>
    <w:rPr>
      <w:rFonts w:ascii="Microsoft JhengHei" w:eastAsia="Microsoft JhengHei" w:hAnsi="Microsoft JhengHei" w:cs="Microsoft JhengHei"/>
      <w:b/>
      <w:bCs/>
      <w:sz w:val="32"/>
      <w:szCs w:val="32"/>
      <w:lang w:val="en-US" w:eastAsia="zh-CN" w:bidi="ar-SA"/>
    </w:rPr>
  </w:style>
  <w:style w:type="paragraph" w:styleId="Heading2">
    <w:name w:val="heading 2"/>
    <w:basedOn w:val="Normal"/>
    <w:uiPriority w:val="1"/>
    <w:qFormat/>
    <w:pPr>
      <w:spacing w:line="439" w:lineRule="exact"/>
      <w:ind w:left="421"/>
      <w:outlineLvl w:val="1"/>
    </w:pPr>
    <w:rPr>
      <w:rFonts w:ascii="Yu Gothic" w:eastAsia="Yu Gothic" w:hAnsi="Yu Gothic" w:cs="Yu Gothic"/>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60"/>
      <w:ind w:left="841"/>
    </w:pPr>
    <w:rPr>
      <w:rFonts w:ascii="宋体" w:eastAsia="宋体" w:hAnsi="宋体" w:cs="宋体"/>
      <w:sz w:val="24"/>
      <w:szCs w:val="24"/>
      <w:lang w:val="en-US" w:eastAsia="zh-CN" w:bidi="ar-SA"/>
    </w:rPr>
  </w:style>
  <w:style w:type="paragraph" w:styleId="TOC2">
    <w:name w:val="toc 2"/>
    <w:basedOn w:val="Normal"/>
    <w:uiPriority w:val="1"/>
    <w:qFormat/>
    <w:pPr>
      <w:spacing w:before="161"/>
      <w:ind w:left="1261"/>
    </w:pPr>
    <w:rPr>
      <w:rFonts w:ascii="宋体" w:eastAsia="宋体" w:hAnsi="宋体" w:cs="宋体"/>
      <w:sz w:val="24"/>
      <w:szCs w:val="24"/>
      <w:lang w:val="en-US" w:eastAsia="zh-CN" w:bidi="ar-SA"/>
    </w:rPr>
  </w:style>
  <w:style w:type="paragraph" w:styleId="BodyText">
    <w:name w:val="Body Text"/>
    <w:basedOn w:val="Normal"/>
    <w:uiPriority w:val="1"/>
    <w:qFormat/>
    <w:rPr>
      <w:rFonts w:ascii="宋体" w:eastAsia="宋体" w:hAnsi="宋体" w:cs="宋体"/>
      <w:sz w:val="24"/>
      <w:szCs w:val="24"/>
      <w:lang w:val="en-US" w:eastAsia="zh-CN" w:bidi="ar-SA"/>
    </w:rPr>
  </w:style>
  <w:style w:type="paragraph" w:styleId="Title">
    <w:name w:val="Title"/>
    <w:basedOn w:val="Normal"/>
    <w:uiPriority w:val="1"/>
    <w:qFormat/>
    <w:pPr>
      <w:spacing w:before="38"/>
      <w:ind w:left="396" w:right="276"/>
      <w:jc w:val="center"/>
    </w:pPr>
    <w:rPr>
      <w:rFonts w:ascii="Microsoft JhengHei" w:eastAsia="Microsoft JhengHei" w:hAnsi="Microsoft JhengHei" w:cs="Microsoft JhengHei"/>
      <w:b/>
      <w:bCs/>
      <w:sz w:val="44"/>
      <w:szCs w:val="44"/>
      <w:lang w:val="en-US" w:eastAsia="zh-CN" w:bidi="ar-SA"/>
    </w:rPr>
  </w:style>
  <w:style w:type="paragraph" w:styleId="ListParagraph">
    <w:name w:val="List Paragraph"/>
    <w:basedOn w:val="Normal"/>
    <w:uiPriority w:val="1"/>
    <w:qFormat/>
    <w:pPr>
      <w:spacing w:before="1"/>
      <w:ind w:left="421" w:hanging="601"/>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yperlink" Target="https://d.book118.com/636211144124010054" TargetMode="External" /><Relationship Id="rId39" Type="http://schemas.openxmlformats.org/officeDocument/2006/relationships/header" Target="header18.xml" /><Relationship Id="rId4" Type="http://schemas.openxmlformats.org/officeDocument/2006/relationships/header" Target="header1.xml" /><Relationship Id="rId40" Type="http://schemas.openxmlformats.org/officeDocument/2006/relationships/footer" Target="footer18.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_rels/header18.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2024-03-01T13:47:57Z</dcterms:created>
  <dcterms:modified xsi:type="dcterms:W3CDTF">2024-03-01T13:47:57Z</dcterms:modified>
</cp:coreProperties>
</file>