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hint="eastAsia"/>
        </w:rPr>
      </w:pPr>
    </w:p>
    <w:p>
      <w:pPr>
        <w:spacing w:line="360" w:lineRule="auto"/>
        <w:jc w:val="center"/>
      </w:pPr>
      <w:r>
        <w:rPr>
          <w:rFonts w:ascii="黑体" w:eastAsia="黑体" w:hAnsi="黑体" w:cs="黑体" w:hint="eastAsia"/>
          <w:b/>
          <w:bCs/>
          <w:color w:val="000000"/>
          <w:sz w:val="28"/>
        </w:rPr>
        <w:t>2012年江苏省淮安市中考生物试卷</w:t>
      </w:r>
    </w:p>
    <w:tbl>
      <w:tblPr>
        <w:tblStyle w:val="TableNormal"/>
        <w:tblW w:w="1006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0"/>
        <w:gridCol w:w="1125"/>
        <w:gridCol w:w="7890"/>
      </w:tblGrid>
      <w:tr>
        <w:tblPrEx>
          <w:tblW w:w="10065" w:type="dxa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/>
        </w:trPr>
        <w:tc>
          <w:tcPr>
            <w:tcW w:w="10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3"/>
                <w:sz w:val="24"/>
              </w:rPr>
              <w:t>阅卷人</w:t>
            </w:r>
          </w:p>
        </w:tc>
        <w:tc>
          <w:tcPr>
            <w:tcW w:w="112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宋体" w:hint="eastAsia"/>
              </w:rPr>
            </w:pPr>
          </w:p>
        </w:tc>
        <w:tc>
          <w:tcPr>
            <w:tcW w:w="7890" w:type="dxa"/>
            <w:vMerge w:val="restart"/>
            <w:tcBorders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left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2"/>
                <w:sz w:val="24"/>
                <w:szCs w:val="24"/>
                <w:lang w:eastAsia="zh-CN"/>
              </w:rPr>
              <w:t>一、选择题</w:t>
            </w:r>
          </w:p>
        </w:tc>
      </w:tr>
      <w:tr>
        <w:tblPrEx>
          <w:tblW w:w="10065" w:type="dxa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/>
        </w:trPr>
        <w:tc>
          <w:tcPr>
            <w:tcW w:w="10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3"/>
                <w:sz w:val="24"/>
              </w:rPr>
              <w:t>得分</w:t>
            </w:r>
          </w:p>
        </w:tc>
        <w:tc>
          <w:tcPr>
            <w:tcW w:w="112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Times New Roman" w:hint="default"/>
              </w:rPr>
            </w:pPr>
          </w:p>
        </w:tc>
        <w:tc>
          <w:tcPr>
            <w:tcW w:w="7890" w:type="dxa"/>
            <w:vMerge/>
            <w:tcBorders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宋体" w:hint="eastAsia"/>
              </w:rPr>
            </w:pPr>
          </w:p>
        </w:tc>
      </w:tr>
    </w:tbl>
    <w:p>
      <w:pPr>
        <w:spacing w:line="360" w:lineRule="auto"/>
        <w:ind w:left="0"/>
        <w:jc w:val="left"/>
      </w:pPr>
      <w:r>
        <w:t>1．</w:t>
      </w:r>
      <w:r>
        <w:rPr>
          <w:rFonts w:ascii="Times New Roman" w:hAnsi="Times New Roman"/>
          <w:b w:val="0"/>
          <w:i w:val="0"/>
          <w:color w:val="000000"/>
          <w:sz w:val="22"/>
        </w:rPr>
        <w:t>造成沙漠与热带雨林中的生物种类和数量差异的非生物因素主要是（　　）</w:t>
      </w:r>
    </w:p>
    <w:p>
      <w:pPr>
        <w:tabs>
          <w:tab w:val="left" w:pos="3511"/>
          <w:tab w:val="left" w:pos="6764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A．水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B．阳光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C．空气</w:t>
      </w:r>
    </w:p>
    <w:p>
      <w:pPr>
        <w:spacing w:line="360" w:lineRule="auto"/>
        <w:ind w:left="0"/>
        <w:jc w:val="left"/>
      </w:pPr>
      <w:r>
        <w:t>2．</w:t>
      </w:r>
      <w:r>
        <w:rPr>
          <w:rFonts w:ascii="Times New Roman" w:hAnsi="Times New Roman"/>
          <w:b w:val="0"/>
          <w:i w:val="0"/>
          <w:color w:val="000000"/>
          <w:sz w:val="22"/>
        </w:rPr>
        <w:t>用下列三组目镜和物镜组合的显微镜观察同一细胞，放大倍数最大的是（　　）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3657600" cy="94805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948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3511"/>
          <w:tab w:val="left" w:pos="6764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A．第</w:t>
      </w: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rPr>
          <w:rFonts w:ascii="Times New Roman" w:hAnsi="Times New Roman"/>
          <w:b w:val="0"/>
          <w:i w:val="0"/>
          <w:color w:val="000000"/>
          <w:sz w:val="22"/>
        </w:rPr>
        <w:t>组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B．第</w:t>
      </w:r>
      <w:r>
        <w:rPr>
          <w:rFonts w:ascii="Calibri" w:hAnsi="Calibri"/>
          <w:b w:val="0"/>
          <w:i w:val="0"/>
          <w:color w:val="000000"/>
          <w:sz w:val="22"/>
        </w:rPr>
        <w:t>②</w:t>
      </w:r>
      <w:r>
        <w:rPr>
          <w:rFonts w:ascii="Times New Roman" w:hAnsi="Times New Roman"/>
          <w:b w:val="0"/>
          <w:i w:val="0"/>
          <w:color w:val="000000"/>
          <w:sz w:val="22"/>
        </w:rPr>
        <w:t>组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C．第</w:t>
      </w:r>
      <w:r>
        <w:rPr>
          <w:rFonts w:ascii="Calibri" w:hAnsi="Calibri"/>
          <w:b w:val="0"/>
          <w:i w:val="0"/>
          <w:color w:val="000000"/>
          <w:sz w:val="22"/>
        </w:rPr>
        <w:t>③</w:t>
      </w:r>
      <w:r>
        <w:rPr>
          <w:rFonts w:ascii="Times New Roman" w:hAnsi="Times New Roman"/>
          <w:b w:val="0"/>
          <w:i w:val="0"/>
          <w:color w:val="000000"/>
          <w:sz w:val="22"/>
        </w:rPr>
        <w:t>组</w:t>
      </w:r>
    </w:p>
    <w:p>
      <w:pPr>
        <w:spacing w:line="360" w:lineRule="auto"/>
        <w:ind w:left="0"/>
        <w:jc w:val="left"/>
      </w:pPr>
      <w:r>
        <w:t>3．</w:t>
      </w:r>
      <w:r>
        <w:rPr>
          <w:rFonts w:ascii="Times New Roman" w:hAnsi="Times New Roman"/>
          <w:b w:val="0"/>
          <w:i w:val="0"/>
          <w:color w:val="000000"/>
          <w:sz w:val="22"/>
        </w:rPr>
        <w:t>在人体消化腺中，能分泌胆汁参与脂肪消化的是（　　）</w:t>
      </w:r>
    </w:p>
    <w:p>
      <w:pPr>
        <w:tabs>
          <w:tab w:val="left" w:pos="3511"/>
          <w:tab w:val="left" w:pos="6764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A．胃腺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B．肝脏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C．胰腺</w:t>
      </w:r>
    </w:p>
    <w:p>
      <w:pPr>
        <w:spacing w:line="360" w:lineRule="auto"/>
        <w:ind w:left="0"/>
        <w:jc w:val="left"/>
      </w:pPr>
      <w:r>
        <w:t>4．</w:t>
      </w:r>
      <w:r>
        <w:rPr>
          <w:rFonts w:ascii="Times New Roman" w:hAnsi="Times New Roman"/>
          <w:b w:val="0"/>
          <w:i w:val="0"/>
          <w:color w:val="000000"/>
          <w:sz w:val="22"/>
        </w:rPr>
        <w:t>植物无土栽培能够获得成功，主要是因为植物能从培养液里获得充足的（　　）</w:t>
      </w:r>
    </w:p>
    <w:p>
      <w:pPr>
        <w:tabs>
          <w:tab w:val="left" w:pos="3511"/>
          <w:tab w:val="left" w:pos="6764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A．水分、无机盐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B．氧气、无机盐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C．水分、氧气</w:t>
      </w:r>
    </w:p>
    <w:p>
      <w:pPr>
        <w:spacing w:line="360" w:lineRule="auto"/>
        <w:ind w:left="0"/>
        <w:jc w:val="left"/>
      </w:pPr>
      <w:r>
        <w:t>5．</w:t>
      </w:r>
      <w:r>
        <w:rPr>
          <w:rFonts w:ascii="Times New Roman" w:hAnsi="Times New Roman"/>
          <w:b w:val="0"/>
          <w:i w:val="0"/>
          <w:color w:val="000000"/>
          <w:sz w:val="22"/>
        </w:rPr>
        <w:t>一般情况下，动物细胞没有的结构是（　　）</w:t>
      </w:r>
    </w:p>
    <w:p>
      <w:pPr>
        <w:tabs>
          <w:tab w:val="left" w:pos="3511"/>
          <w:tab w:val="left" w:pos="6764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A．细胞质、细胞核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B．细胞膜、细胞质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C．细胞壁、叶绿体</w:t>
      </w:r>
    </w:p>
    <w:p>
      <w:pPr>
        <w:spacing w:line="360" w:lineRule="auto"/>
        <w:ind w:left="0"/>
        <w:jc w:val="left"/>
      </w:pPr>
      <w:r>
        <w:t>6．</w:t>
      </w:r>
      <w:r>
        <w:rPr>
          <w:rFonts w:ascii="Times New Roman" w:hAnsi="Times New Roman"/>
          <w:b w:val="0"/>
          <w:i w:val="0"/>
          <w:color w:val="000000"/>
          <w:sz w:val="22"/>
        </w:rPr>
        <w:t>图为细胞的某项生理活动过程，有关描述错误的是（　　）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3064510" cy="8636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64933" cy="86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A．该过程表示的是细胞分裂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B．该过程表示的是细胞分化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C．图中前后代细胞的染色体数目都相同</w:t>
      </w:r>
      <w:bookmarkStart w:id="0" w:name="_GoBack"/>
      <w:bookmarkEnd w:id="0"/>
    </w:p>
    <w:p>
      <w:pPr>
        <w:spacing w:line="360" w:lineRule="auto"/>
        <w:ind w:left="0"/>
        <w:jc w:val="left"/>
      </w:pPr>
      <w:r>
        <w:t>7．</w:t>
      </w:r>
      <w:r>
        <w:rPr>
          <w:rFonts w:ascii="Times New Roman" w:hAnsi="Times New Roman"/>
          <w:b w:val="0"/>
          <w:i w:val="0"/>
          <w:color w:val="000000"/>
          <w:sz w:val="22"/>
        </w:rPr>
        <w:t>下列植物类群中，具有真正根的是（　　）</w:t>
      </w:r>
    </w:p>
    <w:p>
      <w:pPr>
        <w:tabs>
          <w:tab w:val="left" w:pos="3511"/>
          <w:tab w:val="left" w:pos="6764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A．蕨类植物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B．苔藓植物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C．藻类植物</w:t>
      </w:r>
    </w:p>
    <w:p>
      <w:pPr>
        <w:spacing w:line="360" w:lineRule="auto"/>
        <w:ind w:left="0"/>
        <w:jc w:val="left"/>
      </w:pPr>
      <w:r>
        <w:t>8．</w:t>
      </w:r>
      <w:r>
        <w:rPr>
          <w:rFonts w:ascii="Times New Roman" w:hAnsi="Times New Roman"/>
          <w:b w:val="0"/>
          <w:i w:val="0"/>
          <w:color w:val="000000"/>
          <w:sz w:val="22"/>
        </w:rPr>
        <w:t>与酵母菌细胞相比，细菌细胞没有的结构是（　　）</w:t>
      </w:r>
    </w:p>
    <w:p>
      <w:pPr>
        <w:tabs>
          <w:tab w:val="left" w:pos="3511"/>
          <w:tab w:val="left" w:pos="6764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A．细胞壁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B．细胞膜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C．成形的细胞核</w:t>
      </w:r>
    </w:p>
    <w:p>
      <w:pPr>
        <w:spacing w:line="360" w:lineRule="auto"/>
        <w:ind w:left="0"/>
        <w:jc w:val="left"/>
      </w:pPr>
      <w:r>
        <w:t>9．</w:t>
      </w:r>
      <w:r>
        <w:rPr>
          <w:rFonts w:ascii="Times New Roman" w:hAnsi="Times New Roman"/>
          <w:b w:val="0"/>
          <w:i w:val="0"/>
          <w:color w:val="000000"/>
          <w:sz w:val="22"/>
        </w:rPr>
        <w:t>创立世界通用的生物命名法﹣﹣“双名法”的学者是（　　）</w:t>
      </w:r>
    </w:p>
    <w:p>
      <w:pPr>
        <w:tabs>
          <w:tab w:val="left" w:pos="3511"/>
          <w:tab w:val="left" w:pos="6764"/>
        </w:tabs>
        <w:spacing w:line="360" w:lineRule="auto"/>
        <w:ind w:firstLine="286" w:firstLineChars="130"/>
        <w:jc w:val="left"/>
        <w:textAlignment w:val="center"/>
        <w:sectPr>
          <w:headerReference w:type="default" r:id="rId6"/>
          <w:footerReference w:type="default" r:id="rId7"/>
          <w:pgSz w:w="11906" w:h="16838"/>
          <w:pgMar w:top="1134" w:right="707" w:bottom="937" w:left="1134" w:header="426" w:footer="515" w:gutter="0"/>
          <w:cols w:num="1" w:space="425"/>
          <w:docGrid w:type="lines" w:linePitch="312" w:charSpace="0"/>
        </w:sectPr>
      </w:pPr>
      <w:r>
        <w:rPr>
          <w:rFonts w:ascii="Times New Roman" w:hAnsi="Times New Roman"/>
          <w:b w:val="0"/>
          <w:i w:val="0"/>
          <w:color w:val="000000"/>
          <w:sz w:val="22"/>
        </w:rPr>
        <w:t>A．达尔文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B．林奈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C．孟德尔</w:t>
      </w:r>
    </w:p>
    <w:p>
      <w:pPr>
        <w:spacing w:line="360" w:lineRule="auto"/>
        <w:ind w:left="0"/>
        <w:jc w:val="left"/>
      </w:pPr>
      <w:r>
        <w:t>10．</w:t>
      </w:r>
      <w:r>
        <w:rPr>
          <w:rFonts w:ascii="Times New Roman" w:hAnsi="Times New Roman"/>
          <w:b w:val="0"/>
          <w:i w:val="0"/>
          <w:color w:val="000000"/>
          <w:sz w:val="22"/>
        </w:rPr>
        <w:t>在“探究鱼鳍与运动的关系”的实验设计中，正确的是（　　）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A．剪去鱼的胸鳍，并设置对照实验，观察尾鳍的作用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B．将鱼的胸鳍和腹鳍用纱布固定，并设置对照实验，观察尾鳍的作用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C．将鱼的尾鳍用塑料片和橡皮筋固定，并设置对照实验，观察尾鳍的作用</w:t>
      </w:r>
    </w:p>
    <w:p>
      <w:pPr>
        <w:spacing w:line="360" w:lineRule="auto"/>
        <w:ind w:left="0"/>
        <w:jc w:val="left"/>
      </w:pPr>
      <w:r>
        <w:t>11．</w:t>
      </w:r>
      <w:r>
        <w:rPr>
          <w:rFonts w:ascii="Times New Roman" w:hAnsi="Times New Roman"/>
          <w:b w:val="0"/>
          <w:i w:val="0"/>
          <w:color w:val="000000"/>
          <w:sz w:val="22"/>
        </w:rPr>
        <w:t>2011年的有关统计资料显示，我国青少年近视率已居世界第二位，部分地区初中生近视率达60%．下列有关近视眼的说法，正确的是（　　）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A．可以配戴凸透镜进行矫正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B．近视眼的晶状体凸度过大或眼球前后径过长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C．对于近视眼来说，物体形成的物像落在视网膜的后方</w:t>
      </w:r>
    </w:p>
    <w:p>
      <w:pPr>
        <w:spacing w:line="360" w:lineRule="auto"/>
        <w:ind w:left="0"/>
        <w:jc w:val="left"/>
      </w:pPr>
      <w:r>
        <w:t>12．</w:t>
      </w:r>
      <w:r>
        <w:rPr>
          <w:rFonts w:ascii="Times New Roman" w:hAnsi="Times New Roman"/>
          <w:b w:val="0"/>
          <w:i w:val="0"/>
          <w:color w:val="000000"/>
          <w:sz w:val="22"/>
        </w:rPr>
        <w:t>下列动物的行为中，属于先天性行为的是（　　）</w:t>
      </w:r>
    </w:p>
    <w:p>
      <w:pPr>
        <w:tabs>
          <w:tab w:val="left" w:pos="3511"/>
          <w:tab w:val="left" w:pos="6764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A．老马识途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B．鹦鹉学舌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C．母鸡育雏</w:t>
      </w:r>
    </w:p>
    <w:p>
      <w:pPr>
        <w:spacing w:line="360" w:lineRule="auto"/>
        <w:ind w:left="0"/>
        <w:jc w:val="left"/>
      </w:pPr>
      <w:r>
        <w:t>13．</w:t>
      </w:r>
      <w:r>
        <w:rPr>
          <w:rFonts w:ascii="Times New Roman" w:hAnsi="Times New Roman"/>
          <w:b w:val="0"/>
          <w:i w:val="0"/>
          <w:color w:val="000000"/>
          <w:sz w:val="22"/>
        </w:rPr>
        <w:t>关于生态系统自我调节能力的叙述，正确的是（　　）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A．部分生态系统的自我调节能力是无限的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B．生态系统的结构越简单，自我调节能力越弱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C．农田生态系统比草原生态系统的自我调节能力强</w:t>
      </w:r>
    </w:p>
    <w:p>
      <w:pPr>
        <w:spacing w:line="360" w:lineRule="auto"/>
        <w:ind w:left="0"/>
        <w:jc w:val="left"/>
      </w:pPr>
      <w:r>
        <w:t>14．</w:t>
      </w:r>
      <w:r>
        <w:rPr>
          <w:rFonts w:ascii="Times New Roman" w:hAnsi="Times New Roman"/>
          <w:b w:val="0"/>
          <w:i w:val="0"/>
          <w:color w:val="000000"/>
          <w:sz w:val="22"/>
        </w:rPr>
        <w:t>人的胎儿在母体内发育的场所是（　　）</w:t>
      </w:r>
    </w:p>
    <w:p>
      <w:pPr>
        <w:tabs>
          <w:tab w:val="left" w:pos="3511"/>
          <w:tab w:val="left" w:pos="6764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A．子宫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B．输卵管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C．卵巢</w:t>
      </w:r>
    </w:p>
    <w:p>
      <w:pPr>
        <w:spacing w:line="360" w:lineRule="auto"/>
        <w:ind w:left="0"/>
        <w:jc w:val="left"/>
      </w:pPr>
      <w:r>
        <w:t>15．</w:t>
      </w:r>
      <w:r>
        <w:rPr>
          <w:rFonts w:ascii="Times New Roman" w:hAnsi="Times New Roman"/>
          <w:b w:val="0"/>
          <w:i w:val="0"/>
          <w:color w:val="000000"/>
          <w:sz w:val="22"/>
        </w:rPr>
        <w:t>在玉米种子纵剖面上滴加碘液后，能被染成蓝色的结构是（　　）</w:t>
      </w:r>
    </w:p>
    <w:p>
      <w:pPr>
        <w:tabs>
          <w:tab w:val="left" w:pos="3511"/>
          <w:tab w:val="left" w:pos="6764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A．胚乳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B．胚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C．子叶</w:t>
      </w:r>
    </w:p>
    <w:p>
      <w:pPr>
        <w:spacing w:line="360" w:lineRule="auto"/>
        <w:ind w:left="0"/>
        <w:jc w:val="left"/>
      </w:pPr>
      <w:r>
        <w:t>16．</w:t>
      </w:r>
      <w:r>
        <w:rPr>
          <w:rFonts w:ascii="Times New Roman" w:hAnsi="Times New Roman"/>
          <w:b w:val="0"/>
          <w:i w:val="0"/>
          <w:color w:val="000000"/>
          <w:sz w:val="22"/>
        </w:rPr>
        <w:t>生命起源的化学进化理论认为，与现在的大气成分相比，原始大气中不含有（　　）</w:t>
      </w:r>
    </w:p>
    <w:p>
      <w:pPr>
        <w:tabs>
          <w:tab w:val="left" w:pos="3511"/>
          <w:tab w:val="left" w:pos="6764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A．水蒸气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B．氧气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C．甲烷</w:t>
      </w:r>
    </w:p>
    <w:p>
      <w:pPr>
        <w:spacing w:line="360" w:lineRule="auto"/>
        <w:ind w:left="0"/>
        <w:jc w:val="left"/>
      </w:pPr>
      <w:r>
        <w:t>17．</w:t>
      </w:r>
      <w:r>
        <w:rPr>
          <w:rFonts w:ascii="Times New Roman" w:hAnsi="Times New Roman"/>
          <w:b w:val="0"/>
          <w:i w:val="0"/>
          <w:color w:val="000000"/>
          <w:sz w:val="22"/>
        </w:rPr>
        <w:t>血细胞在人体生命活动中具有重要的生理作用，下面是人体血细胞形态模式图，具有运输氧和部分二氧化碳功能的血细胞是（　　）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2336800" cy="94805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36800" cy="948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3511"/>
          <w:tab w:val="left" w:pos="6764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</w:t>
      </w: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</w:t>
      </w:r>
      <w:r>
        <w:rPr>
          <w:rFonts w:ascii="Calibri" w:hAnsi="Calibri"/>
          <w:b w:val="0"/>
          <w:i w:val="0"/>
          <w:color w:val="000000"/>
          <w:sz w:val="22"/>
        </w:rPr>
        <w:t>②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</w:t>
      </w:r>
      <w:r>
        <w:rPr>
          <w:rFonts w:ascii="Calibri" w:hAnsi="Calibri"/>
          <w:b w:val="0"/>
          <w:i w:val="0"/>
          <w:color w:val="000000"/>
          <w:sz w:val="22"/>
        </w:rPr>
        <w:t>③</w:t>
      </w:r>
    </w:p>
    <w:p>
      <w:pPr>
        <w:spacing w:line="360" w:lineRule="auto"/>
        <w:ind w:left="0"/>
        <w:jc w:val="left"/>
        <w:textAlignment w:val="center"/>
        <w:sectPr>
          <w:headerReference w:type="default" r:id="rId9"/>
          <w:footerReference w:type="default" r:id="rId10"/>
          <w:type w:val="nextPage"/>
          <w:pgSz w:w="11906" w:h="16838"/>
          <w:pgMar w:top="1134" w:right="707" w:bottom="937" w:left="1134" w:header="426" w:footer="515" w:gutter="0"/>
          <w:pgNumType w:start="2"/>
          <w:cols w:num="1" w:space="425"/>
          <w:titlePg w:val="0"/>
          <w:docGrid w:type="lines" w:linePitch="312" w:charSpace="0"/>
        </w:sectPr>
      </w:pPr>
      <w:r>
        <w:t>18．</w:t>
      </w:r>
      <w:r>
        <w:rPr>
          <w:rFonts w:ascii="Times New Roman" w:hAnsi="Times New Roman"/>
          <w:b w:val="0"/>
          <w:i w:val="0"/>
          <w:color w:val="000000"/>
          <w:sz w:val="22"/>
        </w:rPr>
        <w:t>今年3月14日是第8个世界肾脏日，本次世界肾脏日提出了“捐献肾脏，延续生命”的口号．肾脏是人体排泄的重要器官，它的基本结构单位是肾单位．下面是人体肾单位结构模式图，如果图中</w:t>
      </w:r>
      <w:r>
        <w:rPr>
          <w:rFonts w:ascii="Calibri" w:hAnsi="Calibri"/>
          <w:b w:val="0"/>
          <w:i w:val="0"/>
          <w:color w:val="000000"/>
          <w:sz w:val="22"/>
        </w:rPr>
        <w:t>②</w:t>
      </w:r>
      <w:r>
        <w:rPr>
          <w:rFonts w:ascii="Times New Roman" w:hAnsi="Times New Roman"/>
          <w:b w:val="0"/>
          <w:i w:val="0"/>
          <w:color w:val="000000"/>
          <w:sz w:val="22"/>
        </w:rPr>
        <w:t>是吞噬细胞，则其参与构成的人体免疫防线是（　　）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2387600" cy="15240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876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3511"/>
          <w:tab w:val="left" w:pos="6764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A．第一道防线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B．第二道防线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C．第三道防线</w:t>
      </w:r>
    </w:p>
    <w:p>
      <w:pPr>
        <w:spacing w:line="360" w:lineRule="auto"/>
        <w:ind w:left="0"/>
        <w:jc w:val="left"/>
        <w:textAlignment w:val="center"/>
      </w:pPr>
      <w:r>
        <w:t>19．</w:t>
      </w:r>
      <w:r>
        <w:rPr>
          <w:rFonts w:ascii="Times New Roman" w:hAnsi="Times New Roman"/>
          <w:b w:val="0"/>
          <w:i w:val="0"/>
          <w:color w:val="000000"/>
          <w:sz w:val="22"/>
        </w:rPr>
        <w:t>今年3月14日是第8个世界肾脏日，本次世界肾脏日提出了“捐献肾脏，延续生命”的口号．肾脏是人体排泄的重要器官，它的基本结构单位是肾单位．下面是人体肾单位结构模式图，图中</w:t>
      </w:r>
      <w:r>
        <w:rPr>
          <w:rFonts w:ascii="Calibri" w:hAnsi="Calibri"/>
          <w:b w:val="0"/>
          <w:i w:val="0"/>
          <w:color w:val="000000"/>
          <w:sz w:val="22"/>
        </w:rPr>
        <w:t>③</w:t>
      </w:r>
      <w:r>
        <w:rPr>
          <w:rFonts w:ascii="Times New Roman" w:hAnsi="Times New Roman"/>
          <w:b w:val="0"/>
          <w:i w:val="0"/>
          <w:color w:val="000000"/>
          <w:sz w:val="22"/>
        </w:rPr>
        <w:t>所示的结构是（　　）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2387600" cy="152400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876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3511"/>
          <w:tab w:val="left" w:pos="6764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A．肾小球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B．肾小囊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C．肾小体</w:t>
      </w:r>
    </w:p>
    <w:p>
      <w:pPr>
        <w:spacing w:line="360" w:lineRule="auto"/>
        <w:ind w:left="0"/>
        <w:jc w:val="left"/>
      </w:pPr>
      <w:r>
        <w:t>20．</w:t>
      </w:r>
      <w:r>
        <w:rPr>
          <w:rFonts w:ascii="Times New Roman" w:hAnsi="Times New Roman"/>
          <w:b w:val="0"/>
          <w:i w:val="0"/>
          <w:color w:val="000000"/>
          <w:sz w:val="22"/>
        </w:rPr>
        <w:t>今年3月14日是第8个世界肾脏日，本次世界肾脏日提出了“捐献肾脏，延续生命”的口号．肾脏是人体排泄的重要器官，它的基本结构单位是肾单位．下面是人体肾单位结构模式图，尿液的形成主要包括滤过和重吸收两个过程，其中重吸收作用发生在（　　）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2387600" cy="152400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876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3511"/>
          <w:tab w:val="left" w:pos="6764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</w:t>
      </w: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</w:t>
      </w:r>
      <w:r>
        <w:rPr>
          <w:rFonts w:ascii="Calibri" w:hAnsi="Calibri"/>
          <w:b w:val="0"/>
          <w:i w:val="0"/>
          <w:color w:val="000000"/>
          <w:sz w:val="22"/>
        </w:rPr>
        <w:t>④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</w:t>
      </w:r>
      <w:r>
        <w:rPr>
          <w:rFonts w:ascii="Calibri" w:hAnsi="Calibri"/>
          <w:b w:val="0"/>
          <w:i w:val="0"/>
          <w:color w:val="000000"/>
          <w:sz w:val="22"/>
        </w:rPr>
        <w:t>⑤</w:t>
      </w:r>
    </w:p>
    <w:p>
      <w:pPr>
        <w:spacing w:line="360" w:lineRule="auto"/>
        <w:ind w:left="0"/>
        <w:jc w:val="left"/>
      </w:pPr>
      <w:r>
        <w:t>21．</w:t>
      </w:r>
      <w:r>
        <w:rPr>
          <w:rFonts w:ascii="Times New Roman" w:hAnsi="Times New Roman"/>
          <w:b w:val="0"/>
          <w:i w:val="0"/>
          <w:color w:val="000000"/>
          <w:sz w:val="22"/>
        </w:rPr>
        <w:t>下列物质中，能直接提供生物体生命活动能量的是（　　）</w:t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A．脂肪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B．蛋白质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C．ATP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D．糖类</w:t>
      </w:r>
    </w:p>
    <w:p>
      <w:pPr>
        <w:spacing w:line="360" w:lineRule="auto"/>
        <w:ind w:left="0"/>
        <w:jc w:val="left"/>
      </w:pPr>
      <w:r>
        <w:t>22．</w:t>
      </w:r>
      <w:r>
        <w:rPr>
          <w:rFonts w:ascii="Times New Roman" w:hAnsi="Times New Roman"/>
          <w:b w:val="0"/>
          <w:i w:val="0"/>
          <w:color w:val="000000"/>
          <w:sz w:val="22"/>
        </w:rPr>
        <w:t>在人体呼吸系统中，进行气体交换的主要器官是（　　）</w:t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A．鼻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B．气管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C．支气管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D．肺</w:t>
      </w:r>
    </w:p>
    <w:p>
      <w:pPr>
        <w:spacing w:line="360" w:lineRule="auto"/>
        <w:ind w:left="0"/>
        <w:jc w:val="left"/>
      </w:pPr>
      <w:r>
        <w:t>23．</w:t>
      </w:r>
      <w:r>
        <w:rPr>
          <w:rFonts w:ascii="Times New Roman" w:hAnsi="Times New Roman"/>
          <w:b w:val="0"/>
          <w:i w:val="0"/>
          <w:color w:val="000000"/>
          <w:sz w:val="22"/>
        </w:rPr>
        <w:t>在人体心脏中，血液的流动方向是（　　）</w:t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  <w:sectPr>
          <w:headerReference w:type="default" r:id="rId12"/>
          <w:footerReference w:type="default" r:id="rId13"/>
          <w:type w:val="nextPage"/>
          <w:pgSz w:w="11906" w:h="16838"/>
          <w:pgMar w:top="1134" w:right="707" w:bottom="937" w:left="1134" w:header="426" w:footer="515" w:gutter="0"/>
          <w:pgNumType w:start="3"/>
          <w:cols w:num="1" w:space="425"/>
          <w:titlePg w:val="0"/>
          <w:docGrid w:type="lines" w:linePitch="312" w:charSpace="0"/>
        </w:sectPr>
      </w:pPr>
      <w:r>
        <w:rPr>
          <w:rFonts w:ascii="Times New Roman" w:hAnsi="Times New Roman"/>
          <w:b w:val="0"/>
          <w:i w:val="0"/>
          <w:color w:val="000000"/>
          <w:sz w:val="22"/>
        </w:rPr>
        <w:t>A．心房→心室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B．心室→心室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C．心室→心房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D．心房→心房</w:t>
      </w:r>
    </w:p>
    <w:p>
      <w:pPr>
        <w:spacing w:line="360" w:lineRule="auto"/>
        <w:ind w:left="0"/>
        <w:jc w:val="left"/>
      </w:pPr>
      <w:r>
        <w:t>24．</w:t>
      </w:r>
      <w:r>
        <w:rPr>
          <w:rFonts w:ascii="Times New Roman" w:hAnsi="Times New Roman"/>
          <w:b w:val="0"/>
          <w:i w:val="0"/>
          <w:color w:val="000000"/>
          <w:sz w:val="22"/>
        </w:rPr>
        <w:t>制作人的口腔上皮细胞临时装片时，盖盖玻片的正确方法是（　　）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</w:t>
      </w:r>
      <w:r>
        <w:drawing>
          <wp:inline distT="0" distB="0" distL="0" distR="0">
            <wp:extent cx="1489710" cy="440055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490133" cy="440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i w:val="0"/>
          <w:color w:val="000000"/>
          <w:sz w:val="22"/>
        </w:rPr>
        <w:t>缓慢地放下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B．</w:t>
      </w:r>
      <w:r>
        <w:drawing>
          <wp:inline distT="0" distB="0" distL="0" distR="0">
            <wp:extent cx="1422400" cy="42291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422400" cy="42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i w:val="0"/>
          <w:color w:val="000000"/>
          <w:sz w:val="22"/>
        </w:rPr>
        <w:t>迅速地放下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</w:t>
      </w:r>
      <w:r>
        <w:drawing>
          <wp:inline distT="0" distB="0" distL="0" distR="0">
            <wp:extent cx="1134110" cy="49085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134533" cy="491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i w:val="0"/>
          <w:color w:val="000000"/>
          <w:sz w:val="22"/>
        </w:rPr>
        <w:t>缓慢地放平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D．</w:t>
      </w:r>
      <w:r>
        <w:drawing>
          <wp:inline distT="0" distB="0" distL="0" distR="0">
            <wp:extent cx="1235710" cy="52451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236133" cy="52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i w:val="0"/>
          <w:color w:val="000000"/>
          <w:sz w:val="22"/>
        </w:rPr>
        <w:t>迅速地放平</w:t>
      </w:r>
    </w:p>
    <w:p>
      <w:pPr>
        <w:spacing w:line="360" w:lineRule="auto"/>
        <w:ind w:left="0"/>
        <w:jc w:val="left"/>
      </w:pPr>
      <w:r>
        <w:t>25．</w:t>
      </w:r>
      <w:r>
        <w:rPr>
          <w:rFonts w:ascii="Times New Roman" w:hAnsi="Times New Roman"/>
          <w:b w:val="0"/>
          <w:i w:val="0"/>
          <w:color w:val="000000"/>
          <w:sz w:val="22"/>
        </w:rPr>
        <w:t>关于家鸽适于空中飞翔特征的描述，错误的是（　　）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A．胸肌发达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B．骨骼重而坚固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C．气囊辅助呼吸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D．身体呈流线型</w:t>
      </w:r>
    </w:p>
    <w:p>
      <w:pPr>
        <w:spacing w:line="360" w:lineRule="auto"/>
        <w:ind w:left="0"/>
        <w:jc w:val="left"/>
      </w:pPr>
      <w:r>
        <w:t>26．</w:t>
      </w:r>
      <w:r>
        <w:rPr>
          <w:rFonts w:ascii="Times New Roman" w:hAnsi="Times New Roman"/>
          <w:b w:val="0"/>
          <w:i w:val="0"/>
          <w:color w:val="000000"/>
          <w:sz w:val="22"/>
        </w:rPr>
        <w:t>人体运动系统的组成是（　　）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A．骨骼、骨骼肌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B．骨、骨骼肌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C．骨骼、骨连结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D．骨、骨连结和骨骼肌</w:t>
      </w:r>
    </w:p>
    <w:p>
      <w:pPr>
        <w:spacing w:line="360" w:lineRule="auto"/>
        <w:ind w:left="0"/>
        <w:jc w:val="left"/>
      </w:pPr>
      <w:r>
        <w:t>27．</w:t>
      </w:r>
      <w:r>
        <w:rPr>
          <w:rFonts w:ascii="Times New Roman" w:hAnsi="Times New Roman"/>
          <w:b w:val="0"/>
          <w:i w:val="0"/>
          <w:color w:val="000000"/>
          <w:sz w:val="22"/>
        </w:rPr>
        <w:t>某校生物课外兴趣小组进行人工孵化蛙卵的实验，实验记录如下表所示（容器大小、孵化时间等均相同）：</w:t>
      </w:r>
    </w:p>
    <w:tbl>
      <w:tblPr>
        <w:tblStyle w:val="TableNormal"/>
        <w:tblW w:w="0" w:type="auto"/>
        <w:tblInd w:w="380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  <w:insideH w:val="none" w:sz="0" w:space="0" w:color="auto"/>
          <w:insideV w:val="none" w:sz="0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4"/>
        <w:gridCol w:w="1048"/>
        <w:gridCol w:w="1509"/>
        <w:gridCol w:w="1543"/>
        <w:gridCol w:w="1781"/>
        <w:gridCol w:w="2265"/>
      </w:tblGrid>
      <w:tr>
        <w:tblPrEx>
          <w:tblW w:w="0" w:type="auto"/>
          <w:tblInd w:w="380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组别</w:t>
            </w:r>
          </w:p>
        </w:tc>
        <w:tc>
          <w:tcPr>
            <w:tcW w:w="104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水源</w:t>
            </w:r>
          </w:p>
        </w:tc>
        <w:tc>
          <w:tcPr>
            <w:tcW w:w="15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水量（mL）</w:t>
            </w:r>
          </w:p>
        </w:tc>
        <w:tc>
          <w:tcPr>
            <w:tcW w:w="15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水温（℃）</w:t>
            </w:r>
          </w:p>
        </w:tc>
        <w:tc>
          <w:tcPr>
            <w:tcW w:w="178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蛙卵数（个）</w:t>
            </w:r>
          </w:p>
        </w:tc>
        <w:tc>
          <w:tcPr>
            <w:tcW w:w="22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孵出蝌蚪数（个）</w:t>
            </w:r>
          </w:p>
        </w:tc>
      </w:tr>
      <w:tr>
        <w:tblPrEx>
          <w:tblW w:w="0" w:type="auto"/>
          <w:tblInd w:w="38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Calibri" w:hAnsi="Calibri"/>
                <w:b w:val="0"/>
                <w:i w:val="0"/>
                <w:color w:val="000000"/>
                <w:sz w:val="22"/>
              </w:rPr>
              <w:t>①</w:t>
            </w:r>
          </w:p>
        </w:tc>
        <w:tc>
          <w:tcPr>
            <w:tcW w:w="104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池塘水</w:t>
            </w:r>
          </w:p>
        </w:tc>
        <w:tc>
          <w:tcPr>
            <w:tcW w:w="15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500</w:t>
            </w:r>
          </w:p>
        </w:tc>
        <w:tc>
          <w:tcPr>
            <w:tcW w:w="15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24</w:t>
            </w:r>
          </w:p>
        </w:tc>
        <w:tc>
          <w:tcPr>
            <w:tcW w:w="178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250</w:t>
            </w:r>
          </w:p>
        </w:tc>
        <w:tc>
          <w:tcPr>
            <w:tcW w:w="22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245</w:t>
            </w:r>
          </w:p>
        </w:tc>
      </w:tr>
      <w:tr>
        <w:tblPrEx>
          <w:tblW w:w="0" w:type="auto"/>
          <w:tblInd w:w="38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Calibri" w:hAnsi="Calibri"/>
                <w:b w:val="0"/>
                <w:i w:val="0"/>
                <w:color w:val="000000"/>
                <w:sz w:val="22"/>
              </w:rPr>
              <w:t>②</w:t>
            </w:r>
          </w:p>
        </w:tc>
        <w:tc>
          <w:tcPr>
            <w:tcW w:w="104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池塘水</w:t>
            </w:r>
          </w:p>
        </w:tc>
        <w:tc>
          <w:tcPr>
            <w:tcW w:w="15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500</w:t>
            </w:r>
          </w:p>
        </w:tc>
        <w:tc>
          <w:tcPr>
            <w:tcW w:w="15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13</w:t>
            </w:r>
          </w:p>
        </w:tc>
        <w:tc>
          <w:tcPr>
            <w:tcW w:w="178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250</w:t>
            </w:r>
          </w:p>
        </w:tc>
        <w:tc>
          <w:tcPr>
            <w:tcW w:w="22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165</w:t>
            </w:r>
          </w:p>
        </w:tc>
      </w:tr>
    </w:tbl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根据上表推断，该实验的实验变量是（　　）</w:t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A．水质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B．水量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C．水温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D．蛙卵数</w:t>
      </w:r>
    </w:p>
    <w:p>
      <w:pPr>
        <w:spacing w:line="360" w:lineRule="auto"/>
        <w:ind w:left="0"/>
        <w:jc w:val="left"/>
      </w:pPr>
      <w:r>
        <w:t>28．</w:t>
      </w:r>
      <w:r>
        <w:rPr>
          <w:rFonts w:ascii="Times New Roman" w:hAnsi="Times New Roman"/>
          <w:b w:val="0"/>
          <w:i w:val="0"/>
          <w:color w:val="000000"/>
          <w:sz w:val="22"/>
        </w:rPr>
        <w:t>下列有关膝跳反射实验的叙述，正确的是（　　）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A．受测同学必须有意识地控制自己小腿的反应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B．用手掌或小锤轻敲的膝盖下方的部位是效应器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C．参与膝跳反射的神经结构，即使缺少某一环节，反射仍能进行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D．膝跳反射弧包括感受器、传入神经、神经中枢、传出神经、效应器</w:t>
      </w:r>
    </w:p>
    <w:p>
      <w:pPr>
        <w:spacing w:line="360" w:lineRule="auto"/>
        <w:ind w:left="0"/>
        <w:jc w:val="left"/>
      </w:pPr>
      <w:r>
        <w:t>29．</w:t>
      </w:r>
      <w:r>
        <w:rPr>
          <w:rFonts w:ascii="Times New Roman" w:hAnsi="Times New Roman"/>
          <w:b w:val="0"/>
          <w:i w:val="0"/>
          <w:color w:val="000000"/>
          <w:sz w:val="22"/>
        </w:rPr>
        <w:t>有关资料表明，每年都有1～2万个物种从地球上消失，保护生物多样性已刻不容缓．下列不属于保护生物多样性的做法是（　　）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A．完善相关法规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B．迁地保护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  <w:sectPr>
          <w:headerReference w:type="default" r:id="rId18"/>
          <w:footerReference w:type="default" r:id="rId19"/>
          <w:type w:val="nextPage"/>
          <w:pgSz w:w="11906" w:h="16838"/>
          <w:pgMar w:top="1134" w:right="707" w:bottom="937" w:left="1134" w:header="426" w:footer="515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Times New Roman" w:hAnsi="Times New Roman"/>
          <w:b w:val="0"/>
          <w:i w:val="0"/>
          <w:color w:val="000000"/>
          <w:sz w:val="22"/>
        </w:rPr>
        <w:t>C．建设自然保护区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D．引进外来物种</w:t>
      </w:r>
    </w:p>
    <w:p>
      <w:pPr>
        <w:spacing w:line="360" w:lineRule="auto"/>
        <w:ind w:left="0"/>
        <w:jc w:val="left"/>
      </w:pPr>
      <w:r>
        <w:t>30．</w:t>
      </w:r>
      <w:r>
        <w:rPr>
          <w:rFonts w:ascii="Times New Roman" w:hAnsi="Times New Roman"/>
          <w:b w:val="0"/>
          <w:i w:val="0"/>
          <w:color w:val="000000"/>
          <w:sz w:val="22"/>
        </w:rPr>
        <w:t>下列属于不可遗传变异的是（　　）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A．孪生兄弟因生活环境的不同，肤色出现明显的差异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B．经太空搭载后选育的番茄比普通番茄个大、口感好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C．转基因超级小鼠比正常小鼠长得快、体积大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D．普通羊群中出现短腿安康羊</w:t>
      </w:r>
    </w:p>
    <w:p>
      <w:pPr>
        <w:spacing w:line="360" w:lineRule="auto"/>
        <w:ind w:left="0"/>
        <w:jc w:val="left"/>
        <w:textAlignment w:val="center"/>
      </w:pPr>
      <w:r>
        <w:t>31．</w:t>
      </w:r>
      <w:r>
        <w:rPr>
          <w:rFonts w:ascii="Times New Roman" w:hAnsi="Times New Roman"/>
          <w:b w:val="0"/>
          <w:i w:val="0"/>
          <w:color w:val="000000"/>
          <w:sz w:val="22"/>
        </w:rPr>
        <w:t>豌豆的高茎和矮茎是一对相对性状，高茎是显性，由高茎基因T控制，矮茎是隐性，由矮茎基因t控制．分析下列图解，亲代中</w:t>
      </w: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rPr>
          <w:rFonts w:ascii="Times New Roman" w:hAnsi="Times New Roman"/>
          <w:b w:val="0"/>
          <w:i w:val="0"/>
          <w:color w:val="000000"/>
          <w:sz w:val="22"/>
        </w:rPr>
        <w:t>的基因组成是（　　）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3267710" cy="1354455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268133" cy="1354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A．TT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B．Tt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C．tt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D．TT或Tt</w:t>
      </w:r>
    </w:p>
    <w:p>
      <w:pPr>
        <w:spacing w:line="360" w:lineRule="auto"/>
        <w:ind w:left="0"/>
        <w:jc w:val="left"/>
      </w:pPr>
      <w:r>
        <w:t>32．</w:t>
      </w:r>
      <w:r>
        <w:rPr>
          <w:rFonts w:ascii="Times New Roman" w:hAnsi="Times New Roman"/>
          <w:b w:val="0"/>
          <w:i w:val="0"/>
          <w:color w:val="000000"/>
          <w:sz w:val="22"/>
        </w:rPr>
        <w:t>豌豆的高茎和矮茎是一对相对性状，高茎是显性，由高茎基因T控制，矮茎是隐性，由矮茎基因t控制．分析下列图解，子代中为高茎的可能性是（　　）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3267710" cy="135445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268133" cy="1354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A．25%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B．50%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C．75%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D．100%</w:t>
      </w:r>
    </w:p>
    <w:p>
      <w:pPr>
        <w:spacing w:line="360" w:lineRule="auto"/>
        <w:ind w:left="0"/>
        <w:jc w:val="left"/>
      </w:pPr>
      <w:r>
        <w:t>33．</w:t>
      </w:r>
      <w:r>
        <w:rPr>
          <w:rFonts w:ascii="Times New Roman" w:hAnsi="Times New Roman"/>
          <w:b w:val="0"/>
          <w:i w:val="0"/>
          <w:color w:val="000000"/>
          <w:sz w:val="22"/>
        </w:rPr>
        <w:t>下列各项不属于健康生活习惯的是（　　）</w:t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A．熬夜学习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B．合理膳食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C．合理用药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D．适度运动</w:t>
      </w:r>
    </w:p>
    <w:p>
      <w:pPr>
        <w:spacing w:line="360" w:lineRule="auto"/>
        <w:ind w:left="0"/>
        <w:jc w:val="left"/>
      </w:pPr>
      <w:r>
        <w:t>34．</w:t>
      </w:r>
      <w:r>
        <w:rPr>
          <w:rFonts w:ascii="Times New Roman" w:hAnsi="Times New Roman"/>
          <w:b w:val="0"/>
          <w:i w:val="0"/>
          <w:color w:val="000000"/>
          <w:sz w:val="22"/>
        </w:rPr>
        <w:t>健康是人生最宝贵的财富之一．青少年处于身体发育和学习知识的最佳阶段，只有养成良好的生活习惯，才能拥有健康．世界卫生组织把每年的5月31日定为世界无烟日，吸烟的危害不包括（　　）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A．诱发癌症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B．传播艾滋病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C．引发咳嗽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D．导致支气管炎</w:t>
      </w:r>
    </w:p>
    <w:p>
      <w:pPr>
        <w:spacing w:line="360" w:lineRule="auto"/>
        <w:ind w:left="0"/>
        <w:jc w:val="left"/>
        <w:sectPr>
          <w:headerReference w:type="default" r:id="rId21"/>
          <w:footerReference w:type="default" r:id="rId22"/>
          <w:type w:val="nextPage"/>
          <w:pgSz w:w="11906" w:h="16838"/>
          <w:pgMar w:top="1134" w:right="707" w:bottom="937" w:left="1134" w:header="426" w:footer="515" w:gutter="0"/>
          <w:pgNumType w:start="5"/>
          <w:cols w:num="1" w:space="425"/>
          <w:titlePg w:val="0"/>
          <w:docGrid w:type="lines" w:linePitch="312" w:charSpace="0"/>
        </w:sectPr>
      </w:pPr>
      <w:r>
        <w:t>35．</w:t>
      </w:r>
      <w:r>
        <w:rPr>
          <w:rFonts w:ascii="Times New Roman" w:hAnsi="Times New Roman"/>
          <w:b w:val="0"/>
          <w:i w:val="0"/>
          <w:color w:val="000000"/>
          <w:sz w:val="22"/>
        </w:rPr>
        <w:t>2012年“六•五”世界环境日中国主题为“绿色消费，你行动了吗？”旨在强调绿色消费理念，节约资源能源，保护生态环境．草原是生态环境的重要组成部分，某草原生态系统食物网如图所示，该食物网中，属于植食性动物的是（　　）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2472055" cy="177800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472267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A．鼠、狐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B．兔、鹰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C．狐、鹰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D．鼠、兔</w:t>
      </w:r>
    </w:p>
    <w:p>
      <w:pPr>
        <w:spacing w:line="360" w:lineRule="auto"/>
        <w:ind w:left="0"/>
        <w:jc w:val="left"/>
      </w:pPr>
      <w:r>
        <w:t>36．</w:t>
      </w:r>
      <w:r>
        <w:rPr>
          <w:rFonts w:ascii="Times New Roman" w:hAnsi="Times New Roman"/>
          <w:b w:val="0"/>
          <w:i w:val="0"/>
          <w:color w:val="000000"/>
          <w:sz w:val="22"/>
        </w:rPr>
        <w:t>2012年“六•五”世界环境日中国主题为“绿色消费，你行动了吗？”旨在强调绿色消费理念，节约资源能源，保护生态环境．草原是生态环境的重要组成部分，某草原生态系统食物网如图所示，下列能正确表示该生态系统中一条食物链的是（　　）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2472055" cy="177800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472267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A．草→兔→鹰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B．鼠→蛇→鹰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C．光→草→鼠→狐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D．鹰→鼠→草</w:t>
      </w:r>
    </w:p>
    <w:p>
      <w:pPr>
        <w:spacing w:line="360" w:lineRule="auto"/>
        <w:ind w:left="0"/>
        <w:jc w:val="left"/>
      </w:pPr>
      <w:r>
        <w:t>37．</w:t>
      </w:r>
      <w:r>
        <w:rPr>
          <w:rFonts w:ascii="Times New Roman" w:hAnsi="Times New Roman"/>
          <w:b w:val="0"/>
          <w:i w:val="0"/>
          <w:color w:val="000000"/>
          <w:sz w:val="22"/>
        </w:rPr>
        <w:t>“人间四月芳菲尽，山寺桃花始盛开”，自古以来，桃花就深受人们的喜爱．下面是桃花结构示意图，在绿色开花植物体的结构层次中，桃树的花属于（　　）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2404110" cy="154051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404533" cy="1540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A．细胞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B．组织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C．器官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D．植物体</w:t>
      </w:r>
    </w:p>
    <w:p>
      <w:pPr>
        <w:spacing w:line="360" w:lineRule="auto"/>
        <w:ind w:left="0"/>
        <w:jc w:val="left"/>
        <w:textAlignment w:val="center"/>
        <w:sectPr>
          <w:headerReference w:type="default" r:id="rId25"/>
          <w:footerReference w:type="default" r:id="rId26"/>
          <w:type w:val="nextPage"/>
          <w:pgSz w:w="11906" w:h="16838"/>
          <w:pgMar w:top="1134" w:right="707" w:bottom="937" w:left="1134" w:header="426" w:footer="515" w:gutter="0"/>
          <w:pgNumType w:start="6"/>
          <w:cols w:num="1" w:space="425"/>
          <w:titlePg w:val="0"/>
          <w:docGrid w:type="lines" w:linePitch="312" w:charSpace="0"/>
        </w:sectPr>
      </w:pPr>
      <w:r>
        <w:t>38．</w:t>
      </w:r>
      <w:r>
        <w:rPr>
          <w:rFonts w:ascii="Times New Roman" w:hAnsi="Times New Roman"/>
          <w:b w:val="0"/>
          <w:i w:val="0"/>
          <w:color w:val="000000"/>
          <w:sz w:val="22"/>
        </w:rPr>
        <w:t>“人间四月芳菲尽，山寺桃花始盛开”，自古以来，桃花就深受人们的喜爱．下面是桃花结构示意图，图中</w:t>
      </w:r>
      <w:r>
        <w:rPr>
          <w:rFonts w:ascii="Calibri" w:hAnsi="Calibri"/>
          <w:b w:val="0"/>
          <w:i w:val="0"/>
          <w:color w:val="000000"/>
          <w:sz w:val="22"/>
        </w:rPr>
        <w:t>①②③</w:t>
      </w:r>
      <w:r>
        <w:rPr>
          <w:rFonts w:ascii="Times New Roman" w:hAnsi="Times New Roman"/>
          <w:b w:val="0"/>
          <w:i w:val="0"/>
          <w:color w:val="000000"/>
          <w:sz w:val="22"/>
        </w:rPr>
        <w:t>共同组成的结构名称是（　　）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2404110" cy="154051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404533" cy="1540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A．雄蕊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B．雌蕊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C．胚珠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D．子房</w:t>
      </w:r>
    </w:p>
    <w:p>
      <w:pPr>
        <w:spacing w:line="360" w:lineRule="auto"/>
        <w:ind w:left="0"/>
        <w:jc w:val="left"/>
        <w:textAlignment w:val="center"/>
      </w:pPr>
      <w:r>
        <w:t>39．</w:t>
      </w:r>
      <w:r>
        <w:rPr>
          <w:rFonts w:ascii="Times New Roman" w:hAnsi="Times New Roman"/>
          <w:b w:val="0"/>
          <w:i w:val="0"/>
          <w:color w:val="000000"/>
          <w:sz w:val="22"/>
        </w:rPr>
        <w:t>2011年的南非德班世界气候大会，提出了“21世纪全球平均温升不超过2℃”的奋斗目标，维持生物圈的碳﹣氧平衡对于这一目标的实现具有重大意义．右面是生物圈碳﹣氧平衡的相关图解，下列对图中</w:t>
      </w: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rPr>
          <w:rFonts w:ascii="Times New Roman" w:hAnsi="Times New Roman"/>
          <w:b w:val="0"/>
          <w:i w:val="0"/>
          <w:color w:val="000000"/>
          <w:sz w:val="22"/>
        </w:rPr>
        <w:t>﹣</w:t>
      </w:r>
      <w:r>
        <w:rPr>
          <w:rFonts w:ascii="Calibri" w:hAnsi="Calibri"/>
          <w:b w:val="0"/>
          <w:i w:val="0"/>
          <w:color w:val="000000"/>
          <w:sz w:val="22"/>
        </w:rPr>
        <w:t>④</w:t>
      </w:r>
      <w:r>
        <w:rPr>
          <w:rFonts w:ascii="Times New Roman" w:hAnsi="Times New Roman"/>
          <w:b w:val="0"/>
          <w:i w:val="0"/>
          <w:color w:val="000000"/>
          <w:sz w:val="22"/>
        </w:rPr>
        <w:t>生理过程的描述，错误的是（　　）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2404110" cy="1438910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404533" cy="1439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</w:t>
      </w: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rPr>
          <w:rFonts w:ascii="Times New Roman" w:hAnsi="Times New Roman"/>
          <w:b w:val="0"/>
          <w:i w:val="0"/>
          <w:color w:val="000000"/>
          <w:sz w:val="22"/>
        </w:rPr>
        <w:t>是分解作用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</w:t>
      </w:r>
      <w:r>
        <w:rPr>
          <w:rFonts w:ascii="Calibri" w:hAnsi="Calibri"/>
          <w:b w:val="0"/>
          <w:i w:val="0"/>
          <w:color w:val="000000"/>
          <w:sz w:val="22"/>
        </w:rPr>
        <w:t>②</w:t>
      </w:r>
      <w:r>
        <w:rPr>
          <w:rFonts w:ascii="Times New Roman" w:hAnsi="Times New Roman"/>
          <w:b w:val="0"/>
          <w:i w:val="0"/>
          <w:color w:val="000000"/>
          <w:sz w:val="22"/>
        </w:rPr>
        <w:t>是光合作用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</w:t>
      </w:r>
      <w:r>
        <w:rPr>
          <w:rFonts w:ascii="Calibri" w:hAnsi="Calibri"/>
          <w:b w:val="0"/>
          <w:i w:val="0"/>
          <w:color w:val="000000"/>
          <w:sz w:val="22"/>
        </w:rPr>
        <w:t>③</w:t>
      </w:r>
      <w:r>
        <w:rPr>
          <w:rFonts w:ascii="Times New Roman" w:hAnsi="Times New Roman"/>
          <w:b w:val="0"/>
          <w:i w:val="0"/>
          <w:color w:val="000000"/>
          <w:sz w:val="22"/>
        </w:rPr>
        <w:t>是蒸腾作用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</w:t>
      </w:r>
      <w:r>
        <w:rPr>
          <w:rFonts w:ascii="Calibri" w:hAnsi="Calibri"/>
          <w:b w:val="0"/>
          <w:i w:val="0"/>
          <w:color w:val="000000"/>
          <w:sz w:val="22"/>
        </w:rPr>
        <w:t>④</w:t>
      </w:r>
      <w:r>
        <w:rPr>
          <w:rFonts w:ascii="Times New Roman" w:hAnsi="Times New Roman"/>
          <w:b w:val="0"/>
          <w:i w:val="0"/>
          <w:color w:val="000000"/>
          <w:sz w:val="22"/>
        </w:rPr>
        <w:t>是呼吸作用</w:t>
      </w:r>
    </w:p>
    <w:p>
      <w:pPr>
        <w:spacing w:line="360" w:lineRule="auto"/>
        <w:ind w:left="0"/>
        <w:jc w:val="left"/>
      </w:pPr>
      <w:r>
        <w:t>40．</w:t>
      </w:r>
      <w:r>
        <w:rPr>
          <w:rFonts w:ascii="Times New Roman" w:hAnsi="Times New Roman"/>
          <w:b w:val="0"/>
          <w:i w:val="0"/>
          <w:color w:val="000000"/>
          <w:sz w:val="22"/>
        </w:rPr>
        <w:t>2011年的南非德班世界气候大会，提出了“21世纪全球平均温升不超过2℃”的奋斗目标，维持生物圈的碳﹣氧平衡对于这一目标的实现具有重大意义．右面是生物圈碳﹣氧平衡的相关图解，光合作用对维持生物圈碳﹣氧平衡十分重要，光合作用的产物主要是（　　）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2404110" cy="1438910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404533" cy="1439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A．氧气和二氧化碳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B．有机物和二氧化碳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  <w:sectPr>
          <w:headerReference w:type="default" r:id="rId28"/>
          <w:footerReference w:type="default" r:id="rId29"/>
          <w:type w:val="nextPage"/>
          <w:pgSz w:w="11906" w:h="16838"/>
          <w:pgMar w:top="1134" w:right="707" w:bottom="937" w:left="1134" w:header="426" w:footer="515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Times New Roman" w:hAnsi="Times New Roman"/>
          <w:b w:val="0"/>
          <w:i w:val="0"/>
          <w:color w:val="000000"/>
          <w:sz w:val="22"/>
        </w:rPr>
        <w:t>C．有机物和氧气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D．二氧化碳和水</w:t>
      </w:r>
    </w:p>
    <w:p>
      <w:pPr>
        <w:spacing w:before="0" w:after="0" w:line="360" w:lineRule="auto"/>
        <w:jc w:val="center"/>
      </w:pPr>
      <w:r>
        <w:rPr>
          <w:rFonts w:ascii="黑体" w:eastAsia="黑体" w:hAnsi="黑体" w:cs="黑体" w:hint="eastAsia"/>
          <w:b/>
          <w:bCs/>
          <w:color w:val="000000"/>
          <w:sz w:val="28"/>
        </w:rPr>
        <w:t>答案解析部分</w:t>
      </w:r>
    </w:p>
    <w:p>
      <w:pPr>
        <w:spacing w:line="360" w:lineRule="auto"/>
        <w:ind w:left="0"/>
        <w:jc w:val="left"/>
      </w:pPr>
      <w:r>
        <w:t>1．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A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非生物因素对生物的影响</w:t>
      </w:r>
    </w:p>
    <w:p>
      <w:pPr>
        <w:spacing w:line="360" w:lineRule="auto"/>
        <w:ind w:left="0"/>
        <w:jc w:val="left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解：环境中影响生物生活的各种因素叫环境因素，分为非生物因素和生物因素．非生物因素包括：光、温度、水、空气、土壤等．生物因素是指环境中影响某种生物个体生活的其他所有生物，包括同种和不同种的生物个体．热带雨林地区，降水丰富，生物种类繁多，而沙漠干旱缺水，而水是生物体的主要组成分，水分影响生物的生长和发育，并决定陆生生物的分布．沙漠水分严重缺乏导致沙漠地区生物种类稀少．因此，热带雨林中生物种类繁多，沙漠中生物种类稀少，引起这种差异的主要生态因素是水．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故选：A．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【分析】此题主要考查了环境中的非生物因素对生物的影响，解答时可以从环境特点和生物的关系方面来切入．</w:t>
      </w:r>
    </w:p>
    <w:p>
      <w:pPr>
        <w:spacing w:line="360" w:lineRule="auto"/>
        <w:ind w:left="0"/>
        <w:jc w:val="left"/>
      </w:pPr>
      <w:r>
        <w:t>2．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C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显微镜的结构与使用</w:t>
      </w:r>
    </w:p>
    <w:p>
      <w:pPr>
        <w:spacing w:line="360" w:lineRule="auto"/>
        <w:ind w:left="0"/>
        <w:jc w:val="left"/>
        <w:textAlignment w:val="center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解：显微镜的放大倍数=物镜的放大倍数×目镜的放大倍数，显微镜的放大倍数越大看到的细胞数目越少，物象放大倍数越大，显微镜的放大倍数越小看到的细胞数目越多，物象放大倍数越小．若视野中细胞最大，则显微镜的放大倍数是最大的．显微镜的放大倍数分别：</w:t>
      </w: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rPr>
          <w:rFonts w:ascii="Times New Roman" w:hAnsi="Times New Roman"/>
          <w:b w:val="0"/>
          <w:i w:val="0"/>
          <w:color w:val="000000"/>
          <w:sz w:val="22"/>
        </w:rPr>
        <w:t>是50倍，</w:t>
      </w:r>
      <w:r>
        <w:rPr>
          <w:rFonts w:ascii="Calibri" w:hAnsi="Calibri"/>
          <w:b w:val="0"/>
          <w:i w:val="0"/>
          <w:color w:val="000000"/>
          <w:sz w:val="22"/>
        </w:rPr>
        <w:t>②</w:t>
      </w:r>
      <w:r>
        <w:rPr>
          <w:rFonts w:ascii="Times New Roman" w:hAnsi="Times New Roman"/>
          <w:b w:val="0"/>
          <w:i w:val="0"/>
          <w:color w:val="000000"/>
          <w:sz w:val="22"/>
        </w:rPr>
        <w:t>是250倍，</w:t>
      </w:r>
      <w:r>
        <w:rPr>
          <w:rFonts w:ascii="Calibri" w:hAnsi="Calibri"/>
          <w:b w:val="0"/>
          <w:i w:val="0"/>
          <w:color w:val="000000"/>
          <w:sz w:val="22"/>
        </w:rPr>
        <w:t>③</w:t>
      </w:r>
      <w:r>
        <w:rPr>
          <w:rFonts w:ascii="Times New Roman" w:hAnsi="Times New Roman"/>
          <w:b w:val="0"/>
          <w:i w:val="0"/>
          <w:color w:val="000000"/>
          <w:sz w:val="22"/>
        </w:rPr>
        <w:t>是1000倍．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故选：C．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【分析】本题考查显微镜的基本构造和使用方法，显微镜的放大倍数是怎么确定的．</w:t>
      </w:r>
    </w:p>
    <w:p>
      <w:pPr>
        <w:spacing w:line="360" w:lineRule="auto"/>
        <w:ind w:left="0"/>
        <w:jc w:val="left"/>
      </w:pPr>
      <w:r>
        <w:t>3．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B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食物的消化</w:t>
      </w:r>
    </w:p>
    <w:p>
      <w:pPr>
        <w:spacing w:line="360" w:lineRule="auto"/>
        <w:ind w:left="0"/>
        <w:jc w:val="left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解：人体的消化系统由消化道和消化腺两部分组成，消化道包括口腔、咽、食道、胃、小肠、大肠、肛门；消化腺有唾液腺、胰腺、胃腺、肠腺、肝脏等．人体的消化腺中最大的消化腺是肝脏，它分泌的胆汁，对脂肪的消化有促进作用，可以乳化脂肪．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故选：B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【分析】此题主要考查消化系统的组成以及消化腺的功能．</w:t>
      </w:r>
    </w:p>
    <w:p>
      <w:pPr>
        <w:spacing w:line="360" w:lineRule="auto"/>
        <w:ind w:left="0"/>
        <w:jc w:val="left"/>
      </w:pPr>
      <w:r>
        <w:t>4．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A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无机盐的种类及其对植物的作用</w:t>
      </w:r>
    </w:p>
    <w:p>
      <w:pPr>
        <w:spacing w:line="360" w:lineRule="auto"/>
        <w:ind w:left="0"/>
        <w:jc w:val="left"/>
        <w:sectPr>
          <w:headerReference w:type="default" r:id="rId30"/>
          <w:footerReference w:type="default" r:id="rId31"/>
          <w:type w:val="nextPage"/>
          <w:pgSz w:w="11906" w:h="16838"/>
          <w:pgMar w:top="1134" w:right="707" w:bottom="937" w:left="1134" w:header="426" w:footer="515" w:gutter="0"/>
          <w:pgNumType w:start="8"/>
          <w:cols w:num="1" w:space="425"/>
          <w:titlePg w:val="0"/>
          <w:docGrid w:type="lines" w:linePitch="312" w:charSpace="0"/>
        </w:sectPr>
      </w:pPr>
      <w:r>
        <w:rPr>
          <w:color w:val="0000FF"/>
        </w:rPr>
        <w:t>【解析】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【解答】解：无土栽培指的是不用土壤，而是依据植物生活所需无机盐的种类和数量的多少，将无机盐按照一定的比例配成营养液，用营养液来培养植物．由于根所吸收的水分和无机盐来自于土壤，而土壤颗粒只是对植物起着固定作用．所以植物可以采取无土栽培的方式即用营养液来培育植物．无土栽培可以更合理的满足植物对各类无机盐的需要，具有产量高、不受季节限制、节约水肥、清洁无污染等优点．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故选：A．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【分析】本题考查的是植物的无土栽培，首先明确的是无土栽培的概念．</w:t>
      </w:r>
    </w:p>
    <w:p>
      <w:pPr>
        <w:spacing w:line="360" w:lineRule="auto"/>
        <w:ind w:left="0"/>
        <w:jc w:val="left"/>
      </w:pPr>
      <w:r>
        <w:t>5．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C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动、植物细胞结构的比较</w:t>
      </w:r>
    </w:p>
    <w:p>
      <w:pPr>
        <w:spacing w:line="360" w:lineRule="auto"/>
        <w:ind w:left="0"/>
        <w:jc w:val="left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解：动物细胞没有而植物细胞具有的结构是细胞壁、叶绿体和液泡．判断一个细胞是植物细胞还是动物细胞关键是看它是否具有细胞壁、液泡和叶绿体，只要有其中之一就是植物细胞，如果任何一个都没有就是动物细胞．叶绿体是植物细胞特有的结构，细胞质是动植物细胞都有的结构；细胞膜和细胞核是动植物细胞都有的结构；大液泡是植物细胞特有的结构；细胞壁和大液泡是植物细胞特有的结构而动物细胞没有．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故选：C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【分析】植物细胞的结构有：细胞壁、细胞膜、细胞质、细胞核、液泡、叶绿体和线粒体．动物（人）细胞有细胞膜、细胞质和细胞核；</w:t>
      </w:r>
    </w:p>
    <w:p>
      <w:pPr>
        <w:spacing w:line="360" w:lineRule="auto"/>
        <w:ind w:left="0"/>
        <w:jc w:val="left"/>
      </w:pPr>
      <w:r>
        <w:t>6．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B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细胞分裂；细胞分化成组织</w:t>
      </w:r>
    </w:p>
    <w:p>
      <w:pPr>
        <w:spacing w:line="360" w:lineRule="auto"/>
        <w:ind w:left="0"/>
        <w:jc w:val="left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解：A．细胞分裂就是一个细胞分裂成两个细胞．分裂时，细胞核先由一个分成两个，随后细胞质分成两份，每份各含有一个细胞核．最后，在原来的细胞中央，形成新的细胞膜，植物细胞还形成新的细胞壁．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．在发育过程中，这些细胞各自具有了不同的功能，它们在形态、结构上也逐渐发生了变化，这个过程叫做细胞分化．细胞分化产生了不同的细胞群，由形态相似，结构、功能相同细胞联合在一起形成的细胞群就叫做组织．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．在细胞的分裂过程中，染色体的变化最明显．在细胞分裂时，染色体会进行复制，细胞分裂过程中，染色体均分成完全相同的两份，分别进入两个新细胞中．也就是说，两个新细胞的染色体形态和数目相同，新细胞与原细胞染色体形态和数目也相同．由于染色体内有遗传物质DNA，因此，新细胞与原细胞所含的遗传物质是一样的．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故选：B．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【分析】此题一是考查识图作答的能力；二是考查对细胞分裂、细胞分化的理解．细胞分裂的过程是细胞数目增多，细胞分化的结果是产生不同的组织．</w:t>
      </w:r>
    </w:p>
    <w:p>
      <w:pPr>
        <w:spacing w:line="360" w:lineRule="auto"/>
        <w:ind w:left="0"/>
        <w:jc w:val="left"/>
        <w:sectPr>
          <w:headerReference w:type="default" r:id="rId32"/>
          <w:footerReference w:type="default" r:id="rId33"/>
          <w:type w:val="nextPage"/>
          <w:pgSz w:w="11906" w:h="16838"/>
          <w:pgMar w:top="1134" w:right="707" w:bottom="937" w:left="1134" w:header="426" w:footer="515" w:gutter="0"/>
          <w:pgNumType w:start="9"/>
          <w:cols w:num="1" w:space="425"/>
          <w:titlePg w:val="0"/>
          <w:docGrid w:type="lines" w:linePitch="312" w:charSpace="0"/>
        </w:sectPr>
      </w:pPr>
      <w:r>
        <w:t>7．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A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蕨类植物</w:t>
      </w:r>
    </w:p>
    <w:p>
      <w:pPr>
        <w:spacing w:line="360" w:lineRule="auto"/>
        <w:ind w:left="0"/>
        <w:jc w:val="left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【解答】解：A、蕨类植物，有了根、茎、叶的分化，体内有输导组织，一般长的比较高大，符合题意．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B、苔藓植物，无真正的根，只有假根，有了茎、叶的分化，体内无输导组织，植株矮小，不符合题意．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C、藻类植物，结构简单，无根、茎、叶的分化，不符合题意．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故选：A．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【分析】蕨类植物有了根、茎、叶的分化，体内有输导组织，一般长的比较高大，据此作答．</w:t>
      </w:r>
    </w:p>
    <w:p>
      <w:pPr>
        <w:spacing w:line="360" w:lineRule="auto"/>
        <w:ind w:left="0"/>
        <w:jc w:val="left"/>
      </w:pPr>
      <w:r>
        <w:t>8．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C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细菌的形态结构和营养方式；真菌的形态结构和营养方式</w:t>
      </w:r>
    </w:p>
    <w:p>
      <w:pPr>
        <w:spacing w:line="360" w:lineRule="auto"/>
        <w:ind w:left="0"/>
        <w:jc w:val="left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【解答】解：真菌的基本结构为：细胞壁、细胞膜、细胞质、细胞核．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细菌的基本结构为：细胞壁、细胞膜、细胞质、未成形的细胞核．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酵母菌是真菌，因此与酵母菌细胞相比，细菌细胞没有的结构是成形的细胞核．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故选：C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【分析】此题考查的是细菌与酵母菌细胞的区别，据此分析解答．</w:t>
      </w:r>
    </w:p>
    <w:p>
      <w:pPr>
        <w:spacing w:line="360" w:lineRule="auto"/>
        <w:ind w:left="0"/>
        <w:jc w:val="left"/>
      </w:pPr>
      <w:r>
        <w:t>9．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B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生物分类的单位</w:t>
      </w:r>
    </w:p>
    <w:p>
      <w:pPr>
        <w:spacing w:line="360" w:lineRule="auto"/>
        <w:ind w:left="0"/>
        <w:jc w:val="left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【解答】解：A、达尔文，查尔斯•罗伯特•达尔文，英国生物学家，进化论的奠基人．曾乘贝格尔号舰作了历时5 年的环球航行，对动植物和地质结构等进行了大量的观察和采集．出版《物种起源》这一划时代的著作，提出了生物进化论学说，除了生物学外，他的理论对人类学、心理学及哲学的发展都有不容忽视的影响．恩格斯将“进化论”列为19世纪自然科学的三大发现之一．不符合题意．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B、林奈是瑞典自然学者，现代生物学分类命名的奠基人．他在生物学上的成就是发明了双名制命名法，即植物的常用名由两部分组成，前者为属名，要求用名词；后者为种名，要求用形容词．故符合题意．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C、孟德尔通过豌豆实验，发现了遗传规律、分离规律及自由组合规律，被誉为现代遗传学之父．不符合题意．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故选：B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【分析】此题考查各位科学家的在科学上的成就有关知识．</w:t>
      </w:r>
    </w:p>
    <w:p>
      <w:pPr>
        <w:spacing w:line="360" w:lineRule="auto"/>
        <w:ind w:left="0"/>
        <w:jc w:val="left"/>
      </w:pPr>
      <w:r>
        <w:t>10．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C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科学探究的过程</w:t>
      </w:r>
    </w:p>
    <w:p>
      <w:pPr>
        <w:spacing w:line="360" w:lineRule="auto"/>
        <w:ind w:left="0"/>
        <w:jc w:val="left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解：设置对照实验时，除要探究的变量外，其他条件应完全相同．要观察尾鳍的作用，因此变量是尾鳍能否自由活动．因此正确的是将鱼的尾鳍用塑料片和橡皮筋固定，并设置对照实验，观察尾鳍的作用．</w:t>
      </w:r>
      <w:r>
        <w:br/>
      </w:r>
      <w: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34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https://d.book118.com/636212153035010044</w:t>
        </w:r>
      </w:hyperlink>
    </w:p>
    <w:p>
      <w:pPr>
        <w:spacing w:line="360" w:lineRule="auto"/>
        <w:ind w:left="0"/>
        <w:jc w:val="left"/>
      </w:pPr>
    </w:p>
    <w:sectPr>
      <w:headerReference w:type="default" r:id="rId35"/>
      <w:footerReference w:type="default" r:id="rId36"/>
      <w:type w:val="nextPage"/>
      <w:pgSz w:w="11906" w:h="16838"/>
      <w:pgMar w:top="1134" w:right="707" w:bottom="937" w:left="1134" w:header="426" w:footer="515" w:gutter="0"/>
      <w:pgNumType w:start="10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11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10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11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2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11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3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11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4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11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5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11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6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11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7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11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8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11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10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11</w:t>
    </w:r>
    <w:r>
      <w:rPr>
        <w:rFonts w:ascii="微软雅黑" w:eastAsia="微软雅黑" w:hAnsi="微软雅黑"/>
        <w:b/>
        <w:bCs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083"/>
    <w:rsid w:val="001957A4"/>
    <w:rsid w:val="001C2E01"/>
    <w:rsid w:val="0023135B"/>
    <w:rsid w:val="002A3E4C"/>
    <w:rsid w:val="002F2B6F"/>
    <w:rsid w:val="004C353A"/>
    <w:rsid w:val="00530734"/>
    <w:rsid w:val="00534152"/>
    <w:rsid w:val="00534887"/>
    <w:rsid w:val="0071385B"/>
    <w:rsid w:val="00762740"/>
    <w:rsid w:val="007E26CD"/>
    <w:rsid w:val="008F3083"/>
    <w:rsid w:val="00B85EF2"/>
    <w:rsid w:val="00BE4FA2"/>
    <w:rsid w:val="00FA5B34"/>
    <w:rsid w:val="4C794AAE"/>
  </w:rsids>
  <w:docVars>
    <w:docVar w:name="commondata" w:val="eyJoZGlkIjoiZWQ3YzA4YzJlNmFmZjlkZTg5ZjhmMGIzMmFhYjY3OGU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 w:qFormat="1"/>
    <w:lsdException w:name="footer" w:semiHidden="0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3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kern w:val="2"/>
      <w:sz w:val="18"/>
      <w:szCs w:val="18"/>
    </w:rPr>
  </w:style>
  <w:style w:type="paragraph" w:styleId="Header">
    <w:name w:val="header"/>
    <w:basedOn w:val="Normal"/>
    <w:link w:val="Char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18"/>
    </w:rPr>
  </w:style>
  <w:style w:type="character" w:customStyle="1" w:styleId="Char">
    <w:name w:val="页眉 Char"/>
    <w:basedOn w:val="DefaultParagraphFont"/>
    <w:link w:val="Header"/>
    <w:autoRedefine/>
    <w:uiPriority w:val="99"/>
    <w:qFormat/>
    <w:rPr>
      <w:sz w:val="18"/>
      <w:szCs w:val="18"/>
    </w:rPr>
  </w:style>
  <w:style w:type="character" w:customStyle="1" w:styleId="Char0">
    <w:name w:val="页脚 Char"/>
    <w:basedOn w:val="DefaultParagraphFont"/>
    <w:link w:val="Footer"/>
    <w:autoRedefine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image" Target="media/image4.png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image" Target="media/image5.png" /><Relationship Id="rId15" Type="http://schemas.openxmlformats.org/officeDocument/2006/relationships/image" Target="media/image6.png" /><Relationship Id="rId16" Type="http://schemas.openxmlformats.org/officeDocument/2006/relationships/image" Target="media/image7.png" /><Relationship Id="rId17" Type="http://schemas.openxmlformats.org/officeDocument/2006/relationships/image" Target="media/image8.png" /><Relationship Id="rId18" Type="http://schemas.openxmlformats.org/officeDocument/2006/relationships/header" Target="header4.xml" /><Relationship Id="rId19" Type="http://schemas.openxmlformats.org/officeDocument/2006/relationships/footer" Target="footer4.xml" /><Relationship Id="rId2" Type="http://schemas.openxmlformats.org/officeDocument/2006/relationships/webSettings" Target="webSettings.xml" /><Relationship Id="rId20" Type="http://schemas.openxmlformats.org/officeDocument/2006/relationships/image" Target="media/image9.png" /><Relationship Id="rId21" Type="http://schemas.openxmlformats.org/officeDocument/2006/relationships/header" Target="header5.xml" /><Relationship Id="rId22" Type="http://schemas.openxmlformats.org/officeDocument/2006/relationships/footer" Target="footer5.xml" /><Relationship Id="rId23" Type="http://schemas.openxmlformats.org/officeDocument/2006/relationships/image" Target="media/image10.png" /><Relationship Id="rId24" Type="http://schemas.openxmlformats.org/officeDocument/2006/relationships/image" Target="media/image11.png" /><Relationship Id="rId25" Type="http://schemas.openxmlformats.org/officeDocument/2006/relationships/header" Target="header6.xml" /><Relationship Id="rId26" Type="http://schemas.openxmlformats.org/officeDocument/2006/relationships/footer" Target="footer6.xml" /><Relationship Id="rId27" Type="http://schemas.openxmlformats.org/officeDocument/2006/relationships/image" Target="media/image12.png" /><Relationship Id="rId28" Type="http://schemas.openxmlformats.org/officeDocument/2006/relationships/header" Target="header7.xml" /><Relationship Id="rId29" Type="http://schemas.openxmlformats.org/officeDocument/2006/relationships/footer" Target="footer7.xml" /><Relationship Id="rId3" Type="http://schemas.openxmlformats.org/officeDocument/2006/relationships/fontTable" Target="fontTable.xml" /><Relationship Id="rId30" Type="http://schemas.openxmlformats.org/officeDocument/2006/relationships/header" Target="header8.xml" /><Relationship Id="rId31" Type="http://schemas.openxmlformats.org/officeDocument/2006/relationships/footer" Target="footer8.xml" /><Relationship Id="rId32" Type="http://schemas.openxmlformats.org/officeDocument/2006/relationships/header" Target="header9.xml" /><Relationship Id="rId33" Type="http://schemas.openxmlformats.org/officeDocument/2006/relationships/footer" Target="footer9.xml" /><Relationship Id="rId34" Type="http://schemas.openxmlformats.org/officeDocument/2006/relationships/hyperlink" Target="https://d.book118.com/636212153035010044" TargetMode="External" /><Relationship Id="rId35" Type="http://schemas.openxmlformats.org/officeDocument/2006/relationships/header" Target="header10.xml" /><Relationship Id="rId36" Type="http://schemas.openxmlformats.org/officeDocument/2006/relationships/footer" Target="footer10.xml" /><Relationship Id="rId37" Type="http://schemas.openxmlformats.org/officeDocument/2006/relationships/theme" Target="theme/theme1.xml" /><Relationship Id="rId38" Type="http://schemas.openxmlformats.org/officeDocument/2006/relationships/styles" Target="styles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image" Target="media/image3.png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11</Pages>
  <Words>0</Words>
  <Characters>0</Characters>
  <Application>Microsoft Office Word</Application>
  <DocSecurity>0</DocSecurity>
  <Lines>0</Lines>
  <Paragraphs>0</Paragraphs>
  <ScaleCrop>false</ScaleCrop>
  <Company>出卷网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2012年江苏省淮安市中考生物试卷</dc:title>
  <dc:subject>chujuan.cn</dc:subject>
  <dc:creator>www.chujuan.cn</dc:creator>
  <dc:description>中小学教师出卷，试卷下载</dc:description>
  <cp:lastModifiedBy>未命名</cp:lastModifiedBy>
  <cp:revision>5</cp:revision>
  <dcterms:created xsi:type="dcterms:W3CDTF">2021-12-20T01:40:00Z</dcterms:created>
  <dcterms:modified xsi:type="dcterms:W3CDTF">2024-02-05T18:42:42Z</dcterms:modified>
  <cp:category>出卷宝; 出卷网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FBF45767C76346D5949C8F6D4D4A444E_12</vt:lpwstr>
  </property>
  <property fmtid="{D5CDD505-2E9C-101B-9397-08002B2CF9AE}" pid="3" name="KSOProductBuildVer">
    <vt:lpwstr>2052-12.1.0.16250</vt:lpwstr>
  </property>
</Properties>
</file>