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冲压机相关行业公司成立报告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一、冲压机筹建公司基本信息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eastAsia="zh-CN"/>
          </w:rPr>
          <w:t>(七)、冲压机项目建设必要性分析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四、冲压机项目概况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(二)、冲压机项目提出的理由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(三)、冲压机项目选址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(六)、冲压机项目投资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eastAsia="zh-CN"/>
          </w:rPr>
          <w:t>(七)、冲压机项目进度规划</w:t>
        </w:r>
        <w:r>
          <w:tab/>
        </w:r>
        <w:r>
          <w:fldChar w:fldCharType="begin"/>
        </w:r>
        <w:r>
          <w:instrText xml:space="preserve"> PAGEREF _Toc14151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(九)、冲压机项目综合评价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(一)、冲压机项目选址原则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(五)、冲压机项目选址综合评价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(一)、冲压机项目背景分析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(二)、冲压机项目建设必要性分析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七、冲压机项目经济效益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(三)、冲压机项目盈利能力分析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(五)、冲压机项目总投资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(一)、冲压机项目进度安排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(二)、冲压机项目实施保障措施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(二)、合作冲压机项目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十四、冲压机项目总结分析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94"/>
      <w:r>
        <w:rPr>
          <w:rFonts w:ascii="仿宋" w:eastAsia="仿宋" w:hAnsi="仿宋" w:cs="仿宋" w:hint="eastAsia"/>
          <w:sz w:val="28"/>
          <w:lang w:eastAsia="zh-CN"/>
        </w:rPr>
        <w:t>一、冲压机筹建公司基本信息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01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64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4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32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经营范围：从事XXX相关业务(企业依法自主选择经营冲压机项目，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开展经营活动；依法须经批准的冲压机项目，经相关部门批准后依批准的内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容开展经营活动；不得从事本市产业政策禁止和限制类冲压机项目的经营活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27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https://d.book118.com/637025162160006032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冲压机相关行业公司成立报告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冲压机相关行业公司成立报告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冲压机相关行业公司成立报告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冲压机相关行业公司成立报告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冲压机相关行业公司成立报告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7025162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2024-01-15T21:09:00Z</dcterms:created>
  <dcterms:modified xsi:type="dcterms:W3CDTF">2024-01-15T21:09:27Z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90CF4302B79D43AF97A9D63D4192E8C6_11</vt:lpwstr>
  </property>
  <property fmtid="{D5CDD505-2E9C-101B-9397-08002B2CF9AE}" pid="3" name="KSOProductBuildVer">
    <vt:lpwstr>2052-12.1.0.16120</vt:lpwstr>
  </property>
</Properties>
</file>