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2018-2023年陕西旅游烹饪职业学院高职单招（数学／语文／英语）历年常考试题库含答案解析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下列诗作中，具有飘逸清丽艺术风格的是（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A.郭沫若《炉中煤》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B.徐志摩《再别康桥》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C.闻一多《发现》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D.艾青《我爱这土地》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主张文章应“明道”、“致用”、“事信”、“言文”的是（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《箱子岩》一文选自散文集（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A.《湘行散记》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B.《湘西》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C.《从文自传》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艾青的成名作是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D.《我爱这土地》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下列诗人中，诗风苍凉悲壮的是（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“祸起萧墙”一语出自（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有“曲状元”之称的元代散曲家是（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五四以后，郁达夫是哪个社团的发起人之一（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C.新月诗社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12.</w:t>
      </w:r>
      <w:r>
        <w:rPr>
          <w:rFonts w:ascii="黑体" w:eastAsia="黑体" w:hAnsi="黑体" w:cs="Times New Roman"/>
          <w:sz w:val="24"/>
          <w:lang w:val="en-US" w:eastAsia="ja-JP" w:bidi="ar-SA"/>
        </w:rPr>
        <w:t>梁启超《论毅力》一文的中心论点是（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B.人生历程，大抵逆境居十六七，顺境亦居十三四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C.小逆之后，必有小顺；大逆之后，必有大顺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D.成败之数，视此而已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苏轼《水调歌头（明月几时有）》一词中最能体现“兼怀子由”的词句是（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A.但愿人长久，千里共婵娟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B.人有悲欢离合，月有阴晴圆缺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C.不应有恨，何事长向别时圆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D.起舞弄清影，何似在人间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莫泊桑是（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A.自然主义作家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B.法国批判现实主义大师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C.法国19世纪小说家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https://d.book118.com/637044101156006044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63704410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