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3AC529D" w14:textId="77777777">
          <w:pPr>
            <w:pStyle w:val="NoSpacing"/>
          </w:pPr>
        </w:p>
        <w:p w:rsidR="00C018A2" w14:paraId="44EA1CDD" w14:textId="77777777">
          <w:pPr>
            <w:pStyle w:val="NoSpacing"/>
          </w:pPr>
        </w:p>
        <w:p w:rsidR="00C018A2" w14:paraId="64621D3B" w14:textId="77777777">
          <w:pPr>
            <w:pStyle w:val="NoSpacing"/>
          </w:pPr>
        </w:p>
        <w:p w:rsidR="00C018A2" w14:paraId="23083D32" w14:textId="77777777">
          <w:pPr>
            <w:pStyle w:val="NoSpacing"/>
          </w:pPr>
        </w:p>
        <w:p w:rsidR="00C018A2" w14:paraId="0E207C10" w14:textId="77777777">
          <w:pPr>
            <w:pStyle w:val="NoSpacing"/>
          </w:pPr>
        </w:p>
        <w:p w:rsidR="00C018A2" w14:paraId="0F441D93" w14:textId="77777777">
          <w:pPr>
            <w:pStyle w:val="NoSpacing"/>
          </w:pPr>
        </w:p>
        <w:p w:rsidR="00C018A2" w14:paraId="432F46E0" w14:textId="77777777">
          <w:pPr>
            <w:pStyle w:val="NoSpacing"/>
          </w:pPr>
        </w:p>
        <w:p w:rsidR="00C018A2" w14:paraId="07BEDB3E" w14:textId="77777777">
          <w:pPr>
            <w:pStyle w:val="NoSpacing"/>
          </w:pPr>
        </w:p>
        <w:p w:rsidR="00C018A2" w14:paraId="3FED8129" w14:textId="77777777">
          <w:pPr>
            <w:pStyle w:val="NoSpacing"/>
          </w:pPr>
        </w:p>
        <w:p w:rsidR="00C018A2" w14:paraId="1580DF1C" w14:textId="77777777">
          <w:pPr>
            <w:pStyle w:val="NoSpacing"/>
          </w:pPr>
        </w:p>
        <w:p w:rsidR="00C018A2" w14:paraId="0BFBE727" w14:textId="77777777">
          <w:pPr>
            <w:pStyle w:val="NoSpacing"/>
          </w:pPr>
        </w:p>
        <w:p w:rsidR="00C018A2" w14:paraId="59DF7C90" w14:textId="77777777">
          <w:pPr>
            <w:pStyle w:val="NoSpacing"/>
          </w:pPr>
        </w:p>
        <w:p w:rsidR="00C018A2" w14:paraId="6DBA7F6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3D8FDD8" w14:textId="77777777">
                            <w:pPr>
                              <w:pStyle w:val="NoSpacing"/>
                              <w:jc w:val="right"/>
                              <w:rPr>
                                <w:color w:val="FFFFFF" w:themeColor="background1"/>
                                <w:sz w:val="28"/>
                                <w:szCs w:val="28"/>
                              </w:rPr>
                            </w:pPr>
                            <w:sdt>
                              <w:sdtPr>
                                <w:rPr>
                                  <w:color w:val="FFFFFF" w:themeColor="background1"/>
                                  <w:sz w:val="32"/>
                                  <w:szCs w:val="32"/>
                                </w:rPr>
                                <w:alias w:val="日期"/>
                                <w:id w:val="42816019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6B632C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抗毒素类生物制品</w:t>
          </w:r>
          <w:r w:rsidRPr="007A4CF7">
            <w:rPr>
              <w:rFonts w:ascii="仿宋" w:eastAsia="仿宋" w:hAnsi="仿宋" w:hint="eastAsia"/>
              <w:b/>
              <w:bCs/>
              <w:sz w:val="52"/>
              <w:szCs w:val="52"/>
            </w:rPr>
            <w:t>项目</w:t>
          </w:r>
        </w:p>
        <w:p w:rsidR="00C018A2" w:rsidP="007A4CF7" w14:paraId="36C734D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E229D1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136493D" w14:textId="3E229D18">
                          <w:pPr>
                            <w:pStyle w:val="NoSpacing"/>
                            <w:rPr>
                              <w:color w:val="4472C4" w:themeColor="accent1"/>
                              <w:sz w:val="36"/>
                              <w:szCs w:val="36"/>
                            </w:rPr>
                          </w:pPr>
                          <w:sdt>
                            <w:sdtPr>
                              <w:rPr>
                                <w:color w:val="4472C4" w:themeColor="accent1"/>
                                <w:sz w:val="36"/>
                                <w:szCs w:val="36"/>
                              </w:rPr>
                              <w:alias w:val="作者"/>
                              <w:id w:val="150900004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AA45E0F" w14:textId="77777777">
                          <w:pPr>
                            <w:pStyle w:val="NoSpacing"/>
                            <w:rPr>
                              <w:color w:val="595959" w:themeColor="text1" w:themeTint="A6"/>
                              <w:sz w:val="24"/>
                              <w:szCs w:val="24"/>
                            </w:rPr>
                          </w:pPr>
                          <w:sdt>
                            <w:sdtPr>
                              <w:rPr>
                                <w:caps/>
                                <w:color w:val="595959" w:themeColor="text1" w:themeTint="A6"/>
                                <w:sz w:val="24"/>
                                <w:szCs w:val="24"/>
                              </w:rPr>
                              <w:alias w:val="公司"/>
                              <w:id w:val="207228828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343048F"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D129D5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E2BFA9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83830D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抗毒素类生物制品项目商业计划书摘要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EB7843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15854C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抗毒素类生物制品产品或服务描述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4BA0AFF"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044C044"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抗毒素类生物制品目标市场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890AC32"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抗毒素类生物制品市场竞争分析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12ADC8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抗毒素类生物制品行业趋势与机遇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45BBBAE"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E3BCD5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74249B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抗毒素类生物制品产品定价策略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513D98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抗毒素类生物制品产品销售渠道与拓展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58C481D"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1B74BF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FEAFF6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553F73E"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140D88C"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FC03039"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B06F1D9"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478BE1E"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72245C9"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86508040"/>
        <w:docPartObj>
          <w:docPartGallery w:val="Table of Contents"/>
          <w:docPartUnique/>
        </w:docPartObj>
      </w:sdtPr>
      <w:sdtEndPr>
        <w:rPr>
          <w:b/>
          <w:bCs/>
        </w:rPr>
      </w:sdtEndPr>
      <w:sdtContent>
        <w:p w:rsidR="007A4CF7" w:rsidRPr="007A4CF7" w:rsidP="007A4CF7" w14:paraId="08DC1567"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E2DBAAD"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B5F69C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6698C32"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A344E01"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3A14F29"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E66A6B8"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316BDF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A83178F"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22B8678"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AD261F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40424CE"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E04E3E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CA7F26D"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20C33D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92C81D7"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B7DCF53" w14:textId="77777777">
          <w:pPr>
            <w:spacing w:line="500" w:lineRule="exact"/>
          </w:pPr>
          <w:r w:rsidRPr="007A4CF7">
            <w:rPr>
              <w:b/>
              <w:bCs/>
              <w:sz w:val="28"/>
              <w:szCs w:val="28"/>
              <w:lang w:val="zh-CN"/>
            </w:rPr>
            <w:fldChar w:fldCharType="end"/>
          </w:r>
        </w:p>
      </w:sdtContent>
    </w:sdt>
    <w:p w:rsidR="007A4CF7" w:rsidP="00DA4121" w14:paraId="0487822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D994505" w14:textId="77777777">
      <w:pPr>
        <w:pStyle w:val="Heading2"/>
      </w:pPr>
      <w:r w:rsidRPr="009C12B5">
        <w:t>一、概述</w:t>
      </w:r>
      <w:bookmarkEnd w:id="0"/>
    </w:p>
    <w:p w:rsidR="009C12B5" w:rsidRPr="00DA4121" w:rsidP="00DA4121" w14:paraId="5BF9C0C2" w14:textId="77777777">
      <w:pPr>
        <w:pStyle w:val="Heading3"/>
      </w:pPr>
      <w:bookmarkStart w:id="1" w:name="_Toc157814104"/>
      <w:r w:rsidRPr="00DA4121">
        <w:t xml:space="preserve">1.1 </w:t>
      </w:r>
      <w:r w:rsidR="007A4CF7">
        <w:t>抗毒素类生物制品</w:t>
      </w:r>
      <w:r w:rsidR="007A4CF7">
        <w:rPr>
          <w:rFonts w:hint="eastAsia"/>
        </w:rPr>
        <w:t>项目</w:t>
      </w:r>
      <w:r w:rsidRPr="00DA4121">
        <w:t>商业计划书摘要</w:t>
      </w:r>
      <w:bookmarkEnd w:id="1"/>
    </w:p>
    <w:p w:rsidR="009C12B5" w:rsidRPr="009C12B5" w:rsidP="009C12B5" w14:paraId="1764BA8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抗毒素类生物制品产品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抗毒素类生物制品产品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抗毒素类生物制品产品</w:t>
      </w:r>
      <w:r w:rsidRPr="009C12B5">
        <w:rPr>
          <w:rFonts w:ascii="仿宋" w:eastAsia="仿宋" w:hAnsi="仿宋"/>
          <w:sz w:val="28"/>
          <w:szCs w:val="28"/>
        </w:rPr>
        <w:t>有望成为市场上的畅销产品，并为公司带来可观的收益和市场份额。</w:t>
      </w:r>
    </w:p>
    <w:p w:rsidR="009C12B5" w:rsidRPr="009C12B5" w:rsidP="009C12B5" w14:paraId="0E5598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抗毒素类生物制品产品</w:t>
      </w:r>
      <w:r w:rsidRPr="009C12B5">
        <w:rPr>
          <w:rFonts w:ascii="仿宋" w:eastAsia="仿宋" w:hAnsi="仿宋"/>
          <w:sz w:val="28"/>
          <w:szCs w:val="28"/>
        </w:rPr>
        <w:t>商业计划书中，我们将详细阐述</w:t>
      </w:r>
      <w:r w:rsidR="00E75C7F">
        <w:rPr>
          <w:rFonts w:ascii="仿宋" w:eastAsia="仿宋" w:hAnsi="仿宋"/>
          <w:sz w:val="28"/>
          <w:szCs w:val="28"/>
        </w:rPr>
        <w:t>抗毒素类生物制品产品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抗毒素类生物制品产品</w:t>
      </w:r>
      <w:r w:rsidRPr="009C12B5">
        <w:rPr>
          <w:rFonts w:ascii="仿宋" w:eastAsia="仿宋" w:hAnsi="仿宋"/>
          <w:sz w:val="28"/>
          <w:szCs w:val="28"/>
        </w:rPr>
        <w:t>有一个全面而深入的了解，并认识到其巨大的商业价值和投资潜力。</w:t>
      </w:r>
    </w:p>
    <w:p w:rsidR="009C12B5" w:rsidRPr="009C12B5" w:rsidP="009C12B5" w14:paraId="04C93CB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抗毒素类生物制品产品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72A67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抗毒素类生物制品产品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抗毒素类生物制品产品</w:t>
      </w:r>
      <w:r w:rsidRPr="009C12B5">
        <w:rPr>
          <w:rFonts w:ascii="仿宋" w:eastAsia="仿宋" w:hAnsi="仿宋"/>
          <w:sz w:val="28"/>
          <w:szCs w:val="28"/>
        </w:rPr>
        <w:t>的美好未来。</w:t>
      </w:r>
    </w:p>
    <w:p w:rsidR="009C12B5" w:rsidRPr="009C12B5" w:rsidP="007A4CF7" w14:paraId="70D96BEF" w14:textId="77777777">
      <w:pPr>
        <w:pStyle w:val="Heading3"/>
      </w:pPr>
      <w:bookmarkStart w:id="2" w:name="_Toc157814105"/>
      <w:r w:rsidRPr="009C12B5">
        <w:t xml:space="preserve">1.2 </w:t>
      </w:r>
      <w:r w:rsidRPr="009C12B5">
        <w:t>公司简介</w:t>
      </w:r>
      <w:bookmarkEnd w:id="2"/>
    </w:p>
    <w:p w:rsidR="009C12B5" w:rsidRPr="009C12B5" w:rsidP="009C12B5" w14:paraId="600EA03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C25498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D81A671"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1DB08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AF3528E" w14:textId="77777777">
      <w:pPr>
        <w:pStyle w:val="Heading3"/>
      </w:pPr>
      <w:bookmarkStart w:id="3" w:name="_Toc157814106"/>
      <w:r w:rsidRPr="007A4CF7">
        <w:t xml:space="preserve">1.3 </w:t>
      </w:r>
      <w:r w:rsidR="007A4CF7">
        <w:t>抗毒素类生物制品</w:t>
      </w:r>
      <w:r w:rsidRPr="007A4CF7">
        <w:t>产品或服务描述</w:t>
      </w:r>
      <w:bookmarkEnd w:id="3"/>
    </w:p>
    <w:p w:rsidR="00062D1F" w14:paraId="53B2EA3A" w14:textId="7731E29F">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抗毒素类生物制品是一类用于治疗由毒素引起的疾病的药物，它们通过中和毒素的作用来减轻或消除毒素对机体的损害。这些产品通常是从免疫动物的血清中纯化而来的，含有针对特定毒素的特异性抗体。以下是几种常见的抗毒素类生物制品及其功能介绍：</w:t>
      </w:r>
      <w:r>
        <w:rPr>
          <w:rFonts w:ascii="仿宋" w:eastAsia="仿宋" w:hAnsi="仿宋"/>
          <w:sz w:val="28"/>
        </w:rPr>
        <w:br/>
        <w:t xml:space="preserve">    1.</w:t>
      </w:r>
      <w:r>
        <w:rPr>
          <w:rFonts w:ascii="仿宋" w:eastAsia="仿宋" w:hAnsi="仿宋"/>
          <w:sz w:val="28"/>
        </w:rPr>
        <w:t>破伤风抗毒素（</w:t>
      </w:r>
      <w:r>
        <w:rPr>
          <w:rFonts w:ascii="仿宋" w:eastAsia="仿宋" w:hAnsi="仿宋"/>
          <w:sz w:val="28"/>
        </w:rPr>
        <w:t>TAT</w:t>
      </w:r>
      <w:r>
        <w:rPr>
          <w:rFonts w:ascii="仿宋" w:eastAsia="仿宋" w:hAnsi="仿宋"/>
          <w:sz w:val="28"/>
        </w:rPr>
        <w:t>）：用于预防和治疗破伤风毒素引起的疾病，如破伤风。</w:t>
      </w:r>
      <w:r>
        <w:rPr>
          <w:rFonts w:ascii="仿宋" w:eastAsia="仿宋" w:hAnsi="仿宋"/>
          <w:sz w:val="28"/>
        </w:rPr>
        <w:t>TAT</w:t>
      </w:r>
      <w:r>
        <w:rPr>
          <w:rFonts w:ascii="仿宋" w:eastAsia="仿宋" w:hAnsi="仿宋"/>
          <w:sz w:val="28"/>
        </w:rPr>
        <w:t>含有针对破伤风毒素的抗体，能够中和毒素，阻止其与神经组织结合，从而减轻症状并阻止疾病进展。</w:t>
      </w:r>
      <w:r>
        <w:rPr>
          <w:rFonts w:ascii="仿宋" w:eastAsia="仿宋" w:hAnsi="仿宋"/>
          <w:sz w:val="28"/>
        </w:rPr>
        <w:br/>
        <w:t xml:space="preserve">    2.</w:t>
      </w:r>
      <w:r>
        <w:rPr>
          <w:rFonts w:ascii="仿宋" w:eastAsia="仿宋" w:hAnsi="仿宋"/>
          <w:sz w:val="28"/>
        </w:rPr>
        <w:t>白喉抗毒素（</w:t>
      </w:r>
      <w:r>
        <w:rPr>
          <w:rFonts w:ascii="仿宋" w:eastAsia="仿宋" w:hAnsi="仿宋"/>
          <w:sz w:val="28"/>
        </w:rPr>
        <w:t>DPT</w:t>
      </w:r>
      <w:r>
        <w:rPr>
          <w:rFonts w:ascii="仿宋" w:eastAsia="仿宋" w:hAnsi="仿宋"/>
          <w:sz w:val="28"/>
        </w:rPr>
        <w:t>）：用于治疗白喉毒素引起的疾病，如白喉。</w:t>
      </w:r>
      <w:r>
        <w:rPr>
          <w:rFonts w:ascii="仿宋" w:eastAsia="仿宋" w:hAnsi="仿宋"/>
          <w:sz w:val="28"/>
        </w:rPr>
        <w:t>DPT</w:t>
      </w:r>
      <w:r>
        <w:rPr>
          <w:rFonts w:ascii="仿宋" w:eastAsia="仿宋" w:hAnsi="仿宋"/>
          <w:sz w:val="28"/>
        </w:rPr>
        <w:t>含有针对白喉毒素的抗体，能够中和毒素，减少毒素对心肌和神经系统的损害。</w:t>
      </w:r>
      <w:r>
        <w:rPr>
          <w:rFonts w:ascii="仿宋" w:eastAsia="仿宋" w:hAnsi="仿宋"/>
          <w:sz w:val="28"/>
        </w:rPr>
        <w:br/>
        <w:t xml:space="preserve">    3.</w:t>
      </w:r>
      <w:r>
        <w:rPr>
          <w:rFonts w:ascii="仿宋" w:eastAsia="仿宋" w:hAnsi="仿宋"/>
          <w:sz w:val="28"/>
        </w:rPr>
        <w:t>肉毒杆菌抗毒素（</w:t>
      </w:r>
      <w:r>
        <w:rPr>
          <w:rFonts w:ascii="仿宋" w:eastAsia="仿宋" w:hAnsi="仿宋"/>
          <w:sz w:val="28"/>
        </w:rPr>
        <w:t>BTAT</w:t>
      </w:r>
      <w:r>
        <w:rPr>
          <w:rFonts w:ascii="仿宋" w:eastAsia="仿宋" w:hAnsi="仿宋"/>
          <w:sz w:val="28"/>
        </w:rPr>
        <w:t>）：用于治疗肉毒杆菌毒素引起的疾病，如肉毒中毒。</w:t>
      </w:r>
      <w:r>
        <w:rPr>
          <w:rFonts w:ascii="仿宋" w:eastAsia="仿宋" w:hAnsi="仿宋"/>
          <w:sz w:val="28"/>
        </w:rPr>
        <w:t>BTAT</w:t>
      </w:r>
      <w:r>
        <w:rPr>
          <w:rFonts w:ascii="仿宋" w:eastAsia="仿宋" w:hAnsi="仿宋"/>
          <w:sz w:val="28"/>
        </w:rPr>
        <w:t>含有针对肉毒杆菌毒素的抗体，能够中和毒素，阻止毒素与神经肌肉接头处的受体结合，从而减轻或消除肌肉麻痹等症状。</w:t>
      </w:r>
    </w:p>
    <w:p w:rsidR="00062D1F" w14:textId="7731E29F">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4.</w:t>
      </w:r>
      <w:r>
        <w:rPr>
          <w:rFonts w:ascii="仿宋" w:eastAsia="仿宋" w:hAnsi="仿宋"/>
          <w:sz w:val="28"/>
        </w:rPr>
        <w:t>蛇毒抗毒素：针对不同种类的蛇毒，如眼镜蛇毒、蝮蛇毒等，这些抗毒素含有针对特定蛇毒毒素的抗体，能够中和蛇毒毒素，减轻毒素对血液循环系统和神经系统的影响。</w:t>
      </w:r>
      <w:r>
        <w:rPr>
          <w:rFonts w:ascii="仿宋" w:eastAsia="仿宋" w:hAnsi="仿宋"/>
          <w:sz w:val="28"/>
        </w:rPr>
        <w:br/>
        <w:t xml:space="preserve">    5.</w:t>
      </w:r>
      <w:r>
        <w:rPr>
          <w:rFonts w:ascii="仿宋" w:eastAsia="仿宋" w:hAnsi="仿宋"/>
          <w:sz w:val="28"/>
        </w:rPr>
        <w:t>其他抗毒素：还包括针对其他毒素如蓖麻毒素、葡萄球菌毒素等的抗毒素，它们的功能都是通过特异性抗体中和毒素，从而达到治疗的目的。</w:t>
      </w:r>
      <w:r>
        <w:rPr>
          <w:rFonts w:ascii="仿宋" w:eastAsia="仿宋" w:hAnsi="仿宋"/>
          <w:sz w:val="28"/>
        </w:rPr>
        <w:br/>
      </w:r>
      <w:r>
        <w:rPr>
          <w:rFonts w:ascii="仿宋" w:eastAsia="仿宋" w:hAnsi="仿宋"/>
          <w:sz w:val="28"/>
        </w:rPr>
        <w:t>抗毒素类生物制品的安全性和有效性已经得到广泛验证，它们在急诊医学和预防医学中发挥着重要作用，特别是在处理突发公共卫生事件和控制传染病方面。随着生物技术的不断发展，抗毒素类生物制品的生产工艺和纯化技术也在不断改进，以提高产品的稳定性和疗效。</w:t>
      </w:r>
    </w:p>
    <w:p w:rsidR="009C12B5" w:rsidRPr="009C12B5" w:rsidP="009C12B5" w14:paraId="11D088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抗毒素类生物制品产品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抗毒素类生物制品产品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抗毒素类生物制品产品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抗毒素类生物制品产品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80B4036"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抗毒素类生物制品产品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2AAF97C" w14:textId="77777777">
      <w:pPr>
        <w:pStyle w:val="Heading2"/>
      </w:pPr>
      <w:bookmarkStart w:id="4" w:name="_Toc157814107"/>
      <w:r w:rsidRPr="009C12B5">
        <w:t>二、市场分析</w:t>
      </w:r>
      <w:bookmarkEnd w:id="4"/>
    </w:p>
    <w:p w:rsidR="009C12B5" w:rsidP="007A4CF7" w14:paraId="6431E7C8" w14:textId="77777777">
      <w:pPr>
        <w:pStyle w:val="Heading3"/>
      </w:pPr>
      <w:bookmarkStart w:id="5" w:name="_Toc157814108"/>
      <w:r w:rsidRPr="009C12B5">
        <w:t xml:space="preserve">2.1 </w:t>
      </w:r>
      <w:r w:rsidR="007A4CF7">
        <w:t>抗毒素类生物制品</w:t>
      </w:r>
      <w:r w:rsidRPr="009C12B5">
        <w:t>目标市场</w:t>
      </w:r>
      <w:bookmarkEnd w:id="5"/>
    </w:p>
    <w:p w:rsidR="00062D1F" w14:paraId="6995C669" w14:textId="146638C6">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抗毒素类生物制品产品目标市场分析应重点评估市场潜力和机会，以确定产品定位和营销策略。分析应包括以下几个方面：</w:t>
      </w:r>
      <w:r>
        <w:rPr>
          <w:rFonts w:ascii="仿宋" w:eastAsia="仿宋" w:hAnsi="仿宋"/>
          <w:sz w:val="28"/>
        </w:rPr>
        <w:br/>
        <w:t xml:space="preserve">    1.</w:t>
      </w:r>
      <w:r>
        <w:rPr>
          <w:rFonts w:ascii="仿宋" w:eastAsia="仿宋" w:hAnsi="仿宋"/>
          <w:sz w:val="28"/>
        </w:rPr>
        <w:t>市场容量评估：确定目标市场中的潜在客户群体规模，以及该群体对抗毒素类生物制品的需求量。</w:t>
      </w:r>
      <w:r>
        <w:rPr>
          <w:rFonts w:ascii="仿宋" w:eastAsia="仿宋" w:hAnsi="仿宋"/>
          <w:sz w:val="28"/>
        </w:rPr>
        <w:br/>
        <w:t xml:space="preserve">    2.</w:t>
      </w:r>
      <w:r>
        <w:rPr>
          <w:rFonts w:ascii="仿宋" w:eastAsia="仿宋" w:hAnsi="仿宋"/>
          <w:sz w:val="28"/>
        </w:rPr>
        <w:t>需求分析：研究目标市场对抗毒素类生物制品的具体需求，包括产品的质量、价格、功能、服务等。</w:t>
      </w:r>
      <w:r>
        <w:rPr>
          <w:rFonts w:ascii="仿宋" w:eastAsia="仿宋" w:hAnsi="仿宋"/>
          <w:sz w:val="28"/>
        </w:rPr>
        <w:br/>
        <w:t xml:space="preserve">    3.</w:t>
      </w:r>
      <w:r>
        <w:rPr>
          <w:rFonts w:ascii="仿宋" w:eastAsia="仿宋" w:hAnsi="仿宋"/>
          <w:sz w:val="28"/>
        </w:rPr>
        <w:t>竞争分析：评估现有和潜在竞争对手的情况，包括他们的市场份额、产品特点、营销策略等。</w:t>
      </w:r>
      <w:r>
        <w:rPr>
          <w:rFonts w:ascii="仿宋" w:eastAsia="仿宋" w:hAnsi="仿宋"/>
          <w:sz w:val="28"/>
        </w:rPr>
        <w:br/>
        <w:t xml:space="preserve">    4.</w:t>
      </w:r>
      <w:r>
        <w:rPr>
          <w:rFonts w:ascii="仿宋" w:eastAsia="仿宋" w:hAnsi="仿宋"/>
          <w:sz w:val="28"/>
        </w:rPr>
        <w:t>市场趋势：分析市场未来的发展方向和趋势，如政策变化、技术进步、消费者偏好变化等。</w:t>
      </w:r>
      <w:r>
        <w:rPr>
          <w:rFonts w:ascii="仿宋" w:eastAsia="仿宋" w:hAnsi="仿宋"/>
          <w:sz w:val="28"/>
        </w:rPr>
        <w:br/>
        <w:t xml:space="preserve">    5.</w:t>
      </w:r>
      <w:r>
        <w:rPr>
          <w:rFonts w:ascii="仿宋" w:eastAsia="仿宋" w:hAnsi="仿宋"/>
          <w:sz w:val="28"/>
        </w:rPr>
        <w:t>市场细分：根据不同的市场特征（如地域、客户类型、需求特点等）进行市场细分，确定产品最适销的市场区间。</w:t>
      </w:r>
      <w:r>
        <w:rPr>
          <w:rFonts w:ascii="仿宋" w:eastAsia="仿宋" w:hAnsi="仿宋"/>
          <w:sz w:val="28"/>
        </w:rPr>
        <w:br/>
        <w:t xml:space="preserve">    6.</w:t>
      </w:r>
      <w:r>
        <w:rPr>
          <w:rFonts w:ascii="仿宋" w:eastAsia="仿宋" w:hAnsi="仿宋"/>
          <w:sz w:val="28"/>
        </w:rPr>
        <w:t>营销策略制定：根据上述分析，制定相应的营销策略，包括产品定位、定价、渠道选择和促销活动等。</w:t>
      </w:r>
      <w:r>
        <w:rPr>
          <w:rFonts w:ascii="仿宋" w:eastAsia="仿宋" w:hAnsi="仿宋"/>
          <w:sz w:val="28"/>
        </w:rPr>
        <w:br/>
        <w:t xml:space="preserve">    7.</w:t>
      </w:r>
      <w:r>
        <w:rPr>
          <w:rFonts w:ascii="仿宋" w:eastAsia="仿宋" w:hAnsi="仿宋"/>
          <w:sz w:val="28"/>
        </w:rPr>
        <w:t>销售预测：基于市场分析，对产品的销售情况进行预测，为商业计划的财务部分提供支持。</w:t>
      </w:r>
      <w:r>
        <w:rPr>
          <w:rFonts w:ascii="仿宋" w:eastAsia="仿宋" w:hAnsi="仿宋"/>
          <w:sz w:val="28"/>
        </w:rPr>
        <w:br/>
        <w:t xml:space="preserve">    8.</w:t>
      </w:r>
    </w:p>
    <w:p w:rsidR="00062D1F" w14:textId="146638C6">
      <w:pPr>
        <w:ind w:firstLine="560"/>
      </w:pPr>
      <w:r>
        <w:rPr>
          <w:rFonts w:ascii="仿宋" w:eastAsia="仿宋" w:hAnsi="仿宋"/>
          <w:sz w:val="28"/>
        </w:rPr>
        <w:t>风险评估：识别市场分析中可能存在的风险因素，并制定相应的风险管理计划。</w:t>
      </w:r>
      <w:r>
        <w:rPr>
          <w:rFonts w:ascii="仿宋" w:eastAsia="仿宋" w:hAnsi="仿宋"/>
          <w:sz w:val="28"/>
        </w:rPr>
        <w:br/>
      </w:r>
      <w:r>
        <w:rPr>
          <w:rFonts w:ascii="仿宋" w:eastAsia="仿宋" w:hAnsi="仿宋"/>
          <w:sz w:val="28"/>
        </w:rPr>
        <w:t>通过上述分析，抗毒素类生物制品产品项目能够更好地了解目标市场的特点和需求，从而为产品的成功推出和市场占有率的提高奠定坚实的基础。</w:t>
      </w:r>
    </w:p>
    <w:p w:rsidR="009C12B5" w:rsidRPr="009C12B5" w:rsidP="009C12B5" w14:paraId="31E993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8C9519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抗毒素类生物制品产品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抗毒素类生物制品产品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抗毒素类生物制品产品</w:t>
      </w:r>
      <w:r w:rsidRPr="009C12B5">
        <w:rPr>
          <w:rFonts w:ascii="仿宋" w:eastAsia="仿宋" w:hAnsi="仿宋"/>
          <w:sz w:val="28"/>
          <w:szCs w:val="28"/>
        </w:rPr>
        <w:t>始终与市场需求保持同步。</w:t>
      </w:r>
    </w:p>
    <w:p w:rsidR="009C12B5" w:rsidP="007A4CF7" w14:paraId="0E4B6F37" w14:textId="77777777">
      <w:pPr>
        <w:pStyle w:val="Heading3"/>
      </w:pPr>
      <w:bookmarkStart w:id="6" w:name="_Toc157814109"/>
      <w:r w:rsidRPr="009C12B5">
        <w:t xml:space="preserve">2.2 </w:t>
      </w:r>
      <w:r w:rsidR="007A4CF7">
        <w:t>抗毒素类生物制品</w:t>
      </w:r>
      <w:r w:rsidR="007A4CF7">
        <w:rPr>
          <w:rFonts w:hint="eastAsia"/>
        </w:rPr>
        <w:t>市场</w:t>
      </w:r>
      <w:r w:rsidRPr="009C12B5">
        <w:t>竞争分析</w:t>
      </w:r>
      <w:bookmarkEnd w:id="6"/>
    </w:p>
    <w:p w:rsidR="00062D1F" w14:paraId="7EF6394A" w14:textId="1CBF855A">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在抗毒素类生物制品产品项目商业发展计划书中，市场竞争分析是一个关键部分，它帮助评估产品在市场中的地位、潜在竞争对手以及市场趋势。以下是对市场竞争分析的精炼专业描述：</w:t>
      </w:r>
      <w:r>
        <w:rPr>
          <w:rFonts w:ascii="仿宋" w:eastAsia="仿宋" w:hAnsi="仿宋"/>
          <w:sz w:val="28"/>
        </w:rPr>
        <w:br/>
        <w:t xml:space="preserve">    1.</w:t>
      </w:r>
      <w:r>
        <w:rPr>
          <w:rFonts w:ascii="仿宋" w:eastAsia="仿宋" w:hAnsi="仿宋"/>
          <w:sz w:val="28"/>
        </w:rPr>
        <w:t>市场定位</w:t>
      </w:r>
    </w:p>
    <w:p w:rsidR="00062D1F" w14:textId="1CBF855A">
      <w:pPr>
        <w:ind w:firstLine="560"/>
      </w:pPr>
      <w:r>
        <w:rPr>
          <w:rFonts w:ascii="仿宋" w:eastAsia="仿宋" w:hAnsi="仿宋"/>
          <w:sz w:val="28"/>
        </w:rPr>
        <w:t>：明确产品在市场中的独特价值主张，针对目标客户群的需求，提供差异化的解决方案。</w:t>
      </w:r>
      <w:r>
        <w:rPr>
          <w:rFonts w:ascii="仿宋" w:eastAsia="仿宋" w:hAnsi="仿宋"/>
          <w:sz w:val="28"/>
        </w:rPr>
        <w:br/>
        <w:t xml:space="preserve">    2.</w:t>
      </w:r>
      <w:r>
        <w:rPr>
          <w:rFonts w:ascii="仿宋" w:eastAsia="仿宋" w:hAnsi="仿宋"/>
          <w:sz w:val="28"/>
        </w:rPr>
        <w:t>竞争对手分析</w:t>
      </w:r>
      <w:r>
        <w:rPr>
          <w:rFonts w:ascii="仿宋" w:eastAsia="仿宋" w:hAnsi="仿宋"/>
          <w:sz w:val="28"/>
        </w:rPr>
        <w:t>：识别直接和间接竞争对手，分析他们的产品特性、市场策略、市场份额和优势劣势。</w:t>
      </w:r>
      <w:r>
        <w:rPr>
          <w:rFonts w:ascii="仿宋" w:eastAsia="仿宋" w:hAnsi="仿宋"/>
          <w:sz w:val="28"/>
        </w:rPr>
        <w:br/>
        <w:t xml:space="preserve">    3.</w:t>
      </w:r>
      <w:r>
        <w:rPr>
          <w:rFonts w:ascii="仿宋" w:eastAsia="仿宋" w:hAnsi="仿宋"/>
          <w:sz w:val="28"/>
        </w:rPr>
        <w:t>市场趋势</w:t>
      </w:r>
      <w:r>
        <w:rPr>
          <w:rFonts w:ascii="仿宋" w:eastAsia="仿宋" w:hAnsi="仿宋"/>
          <w:sz w:val="28"/>
        </w:rPr>
        <w:t>：研究市场动态，包括技术进步、监管环境变化、消费者偏好变化和行业标准更新，以预测市场未来的走向。</w:t>
      </w:r>
      <w:r>
        <w:rPr>
          <w:rFonts w:ascii="仿宋" w:eastAsia="仿宋" w:hAnsi="仿宋"/>
          <w:sz w:val="28"/>
        </w:rPr>
        <w:br/>
        <w:t xml:space="preserve">    4.</w:t>
      </w:r>
      <w:r>
        <w:rPr>
          <w:rFonts w:ascii="仿宋" w:eastAsia="仿宋" w:hAnsi="仿宋"/>
          <w:sz w:val="28"/>
        </w:rPr>
        <w:t>市场准入门槛</w:t>
      </w:r>
      <w:r>
        <w:rPr>
          <w:rFonts w:ascii="仿宋" w:eastAsia="仿宋" w:hAnsi="仿宋"/>
          <w:sz w:val="28"/>
        </w:rPr>
        <w:t>：评估新进入者面临的壁垒，如资金要求、技术复杂性、品牌影响力、分销渠道和政府许可等。</w:t>
      </w:r>
      <w:r>
        <w:rPr>
          <w:rFonts w:ascii="仿宋" w:eastAsia="仿宋" w:hAnsi="仿宋"/>
          <w:sz w:val="28"/>
        </w:rPr>
        <w:br/>
        <w:t xml:space="preserve">    5.</w:t>
      </w:r>
      <w:r>
        <w:rPr>
          <w:rFonts w:ascii="仿宋" w:eastAsia="仿宋" w:hAnsi="仿宋"/>
          <w:sz w:val="28"/>
        </w:rPr>
        <w:t>定价策略</w:t>
      </w:r>
      <w:r>
        <w:rPr>
          <w:rFonts w:ascii="仿宋" w:eastAsia="仿宋" w:hAnsi="仿宋"/>
          <w:sz w:val="28"/>
        </w:rPr>
        <w:t>：分析竞争对手的定价模式，制定合理的定价策略，确保产品在市场上的竞争力。</w:t>
      </w:r>
      <w:r>
        <w:rPr>
          <w:rFonts w:ascii="仿宋" w:eastAsia="仿宋" w:hAnsi="仿宋"/>
          <w:sz w:val="28"/>
        </w:rPr>
        <w:br/>
        <w:t xml:space="preserve">    6.</w:t>
      </w:r>
      <w:r>
        <w:rPr>
          <w:rFonts w:ascii="仿宋" w:eastAsia="仿宋" w:hAnsi="仿宋"/>
          <w:sz w:val="28"/>
        </w:rPr>
        <w:t>分销渠道</w:t>
      </w:r>
      <w:r>
        <w:rPr>
          <w:rFonts w:ascii="仿宋" w:eastAsia="仿宋" w:hAnsi="仿宋"/>
          <w:sz w:val="28"/>
        </w:rPr>
        <w:t>：研究市场上的分销渠道，包括直接销售、代理商、经销商和零售商，选择最有效的渠道组合。</w:t>
      </w:r>
      <w:r>
        <w:rPr>
          <w:rFonts w:ascii="仿宋" w:eastAsia="仿宋" w:hAnsi="仿宋"/>
          <w:sz w:val="28"/>
        </w:rPr>
        <w:br/>
        <w:t xml:space="preserve">    7.</w:t>
      </w:r>
      <w:r>
        <w:rPr>
          <w:rFonts w:ascii="仿宋" w:eastAsia="仿宋" w:hAnsi="仿宋"/>
          <w:sz w:val="28"/>
        </w:rPr>
        <w:t>营销策略</w:t>
      </w:r>
      <w:r>
        <w:rPr>
          <w:rFonts w:ascii="仿宋" w:eastAsia="仿宋" w:hAnsi="仿宋"/>
          <w:sz w:val="28"/>
        </w:rPr>
        <w:t>：制定市场推广计划，包括广告、促销、公关和社交媒体策略，以提高品牌知名度和产品接受度。</w:t>
      </w:r>
      <w:r>
        <w:rPr>
          <w:rFonts w:ascii="仿宋" w:eastAsia="仿宋" w:hAnsi="仿宋"/>
          <w:sz w:val="28"/>
        </w:rPr>
        <w:br/>
        <w:t xml:space="preserve">    8.</w:t>
      </w:r>
      <w:r>
        <w:rPr>
          <w:rFonts w:ascii="仿宋" w:eastAsia="仿宋" w:hAnsi="仿宋"/>
          <w:sz w:val="28"/>
        </w:rPr>
        <w:t>客户关系管理</w:t>
      </w:r>
      <w:r>
        <w:rPr>
          <w:rFonts w:ascii="仿宋" w:eastAsia="仿宋" w:hAnsi="仿宋"/>
          <w:sz w:val="28"/>
        </w:rPr>
        <w:t>：建立有效的客户服务体系，通过客户反馈和满意度调查，不断优化产品和服务。</w:t>
      </w:r>
      <w:r>
        <w:rPr>
          <w:rFonts w:ascii="仿宋" w:eastAsia="仿宋" w:hAnsi="仿宋"/>
          <w:sz w:val="28"/>
        </w:rPr>
        <w:br/>
        <w:t xml:space="preserve">    9.</w:t>
      </w:r>
      <w:r>
        <w:rPr>
          <w:rFonts w:ascii="仿宋" w:eastAsia="仿宋" w:hAnsi="仿宋"/>
          <w:sz w:val="28"/>
        </w:rPr>
        <w:t>风险评估</w:t>
      </w:r>
      <w:r>
        <w:rPr>
          <w:rFonts w:ascii="仿宋" w:eastAsia="仿宋" w:hAnsi="仿宋"/>
          <w:sz w:val="28"/>
        </w:rPr>
        <w:t>：识别潜在的市场风险，如政策变化、竞争对手反应、技术颠覆和市场饱和，并制定相应的风险应对策略。</w:t>
      </w:r>
      <w:r>
        <w:rPr>
          <w:rFonts w:ascii="仿宋" w:eastAsia="仿宋" w:hAnsi="仿宋"/>
          <w:sz w:val="28"/>
        </w:rPr>
        <w:br/>
      </w:r>
      <w:r>
        <w:rPr>
          <w:rFonts w:ascii="仿宋" w:eastAsia="仿宋" w:hAnsi="仿宋"/>
          <w:sz w:val="28"/>
        </w:rPr>
        <w:t>通过上述分析，抗毒素类生物制品产品项目能够更好地了解市场环境，制定有效的商业策略，确保产品在市场中的竞争优势。</w:t>
      </w:r>
    </w:p>
    <w:p w:rsidR="009C12B5" w:rsidRPr="009C12B5" w:rsidP="009C12B5" w14:paraId="4700C172"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抗毒素类生物制品产品</w:t>
      </w:r>
      <w:r w:rsidRPr="009C12B5">
        <w:rPr>
          <w:rFonts w:ascii="仿宋" w:eastAsia="仿宋" w:hAnsi="仿宋"/>
          <w:sz w:val="28"/>
          <w:szCs w:val="28"/>
        </w:rPr>
        <w:t>的竞争优势和差异化策略。我们认为，</w:t>
      </w:r>
      <w:r w:rsidR="00E75C7F">
        <w:rPr>
          <w:rFonts w:ascii="仿宋" w:eastAsia="仿宋" w:hAnsi="仿宋"/>
          <w:sz w:val="28"/>
          <w:szCs w:val="28"/>
        </w:rPr>
        <w:t>抗毒素类生物制品产品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30A0C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抗毒素类生物制品产品</w:t>
      </w:r>
      <w:r w:rsidRPr="009C12B5">
        <w:rPr>
          <w:rFonts w:ascii="仿宋" w:eastAsia="仿宋" w:hAnsi="仿宋"/>
          <w:sz w:val="28"/>
          <w:szCs w:val="28"/>
        </w:rPr>
        <w:t>将在竞争激烈的市场中脱颖而出。</w:t>
      </w:r>
    </w:p>
    <w:p w:rsidR="009C12B5" w:rsidP="007A4CF7" w14:paraId="337F2B8B" w14:textId="77777777">
      <w:pPr>
        <w:pStyle w:val="Heading3"/>
      </w:pPr>
      <w:bookmarkStart w:id="7" w:name="_Toc157814110"/>
      <w:r w:rsidRPr="009C12B5">
        <w:t xml:space="preserve">2.3 </w:t>
      </w:r>
      <w:r w:rsidR="007A4CF7">
        <w:t>抗毒素类生物制品</w:t>
      </w:r>
      <w:r w:rsidRPr="009C12B5">
        <w:t>行业趋势与机遇</w:t>
      </w:r>
      <w:bookmarkEnd w:id="7"/>
    </w:p>
    <w:p w:rsidR="00062D1F" w14:paraId="30B65522" w14:textId="69782CF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抗毒素类生物制品行业正面临着一系列积极的趋势和机遇，为该领域的商业发展提供了广阔的前景。首先，随着全球对生物安全性和公共卫生的关注日益增加，对抗毒素类生物制品的需求不断增长。这些产品在预防和治疗由毒素和生物恐怖主义威胁引起的疾病方面发挥着关键作用，因此受到了政府和医疗体系的重视。</w:t>
      </w:r>
      <w:r>
        <w:rPr>
          <w:rFonts w:ascii="仿宋" w:eastAsia="仿宋" w:hAnsi="仿宋"/>
          <w:sz w:val="28"/>
        </w:rPr>
        <w:br/>
      </w:r>
      <w:r>
        <w:rPr>
          <w:rFonts w:ascii="仿宋" w:eastAsia="仿宋" w:hAnsi="仿宋"/>
          <w:sz w:val="28"/>
        </w:rPr>
        <w:t>其次，技术的进步为抗毒素类生物制品的研发和生产带来了新的可能性。生物技术的发展，特别是基因工程和蛋白质工程技术的应用，使得生产更高效、更安全的抗毒素成为可能。这些技术不仅提高了产品的稳定性和纯度，还使得定制化抗毒素的生产成为现实，以满足不同患者群体的需求。</w:t>
      </w:r>
      <w:r>
        <w:rPr>
          <w:rFonts w:ascii="仿宋" w:eastAsia="仿宋" w:hAnsi="仿宋"/>
          <w:sz w:val="28"/>
        </w:rPr>
        <w:br/>
      </w:r>
    </w:p>
    <w:p w:rsidR="00062D1F" w14:textId="69782CF9">
      <w:pPr>
        <w:ind w:firstLine="560"/>
      </w:pPr>
      <w:r>
        <w:rPr>
          <w:rFonts w:ascii="仿宋" w:eastAsia="仿宋" w:hAnsi="仿宋"/>
          <w:sz w:val="28"/>
        </w:rPr>
        <w:t>此外，全球人口老龄化和慢性疾病患病率的上升也增加了对抗毒素类生物制品的需求。随着年龄的增长，人体对毒素的耐受性降低，对抗毒素的需求相应增加。同时，抗毒素在治疗某些慢性疾病引起的并发症方面也显示出潜力，为行业提供了新的增长点。</w:t>
      </w:r>
      <w:r>
        <w:rPr>
          <w:rFonts w:ascii="仿宋" w:eastAsia="仿宋" w:hAnsi="仿宋"/>
          <w:sz w:val="28"/>
        </w:rPr>
        <w:br/>
      </w:r>
      <w:r>
        <w:rPr>
          <w:rFonts w:ascii="仿宋" w:eastAsia="仿宋" w:hAnsi="仿宋"/>
          <w:sz w:val="28"/>
        </w:rPr>
        <w:t>另外，新兴市场的崛起为抗毒素类生物制品行业带来了巨大的商业机遇。随着发展中国家经济的发展和医疗体系的完善，对抗毒素类生物制品的需求将显著增长。这些市场不仅提供了庞大的潜在客户群，还可能成为未来行业创新和发展的关键驱动力。</w:t>
      </w:r>
      <w:r>
        <w:rPr>
          <w:rFonts w:ascii="仿宋" w:eastAsia="仿宋" w:hAnsi="仿宋"/>
          <w:sz w:val="28"/>
        </w:rPr>
        <w:br/>
      </w:r>
      <w:r>
        <w:rPr>
          <w:rFonts w:ascii="仿宋" w:eastAsia="仿宋" w:hAnsi="仿宋"/>
          <w:sz w:val="28"/>
        </w:rPr>
        <w:t>最后，政策的支持和鼓励也为抗毒素类生物制品行业的发展提供了有力保障。许多国家和地区都出台了支持生物医药产业发展的政策，包括税收优惠、研发补贴和市场准入简化等措施，这些都有助于降低企业的运营成本，促进产品的研发和商业化。</w:t>
      </w:r>
      <w:r>
        <w:rPr>
          <w:rFonts w:ascii="仿宋" w:eastAsia="仿宋" w:hAnsi="仿宋"/>
          <w:sz w:val="28"/>
        </w:rPr>
        <w:br/>
      </w:r>
      <w:r>
        <w:rPr>
          <w:rFonts w:ascii="仿宋" w:eastAsia="仿宋" w:hAnsi="仿宋"/>
          <w:sz w:val="28"/>
        </w:rPr>
        <w:t>综上所述，抗毒素类生物制品行业正处于一个充满机遇和潜力的时期。随着全球对生物安全性和公共卫生的关注度不断提高，技术的进步，人口结构的变化，新兴市场的崛起以及政策的支持，该行业有望迎来持续的增长和创新。对于投资者和从业者而言，现在是积极布局和参与这一领域的有利时机。</w:t>
      </w:r>
    </w:p>
    <w:p w:rsidR="009C12B5" w:rsidRPr="009C12B5" w:rsidP="009C12B5" w14:paraId="5DECB777"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抗毒素类生物制品产品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抗毒素类生物制品产品</w:t>
      </w:r>
      <w:r w:rsidRPr="009C12B5">
        <w:rPr>
          <w:rFonts w:ascii="仿宋" w:eastAsia="仿宋" w:hAnsi="仿宋"/>
          <w:sz w:val="28"/>
          <w:szCs w:val="28"/>
        </w:rPr>
        <w:t>始终走在行业的前沿并抓住每一个市场机遇。</w:t>
      </w:r>
    </w:p>
    <w:p w:rsidR="009C12B5" w:rsidRPr="009C12B5" w:rsidP="007A4CF7" w14:paraId="5D474052" w14:textId="77777777">
      <w:pPr>
        <w:pStyle w:val="Heading2"/>
      </w:pPr>
      <w:bookmarkStart w:id="8" w:name="_Toc157814111"/>
      <w:r w:rsidRPr="009C12B5">
        <w:t>三、营销策略</w:t>
      </w:r>
      <w:bookmarkEnd w:id="8"/>
    </w:p>
    <w:p w:rsidR="009C12B5" w:rsidRPr="009C12B5" w:rsidP="007A4CF7" w14:paraId="117B7FCE" w14:textId="77777777">
      <w:pPr>
        <w:pStyle w:val="Heading3"/>
      </w:pPr>
      <w:bookmarkStart w:id="9" w:name="_Toc157814112"/>
      <w:r w:rsidRPr="009C12B5">
        <w:t xml:space="preserve">3.1 </w:t>
      </w:r>
      <w:r w:rsidRPr="009C12B5">
        <w:t>品牌定位与传播</w:t>
      </w:r>
      <w:bookmarkEnd w:id="9"/>
    </w:p>
    <w:p w:rsidR="009C12B5" w:rsidRPr="009C12B5" w:rsidP="007A4CF7" w14:paraId="49E2B889"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抗毒素类生物制品产品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9CE2A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抗毒素类生物制品产品</w:t>
      </w:r>
      <w:r w:rsidRPr="009C12B5">
        <w:rPr>
          <w:rFonts w:ascii="仿宋" w:eastAsia="仿宋" w:hAnsi="仿宋"/>
          <w:sz w:val="28"/>
          <w:szCs w:val="28"/>
        </w:rPr>
        <w:t>的专业评测和推荐文章，以扩大品牌影响力。</w:t>
      </w:r>
    </w:p>
    <w:p w:rsidR="009C12B5" w:rsidRPr="009C12B5" w:rsidP="009C12B5" w14:paraId="1534C1F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抗毒素类生物制品产品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402BEE2" w14:textId="77777777">
      <w:pPr>
        <w:pStyle w:val="Heading3"/>
      </w:pPr>
      <w:bookmarkStart w:id="10" w:name="_Toc157814113"/>
      <w:r w:rsidRPr="009C12B5">
        <w:t xml:space="preserve">3.2 </w:t>
      </w:r>
      <w:r w:rsidR="007A4CF7">
        <w:t>抗毒素类生物制品</w:t>
      </w:r>
      <w:r w:rsidRPr="009C12B5">
        <w:t>产品定价策略</w:t>
      </w:r>
      <w:bookmarkEnd w:id="10"/>
    </w:p>
    <w:p w:rsidR="009C12B5" w:rsidRPr="009C12B5" w:rsidP="00CA39FB" w14:paraId="1861B1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抗毒素类生物制品产品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76F1CD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55403B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抗毒素类生物制品产品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731EC8A9" w14:textId="77777777">
      <w:pPr>
        <w:pStyle w:val="Heading3"/>
      </w:pPr>
      <w:bookmarkStart w:id="11" w:name="_Toc157814114"/>
      <w:r w:rsidRPr="009C12B5">
        <w:t xml:space="preserve">3.3 </w:t>
      </w:r>
      <w:r w:rsidR="007A4CF7">
        <w:t>抗毒素类生物制品</w:t>
      </w:r>
      <w:r w:rsidR="007A4CF7">
        <w:rPr>
          <w:rFonts w:hint="eastAsia"/>
        </w:rPr>
        <w:t>产品</w:t>
      </w:r>
      <w:r w:rsidRPr="009C12B5">
        <w:t>销售渠道与拓展</w:t>
      </w:r>
      <w:bookmarkEnd w:id="11"/>
    </w:p>
    <w:p w:rsidR="009C12B5" w:rsidRPr="009C12B5" w:rsidP="009C12B5" w14:paraId="7F04E50A"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抗毒素类生物制品产品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9D3B5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抗毒素类生物制品产品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9E04B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抗毒素类生物制品产品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CC614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604F5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https://d.book118.com/637046100066006040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5DEAECC" w14:textId="77777777">
    <w:pPr>
      <w:pStyle w:val="Footer"/>
      <w:jc w:val="center"/>
    </w:pPr>
  </w:p>
  <w:p w:rsidR="00FE7E16" w14:paraId="6AE49F0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57AFA01" w14:textId="77777777">
    <w:pPr>
      <w:pStyle w:val="Footer"/>
      <w:jc w:val="center"/>
    </w:pPr>
  </w:p>
  <w:p w:rsidR="007A4CF7" w14:paraId="69D5E54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A2E5E5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0FE544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8887128"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569E5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1450644"/>
      <w:docPartObj>
        <w:docPartGallery w:val="Page Numbers (Bottom of Page)"/>
        <w:docPartUnique/>
      </w:docPartObj>
    </w:sdtPr>
    <w:sdtContent>
      <w:sdt>
        <w:sdtPr>
          <w:id w:val="2464695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4577885"/>
      <w:docPartObj>
        <w:docPartGallery w:val="Page Numbers (Bottom of Page)"/>
        <w:docPartUnique/>
      </w:docPartObj>
    </w:sdtPr>
    <w:sdtContent>
      <w:sdt>
        <w:sdtPr>
          <w:id w:val="4837712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6692791"/>
      <w:docPartObj>
        <w:docPartGallery w:val="Page Numbers (Bottom of Page)"/>
        <w:docPartUnique/>
      </w:docPartObj>
    </w:sdtPr>
    <w:sdtContent>
      <w:sdt>
        <w:sdtPr>
          <w:id w:val="11674154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993160"/>
      <w:docPartObj>
        <w:docPartGallery w:val="Page Numbers (Bottom of Page)"/>
        <w:docPartUnique/>
      </w:docPartObj>
    </w:sdtPr>
    <w:sdtContent>
      <w:sdt>
        <w:sdtPr>
          <w:id w:val="8009580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3082404"/>
      <w:docPartObj>
        <w:docPartGallery w:val="Page Numbers (Bottom of Page)"/>
        <w:docPartUnique/>
      </w:docPartObj>
    </w:sdtPr>
    <w:sdtContent>
      <w:sdt>
        <w:sdtPr>
          <w:id w:val="4239219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69384"/>
      <w:docPartObj>
        <w:docPartGallery w:val="Page Numbers (Bottom of Page)"/>
        <w:docPartUnique/>
      </w:docPartObj>
    </w:sdtPr>
    <w:sdtContent>
      <w:sdt>
        <w:sdtPr>
          <w:id w:val="17999060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9749330"/>
      <w:docPartObj>
        <w:docPartGallery w:val="Page Numbers (Bottom of Page)"/>
        <w:docPartUnique/>
      </w:docPartObj>
    </w:sdtPr>
    <w:sdtContent>
      <w:sdt>
        <w:sdtPr>
          <w:id w:val="8396490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5577806"/>
      <w:docPartObj>
        <w:docPartGallery w:val="Page Numbers (Bottom of Page)"/>
        <w:docPartUnique/>
      </w:docPartObj>
    </w:sdtPr>
    <w:sdtContent>
      <w:sdt>
        <w:sdtPr>
          <w:id w:val="15272525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8021226"/>
      <w:docPartObj>
        <w:docPartGallery w:val="Page Numbers (Bottom of Page)"/>
        <w:docPartUnique/>
      </w:docPartObj>
    </w:sdtPr>
    <w:sdtContent>
      <w:sdt>
        <w:sdtPr>
          <w:id w:val="47086891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0042078"/>
      <w:docPartObj>
        <w:docPartGallery w:val="Page Numbers (Bottom of Page)"/>
        <w:docPartUnique/>
      </w:docPartObj>
    </w:sdtPr>
    <w:sdtContent>
      <w:sdt>
        <w:sdtPr>
          <w:id w:val="12584201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4883808"/>
      <w:docPartObj>
        <w:docPartGallery w:val="Page Numbers (Bottom of Page)"/>
        <w:docPartUnique/>
      </w:docPartObj>
    </w:sdtPr>
    <w:sdtContent>
      <w:sdt>
        <w:sdtPr>
          <w:id w:val="7333871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4122669"/>
      <w:docPartObj>
        <w:docPartGallery w:val="Page Numbers (Bottom of Page)"/>
        <w:docPartUnique/>
      </w:docPartObj>
    </w:sdtPr>
    <w:sdtContent>
      <w:sdt>
        <w:sdtPr>
          <w:id w:val="6937980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0570589"/>
      <w:docPartObj>
        <w:docPartGallery w:val="Page Numbers (Bottom of Page)"/>
        <w:docPartUnique/>
      </w:docPartObj>
    </w:sdtPr>
    <w:sdtContent>
      <w:sdt>
        <w:sdtPr>
          <w:id w:val="15299030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5259353"/>
      <w:docPartObj>
        <w:docPartGallery w:val="Page Numbers (Bottom of Page)"/>
        <w:docPartUnique/>
      </w:docPartObj>
    </w:sdtPr>
    <w:sdtContent>
      <w:sdt>
        <w:sdtPr>
          <w:id w:val="6488344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3189754"/>
      <w:docPartObj>
        <w:docPartGallery w:val="Page Numbers (Bottom of Page)"/>
        <w:docPartUnique/>
      </w:docPartObj>
    </w:sdtPr>
    <w:sdtContent>
      <w:sdt>
        <w:sdtPr>
          <w:id w:val="14804485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5058760"/>
      <w:docPartObj>
        <w:docPartGallery w:val="Page Numbers (Bottom of Page)"/>
        <w:docPartUnique/>
      </w:docPartObj>
    </w:sdtPr>
    <w:sdtContent>
      <w:sdt>
        <w:sdtPr>
          <w:id w:val="19228889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6305427"/>
      <w:docPartObj>
        <w:docPartGallery w:val="Page Numbers (Bottom of Page)"/>
        <w:docPartUnique/>
      </w:docPartObj>
    </w:sdtPr>
    <w:sdtContent>
      <w:sdt>
        <w:sdtPr>
          <w:id w:val="22922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4070715"/>
      <w:docPartObj>
        <w:docPartGallery w:val="Page Numbers (Bottom of Page)"/>
        <w:docPartUnique/>
      </w:docPartObj>
    </w:sdtPr>
    <w:sdtContent>
      <w:sdt>
        <w:sdtPr>
          <w:id w:val="8997302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8114922"/>
      <w:docPartObj>
        <w:docPartGallery w:val="Page Numbers (Bottom of Page)"/>
        <w:docPartUnique/>
      </w:docPartObj>
    </w:sdtPr>
    <w:sdtContent>
      <w:sdt>
        <w:sdtPr>
          <w:id w:val="3849747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097831"/>
      <w:docPartObj>
        <w:docPartGallery w:val="Page Numbers (Bottom of Page)"/>
        <w:docPartUnique/>
      </w:docPartObj>
    </w:sdtPr>
    <w:sdtContent>
      <w:sdt>
        <w:sdtPr>
          <w:id w:val="20204801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5158950"/>
      <w:docPartObj>
        <w:docPartGallery w:val="Page Numbers (Bottom of Page)"/>
        <w:docPartUnique/>
      </w:docPartObj>
    </w:sdtPr>
    <w:sdtContent>
      <w:sdt>
        <w:sdtPr>
          <w:id w:val="11538560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0723480"/>
      <w:docPartObj>
        <w:docPartGallery w:val="Page Numbers (Bottom of Page)"/>
        <w:docPartUnique/>
      </w:docPartObj>
    </w:sdtPr>
    <w:sdtContent>
      <w:sdt>
        <w:sdtPr>
          <w:id w:val="12804799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BF9C12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BD675D1"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62D1F"/>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EE185D"/>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D9980C8"/>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637046100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2806</Words>
  <Characters>15996</Characters>
  <Application>Microsoft Office Word</Application>
  <DocSecurity>0</DocSecurity>
  <Lines>133</Lines>
  <Paragraphs>37</Paragraphs>
  <ScaleCrop>false</ScaleCrop>
  <Company/>
  <LinksUpToDate>false</LinksUpToDate>
  <CharactersWithSpaces>18765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2024-02-05T05:08:00Z</dcterms:modified>
</cp:coreProperties>
</file>