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650BF" w:rsidP="00B650BF" w14:paraId="02D21408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650BF">
        <w:rPr>
          <w:rFonts w:ascii="华文中宋" w:eastAsia="华文中宋" w:hAnsi="华文中宋"/>
          <w:b/>
          <w:sz w:val="30"/>
        </w:rPr>
        <w:t>2023</w:t>
      </w:r>
      <w:r w:rsidRPr="00B650BF">
        <w:rPr>
          <w:rFonts w:ascii="华文中宋" w:eastAsia="华文中宋" w:hAnsi="华文中宋"/>
          <w:b/>
          <w:sz w:val="30"/>
        </w:rPr>
        <w:t>湖南长沙市退役军人事务局及所属事业单位招聘普通雇员</w:t>
      </w:r>
      <w:r w:rsidRPr="00B650BF">
        <w:rPr>
          <w:rFonts w:ascii="华文中宋" w:eastAsia="华文中宋" w:hAnsi="华文中宋"/>
          <w:b/>
          <w:sz w:val="30"/>
        </w:rPr>
        <w:t>9</w:t>
      </w:r>
      <w:r w:rsidRPr="00B650BF">
        <w:rPr>
          <w:rFonts w:ascii="华文中宋" w:eastAsia="华文中宋" w:hAnsi="华文中宋"/>
          <w:b/>
          <w:sz w:val="30"/>
        </w:rPr>
        <w:t>人笔试备考题库及答案解析</w:t>
      </w:r>
    </w:p>
    <w:p w:rsidR="00A77B3E" w14:paraId="50573625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CC50EF9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30475A" w14:paraId="6EDC35A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1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科举制在中国影响深远，乡试录取者称为举人，会试录取者为贡生，那么殿试录取者称为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10347A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、大元</w:t>
      </w:r>
    </w:p>
    <w:p w:rsidR="0030475A" w14:paraId="45E0681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、进士</w:t>
      </w:r>
    </w:p>
    <w:p w:rsidR="0030475A" w14:paraId="4D05604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、解元</w:t>
      </w:r>
    </w:p>
    <w:p w:rsidR="0030475A" w14:paraId="624BEA5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、榜眼</w:t>
      </w:r>
    </w:p>
    <w:p w:rsidR="0030475A" w14:paraId="156A2EA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258C79BD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明代正式科举考试分为乡试、会试、殿试三级。乡试是由南、北直隶和各布政使司举行的地方考试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乡试考中的称举人，俗称孝廉，第一名称解元。会试是由礼部主持的全国考试，又称礼闱，于乡试的第二年即逢丑、辰、未、戌年举行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考中的称贡士，俗称出贡，别称明经，第一名称会元。殿试在会试后当年举行，时间最初是三月初一。明宪宗成化八年起，改为三月十五，应试者为贡士</w:t>
      </w:r>
      <w:r w:rsidRPr="0030475A">
        <w:rPr>
          <w:rFonts w:ascii="微软雅黑" w:eastAsia="微软雅黑" w:cs="微软雅黑"/>
          <w:szCs w:val="14"/>
        </w:rPr>
        <w:t>;</w:t>
      </w:r>
      <w:r w:rsidRPr="0030475A">
        <w:rPr>
          <w:rFonts w:ascii="微软雅黑" w:eastAsia="微软雅黑" w:cs="微软雅黑"/>
          <w:szCs w:val="14"/>
        </w:rPr>
        <w:t>贡士在殿试中均不落榜，只是由皇帝重新安排名次。殿试毕，次日放榜。录取分三甲：一甲三名，赐进士及第，第一名称状元、鼎元，二名榜眼，三名探花，合称三鼎甲。二甲赐进士出身，三甲赐</w:t>
      </w:r>
    </w:p>
    <w:p w:rsidR="0030475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同进士出身。二、三甲第一名皆称传胪。一、二、三甲通称进士。进士榜称甲榜，或称甲科。进士榜用黄纸书写，故叫黄甲，也称金榜，中进士称金榜题名。故选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1926FC9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2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《公民道德建设实施纲要》明确提出了我国公民的基本道德规范。其中，公民应忠于职守，克己为公，服务社会是公民基本道德规范中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的要求。</w:t>
      </w:r>
    </w:p>
    <w:p w:rsidR="0030475A" w14:paraId="07B3DCE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、爱国守法</w:t>
      </w:r>
    </w:p>
    <w:p w:rsidR="0030475A" w14:paraId="1A2F6E48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、勤俭自强</w:t>
      </w:r>
    </w:p>
    <w:p w:rsidR="0030475A" w14:paraId="28A66F23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、明礼诚信</w:t>
      </w:r>
    </w:p>
    <w:p w:rsidR="0030475A" w14:paraId="1402674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、敬业奉献</w:t>
      </w:r>
    </w:p>
    <w:p w:rsidR="0030475A" w14:paraId="3B411FA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4C67419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我国公民基本道德规范：爱国守法，明礼诚信，团结友善，勤俭自强，敬业奉献。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爱国守法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，强调公民应培养高尚的爱国主义精神，自觉地学法，懂法，用法，守法和护法。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勤俭自强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，强调公民应努力工作，勤俭节约，积极进取。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项错误，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明礼诚信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，强调公民应文明礼貌，诚实守信，诚恳待人。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项正确，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敬业奉献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，强调公民应忠于职守，克己为公，服务社会。故选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304C69D1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3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实践的观点是马克思主义的首要的基本观点，是理解马克思主义哲学的基础。下列关于实践的说法不正确的是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7E844B97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、实践是主观见之于客观的东西</w:t>
      </w:r>
    </w:p>
    <w:p w:rsidR="0030475A" w14:paraId="3454E9CD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、实践具有社会历史性</w:t>
      </w:r>
    </w:p>
    <w:p w:rsidR="0030475A" w14:paraId="389A206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、实践是社会生活的本质</w:t>
      </w:r>
    </w:p>
    <w:p w:rsidR="0030475A" w14:paraId="0BD93150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、实践是最根本的认识方法</w:t>
      </w:r>
    </w:p>
    <w:p w:rsidR="0030475A" w14:paraId="26457825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D</w:t>
      </w:r>
    </w:p>
    <w:p w:rsidR="0030475A" w14:paraId="521EF21E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选项即主体能动地反映客体对象，是主体作用于客体的活动，</w:t>
      </w: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说法正确，实践具有社会历史性是指人类以社会的形式进行着社会实践，人类的实践贯穿于社会历史的发展始终，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说法正确，马克思说：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社会生活在本质上是实践的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，即实践是社会生活的本质内容，</w:t>
      </w: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说法正确，认识事物最根本的方法是矛盾分析法，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说法错误。故选</w:t>
      </w: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083B381A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4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中国古代在自我修养方面提倡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，它是指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62E3F0B2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、一个人不要独处</w:t>
      </w:r>
    </w:p>
    <w:p w:rsidR="0030475A" w14:paraId="5D95BFCB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、一个人即使独处时，也要坚守自己的道德信念</w:t>
      </w:r>
    </w:p>
    <w:p w:rsidR="0030475A" w14:paraId="54EBB47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C</w:t>
      </w:r>
      <w:r w:rsidRPr="0030475A">
        <w:rPr>
          <w:rFonts w:ascii="微软雅黑" w:eastAsia="微软雅黑" w:cs="微软雅黑"/>
          <w:szCs w:val="14"/>
        </w:rPr>
        <w:t>、一个人要耐得住孤独与寂寞</w:t>
      </w:r>
    </w:p>
    <w:p w:rsidR="0030475A" w14:paraId="71785F99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D</w:t>
      </w:r>
      <w:r w:rsidRPr="0030475A">
        <w:rPr>
          <w:rFonts w:ascii="微软雅黑" w:eastAsia="微软雅黑" w:cs="微软雅黑"/>
          <w:szCs w:val="14"/>
        </w:rPr>
        <w:t>、一个人不可以单独活动</w:t>
      </w:r>
    </w:p>
    <w:p w:rsidR="0030475A" w14:paraId="31F86D4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答案：</w:t>
      </w:r>
      <w:r w:rsidRPr="0030475A">
        <w:rPr>
          <w:rFonts w:ascii="微软雅黑" w:eastAsia="微软雅黑" w:cs="微软雅黑"/>
          <w:szCs w:val="14"/>
        </w:rPr>
        <w:t>B</w:t>
      </w:r>
    </w:p>
    <w:p w:rsidR="0030475A" w14:paraId="228486C6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228B22"/>
          <w:szCs w:val="14"/>
        </w:rPr>
        <w:t>解析：</w:t>
      </w:r>
      <w:r w:rsidRPr="0030475A">
        <w:rPr>
          <w:rFonts w:ascii="微软雅黑" w:eastAsia="微软雅黑" w:cs="微软雅黑"/>
          <w:szCs w:val="14"/>
        </w:rPr>
        <w:t>“</w:t>
      </w:r>
      <w:r w:rsidRPr="0030475A">
        <w:rPr>
          <w:rFonts w:ascii="微软雅黑" w:eastAsia="微软雅黑" w:cs="微软雅黑"/>
          <w:szCs w:val="14"/>
        </w:rPr>
        <w:t>慎独</w:t>
      </w:r>
      <w:r w:rsidRPr="0030475A">
        <w:rPr>
          <w:rFonts w:ascii="微软雅黑" w:eastAsia="微软雅黑" w:cs="微软雅黑"/>
          <w:szCs w:val="14"/>
        </w:rPr>
        <w:t>”</w:t>
      </w:r>
      <w:r w:rsidRPr="0030475A">
        <w:rPr>
          <w:rFonts w:ascii="微软雅黑" w:eastAsia="微软雅黑" w:cs="微软雅黑"/>
          <w:szCs w:val="14"/>
        </w:rPr>
        <w:t>是我国古代儒家创造出来的具有我国民族特色的自我修身方法。最先见于《礼记</w:t>
      </w:r>
      <w:r w:rsidRPr="0030475A">
        <w:rPr>
          <w:rFonts w:ascii="微软雅黑" w:eastAsia="微软雅黑" w:cs="微软雅黑"/>
          <w:szCs w:val="14"/>
        </w:rPr>
        <w:t>?</w:t>
      </w:r>
      <w:r w:rsidRPr="0030475A">
        <w:rPr>
          <w:rFonts w:ascii="微软雅黑" w:eastAsia="微软雅黑" w:cs="微软雅黑"/>
          <w:szCs w:val="14"/>
        </w:rPr>
        <w:t>大学》和《礼记</w:t>
      </w:r>
      <w:r w:rsidRPr="0030475A">
        <w:rPr>
          <w:rFonts w:ascii="微软雅黑" w:eastAsia="微软雅黑" w:cs="微软雅黑"/>
          <w:szCs w:val="14"/>
        </w:rPr>
        <w:t>?</w:t>
      </w:r>
      <w:r w:rsidRPr="0030475A">
        <w:rPr>
          <w:rFonts w:ascii="微软雅黑" w:eastAsia="微软雅黑" w:cs="微软雅黑"/>
          <w:szCs w:val="14"/>
        </w:rPr>
        <w:t>中庸》。它是指在独处时，自己的行为也要谨慎不苟，坚守自己的道德信念。故选</w:t>
      </w:r>
      <w:r w:rsidRPr="0030475A">
        <w:rPr>
          <w:rFonts w:ascii="微软雅黑" w:eastAsia="微软雅黑" w:cs="微软雅黑"/>
          <w:szCs w:val="14"/>
        </w:rPr>
        <w:t>B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51330ED4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color w:val="0000FF"/>
          <w:szCs w:val="14"/>
        </w:rPr>
        <w:t>5</w:t>
      </w:r>
      <w:r w:rsidRPr="0030475A">
        <w:rPr>
          <w:rFonts w:ascii="微软雅黑" w:eastAsia="微软雅黑" w:cs="微软雅黑"/>
          <w:color w:val="0000FF"/>
          <w:szCs w:val="14"/>
        </w:rPr>
        <w:t>．</w:t>
      </w:r>
      <w:r w:rsidRPr="0030475A">
        <w:rPr>
          <w:rFonts w:ascii="微软雅黑" w:eastAsia="微软雅黑" w:cs="微软雅黑"/>
          <w:szCs w:val="14"/>
        </w:rPr>
        <w:t>被代理人出示的授权委托书，授权不明的，应当</w:t>
      </w:r>
      <w:r w:rsidRPr="0030475A">
        <w:rPr>
          <w:rFonts w:ascii="微软雅黑" w:eastAsia="微软雅黑" w:cs="微软雅黑"/>
          <w:szCs w:val="14"/>
        </w:rPr>
        <w:t>()</w:t>
      </w:r>
      <w:r w:rsidRPr="0030475A">
        <w:rPr>
          <w:rFonts w:ascii="微软雅黑" w:eastAsia="微软雅黑" w:cs="微软雅黑"/>
          <w:szCs w:val="14"/>
        </w:rPr>
        <w:t>。</w:t>
      </w:r>
    </w:p>
    <w:p w:rsidR="0030475A" w14:paraId="2ECCBDFF" w14:textId="77777777">
      <w:pPr>
        <w:pStyle w:val="NormalWeb"/>
        <w:widowControl/>
        <w:spacing w:beforeAutospacing="0" w:after="260" w:afterAutospacing="0" w:line="360" w:lineRule="auto"/>
      </w:pPr>
      <w:r w:rsidRPr="0030475A">
        <w:rPr>
          <w:rFonts w:ascii="微软雅黑" w:eastAsia="微软雅黑" w:cs="微软雅黑"/>
          <w:szCs w:val="14"/>
        </w:rPr>
        <w:t>A</w:t>
      </w:r>
      <w:r w:rsidRPr="0030475A">
        <w:rPr>
          <w:rFonts w:ascii="微软雅黑" w:eastAsia="微软雅黑" w:cs="微软雅黑"/>
          <w:szCs w:val="14"/>
        </w:rPr>
        <w:t>、由被代理人对第三人承担民事责任，代理人不负责任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https://d.book118.com/637054004051006035</w:t>
        </w:r>
      </w:hyperlink>
    </w:p>
    <w:p w:rsidR="0030475A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:rsidP="00683DD2" w14:paraId="0E9280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0BF" w14:paraId="28D3609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:rsidP="00683DD2" w14:paraId="2551DF6C" w14:textId="76D00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650BF" w14:paraId="0D836CE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paraId="0E3FEA1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0B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:rsidP="00683DD2" w14:textId="76D00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650B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:rsidP="00683DD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50B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:rsidP="00683DD2" w14:textId="76D004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650B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paraId="0E7D429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paraId="4791E89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paraId="469D87D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0B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0475A"/>
    <w:rsid w:val="00683DD2"/>
    <w:rsid w:val="00A77B3E"/>
    <w:rsid w:val="00B650BF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E02422B"/>
  <w15:docId w15:val="{F6103E6B-1B86-4A4C-83AD-33EA21A1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30475A"/>
    <w:pPr>
      <w:widowControl w:val="0"/>
      <w:spacing w:beforeAutospacing="1" w:afterAutospacing="1"/>
    </w:pPr>
    <w:rPr>
      <w:rFonts w:ascii="Calibri" w:eastAsia="宋体" w:hAnsi="Calibri"/>
    </w:rPr>
  </w:style>
  <w:style w:type="paragraph" w:styleId="Header">
    <w:name w:val="header"/>
    <w:basedOn w:val="Normal"/>
    <w:link w:val="a"/>
    <w:rsid w:val="00B650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650BF"/>
    <w:rPr>
      <w:sz w:val="18"/>
      <w:szCs w:val="18"/>
    </w:rPr>
  </w:style>
  <w:style w:type="paragraph" w:styleId="Footer">
    <w:name w:val="footer"/>
    <w:basedOn w:val="Normal"/>
    <w:link w:val="a0"/>
    <w:rsid w:val="00B650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650BF"/>
    <w:rPr>
      <w:sz w:val="18"/>
      <w:szCs w:val="18"/>
    </w:rPr>
  </w:style>
  <w:style w:type="character" w:styleId="PageNumber">
    <w:name w:val="page number"/>
    <w:basedOn w:val="DefaultParagraphFont"/>
    <w:rsid w:val="00B6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37054004051006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2970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2024-01-29T10:30:00Z</dcterms:created>
  <dcterms:modified xsi:type="dcterms:W3CDTF">2024-01-29T10:30:00Z</dcterms:modified>
</cp:coreProperties>
</file>