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印后处理设备：打码喷码机项目建设总纲及方案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09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_Toc5092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43" w:history="1">
        <w:r>
          <w:rPr>
            <w:rFonts w:ascii="仿宋" w:eastAsia="仿宋" w:hAnsi="仿宋" w:cs="仿宋" w:hint="eastAsia"/>
            <w:lang w:eastAsia="zh-CN"/>
          </w:rPr>
          <w:t>一、印后处理设备：打码喷码机项目概论</w:t>
        </w:r>
        <w:r>
          <w:tab/>
        </w:r>
        <w:r>
          <w:fldChar w:fldCharType="begin"/>
        </w:r>
        <w:r>
          <w:instrText xml:space="preserve"> PAGEREF _Toc32743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60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_Toc20760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0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_Toc30220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61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_Toc29961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2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_Toc18482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9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_Toc20809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_Toc5508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_Toc13506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_Toc13287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03" w:history="1">
        <w:r>
          <w:rPr>
            <w:rFonts w:ascii="仿宋" w:eastAsia="仿宋" w:hAnsi="仿宋" w:cs="仿宋" w:hint="eastAsia"/>
            <w:lang w:eastAsia="zh-CN"/>
          </w:rPr>
          <w:t>三、财务管理与成本控制</w:t>
        </w:r>
        <w:r>
          <w:tab/>
        </w:r>
        <w:r>
          <w:fldChar w:fldCharType="begin"/>
        </w:r>
        <w:r>
          <w:instrText xml:space="preserve"> PAGEREF _Toc32203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6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_Toc28756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2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_Toc30092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14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_Toc10014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_Toc1962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9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_Toc7019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7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_Toc16487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16" w:history="1">
        <w:r>
          <w:rPr>
            <w:rFonts w:ascii="仿宋" w:eastAsia="仿宋" w:hAnsi="仿宋" w:cs="仿宋" w:hint="eastAsia"/>
            <w:lang w:eastAsia="zh-CN"/>
          </w:rPr>
          <w:t>五、项目监理与质量保证</w:t>
        </w:r>
        <w:r>
          <w:tab/>
        </w:r>
        <w:r>
          <w:fldChar w:fldCharType="begin"/>
        </w:r>
        <w:r>
          <w:instrText xml:space="preserve"> PAGEREF _Toc28516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_Toc3214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3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_Toc27363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7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_Toc20957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24" w:history="1">
        <w:r>
          <w:rPr>
            <w:rFonts w:ascii="仿宋" w:eastAsia="仿宋" w:hAnsi="仿宋" w:cs="仿宋" w:hint="eastAsia"/>
            <w:lang w:eastAsia="zh-CN"/>
          </w:rPr>
          <w:t>六、发展规划、产业政策和行业准入分析</w:t>
        </w:r>
        <w:r>
          <w:tab/>
        </w:r>
        <w:r>
          <w:fldChar w:fldCharType="begin"/>
        </w:r>
        <w:r>
          <w:instrText xml:space="preserve"> PAGEREF _Toc27824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15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_Toc27615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_Toc654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1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_Toc14401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73" w:history="1">
        <w:r>
          <w:rPr>
            <w:rFonts w:ascii="仿宋" w:eastAsia="仿宋" w:hAnsi="仿宋" w:cs="仿宋" w:hint="eastAsia"/>
            <w:lang w:eastAsia="zh-CN"/>
          </w:rPr>
          <w:t>七、环境保护与治理方案</w:t>
        </w:r>
        <w:r>
          <w:tab/>
        </w:r>
        <w:r>
          <w:fldChar w:fldCharType="begin"/>
        </w:r>
        <w:r>
          <w:instrText xml:space="preserve"> PAGEREF _Toc18073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08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_Toc30508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3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_Toc21713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37" w:history="1">
        <w:r>
          <w:rPr>
            <w:rFonts w:ascii="仿宋" w:eastAsia="仿宋" w:hAnsi="仿宋" w:cs="仿宋" w:hint="eastAsia"/>
            <w:lang w:eastAsia="zh-CN"/>
          </w:rPr>
          <w:t>八、项目进度计划</w:t>
        </w:r>
        <w:r>
          <w:tab/>
        </w:r>
        <w:r>
          <w:fldChar w:fldCharType="begin"/>
        </w:r>
        <w:r>
          <w:instrText xml:space="preserve"> PAGEREF _Toc10037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_Toc453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_Toc462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_Toc949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6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_Toc9326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_Toc2469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4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_Toc5064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7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_Toc22587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16" w:history="1">
        <w:r>
          <w:rPr>
            <w:rFonts w:ascii="仿宋" w:eastAsia="仿宋" w:hAnsi="仿宋" w:cs="仿宋" w:hint="eastAsia"/>
            <w:lang w:eastAsia="zh-CN"/>
          </w:rPr>
          <w:t>九、资金管理与财务规划</w:t>
        </w:r>
        <w:r>
          <w:tab/>
        </w:r>
        <w:r>
          <w:fldChar w:fldCharType="begin"/>
        </w:r>
        <w:r>
          <w:instrText xml:space="preserve"> PAGEREF _Toc29116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_Toc607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94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_Toc17394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92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_Toc17392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96" w:history="1">
        <w:r>
          <w:rPr>
            <w:rFonts w:ascii="仿宋" w:eastAsia="仿宋" w:hAnsi="仿宋" w:cs="仿宋" w:hint="eastAsia"/>
            <w:lang w:eastAsia="zh-CN"/>
          </w:rPr>
          <w:t>十、项目变更管理</w:t>
        </w:r>
        <w:r>
          <w:tab/>
        </w:r>
        <w:r>
          <w:fldChar w:fldCharType="begin"/>
        </w:r>
        <w:r>
          <w:instrText xml:space="preserve"> PAGEREF _Toc22596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476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_Toc30476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7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_Toc32087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6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_Toc8386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8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_Toc14608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72" w:history="1">
        <w:r>
          <w:rPr>
            <w:rFonts w:ascii="仿宋" w:eastAsia="仿宋" w:hAnsi="仿宋" w:cs="仿宋" w:hint="eastAsia"/>
            <w:lang w:eastAsia="zh-CN"/>
          </w:rPr>
          <w:t>十一、经济效益与社会效益优化</w:t>
        </w:r>
        <w:r>
          <w:tab/>
        </w:r>
        <w:r>
          <w:fldChar w:fldCharType="begin"/>
        </w:r>
        <w:r>
          <w:instrText xml:space="preserve"> PAGEREF _Toc14372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5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_Toc13275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8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_Toc8978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9" w:history="1">
        <w:r>
          <w:rPr>
            <w:rFonts w:ascii="仿宋" w:eastAsia="仿宋" w:hAnsi="仿宋" w:cs="仿宋" w:hint="eastAsia"/>
            <w:lang w:eastAsia="zh-CN"/>
          </w:rPr>
          <w:t>十二、项目质量与标准</w:t>
        </w:r>
        <w:r>
          <w:tab/>
        </w:r>
        <w:r>
          <w:fldChar w:fldCharType="begin"/>
        </w:r>
        <w:r>
          <w:instrText xml:space="preserve"> PAGEREF _Toc1739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0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_Toc32310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9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_Toc19489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0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_Toc12810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_Toc3269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37" w:history="1">
        <w:r>
          <w:rPr>
            <w:rFonts w:ascii="仿宋" w:eastAsia="仿宋" w:hAnsi="仿宋" w:cs="仿宋" w:hint="eastAsia"/>
            <w:lang w:eastAsia="zh-CN"/>
          </w:rPr>
          <w:t>十三、质量管理与控制</w:t>
        </w:r>
        <w:r>
          <w:tab/>
        </w:r>
        <w:r>
          <w:fldChar w:fldCharType="begin"/>
        </w:r>
        <w:r>
          <w:instrText xml:space="preserve"> PAGEREF _Toc9437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9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_Toc15019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5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_Toc6705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46" w:history="1">
        <w:r>
          <w:rPr>
            <w:rFonts w:ascii="仿宋" w:eastAsia="仿宋" w:hAnsi="仿宋" w:cs="仿宋" w:hint="eastAsia"/>
            <w:lang w:eastAsia="zh-CN"/>
          </w:rPr>
          <w:t>十四、人力资源管理与开发</w:t>
        </w:r>
        <w:r>
          <w:tab/>
        </w:r>
        <w:r>
          <w:fldChar w:fldCharType="begin"/>
        </w:r>
        <w:r>
          <w:instrText xml:space="preserve"> PAGEREF _Toc10046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1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_Toc4591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7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_Toc7747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28" w:history="1">
        <w:r>
          <w:rPr>
            <w:rFonts w:ascii="仿宋" w:eastAsia="仿宋" w:hAnsi="仿宋" w:cs="仿宋" w:hint="eastAsia"/>
            <w:lang w:eastAsia="zh-CN"/>
          </w:rPr>
          <w:t>十五、知识产权管理与保护</w:t>
        </w:r>
        <w:r>
          <w:tab/>
        </w:r>
        <w:r>
          <w:fldChar w:fldCharType="begin"/>
        </w:r>
        <w:r>
          <w:instrText xml:space="preserve"> PAGEREF _Toc20028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4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_Toc20704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5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_Toc7415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38" w:history="1">
        <w:r>
          <w:rPr>
            <w:rFonts w:ascii="仿宋" w:eastAsia="仿宋" w:hAnsi="仿宋" w:cs="仿宋" w:hint="eastAsia"/>
            <w:lang w:eastAsia="zh-CN"/>
          </w:rPr>
          <w:t>十六、法律法规与政策遵循</w:t>
        </w:r>
        <w:r>
          <w:tab/>
        </w:r>
        <w:r>
          <w:fldChar w:fldCharType="begin"/>
        </w:r>
        <w:r>
          <w:instrText xml:space="preserve"> PAGEREF _Toc22938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2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_Toc10792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7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_Toc10637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0" w:history="1">
        <w:r>
          <w:rPr>
            <w:rFonts w:ascii="仿宋" w:eastAsia="仿宋" w:hAnsi="仿宋" w:cs="仿宋" w:hint="eastAsia"/>
            <w:lang w:eastAsia="zh-CN"/>
          </w:rPr>
          <w:t>十七、企业合规与伦理</w:t>
        </w:r>
        <w:r>
          <w:tab/>
        </w:r>
        <w:r>
          <w:fldChar w:fldCharType="begin"/>
        </w:r>
        <w:r>
          <w:instrText xml:space="preserve"> PAGEREF _Toc2790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0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_Toc28720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1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_Toc27781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1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_Toc23131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89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_Toc29189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67" w:history="1">
        <w:r>
          <w:rPr>
            <w:rFonts w:ascii="仿宋" w:eastAsia="仿宋" w:hAnsi="仿宋" w:cs="仿宋" w:hint="eastAsia"/>
            <w:lang w:eastAsia="zh-CN"/>
          </w:rPr>
          <w:t>十八、项目施工方案</w:t>
        </w:r>
        <w:r>
          <w:tab/>
        </w:r>
        <w:r>
          <w:fldChar w:fldCharType="begin"/>
        </w:r>
        <w:r>
          <w:instrText xml:space="preserve"> PAGEREF _Toc10867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1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_Toc23061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3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_Toc31453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2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_Toc6702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7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_Toc17707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09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743"/>
      <w:r>
        <w:rPr>
          <w:rFonts w:ascii="仿宋" w:eastAsia="仿宋" w:hAnsi="仿宋" w:cs="仿宋" w:hint="eastAsia"/>
          <w:sz w:val="28"/>
          <w:lang w:eastAsia="zh-CN"/>
        </w:rPr>
        <w:t>一、印后处理设备：打码喷码机项目概论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760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后处理设备：打码喷码机项目的申报单位是“XXX实业发展公司”，这是一家在其所处行业内备受尊敬的企业。公司自成立以来，通过其在印后处理设备：打码喷码机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印后处理设备：打码喷码机项目及其他多个行业领域中都有着显著的贡献。秦XX以其出色的领导才能和敏锐的商业洞察力，带领公司在印后处理设备：打码喷码机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印后处理设备：打码喷码机项目的重要合作伙伴。公司专注于[行业名称]领域，以创新作为驱动力，不断推动技术进步和市场扩张。在印后处理设备：打码喷码机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印后处理设备：打码喷码机项目中展现了强劲的增长和稳定的财务表现。公司通过有效的策略，在印后处理设备：打码喷码机项目中扩大了其市场份额并增强了盈利能力。同时，公司积极承担社会责任，参与各类社会公益项目，增强了其在印后处理设备：打码喷码机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220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印后处理设备：打码喷码机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实业发展公司计划继续投资于技术创新和市场拓展，确保印后处理设备：打码喷码机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9961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8482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印后处理设备：打码喷码机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后处理设备：打码喷码机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印后处理设备：打码喷码机项目将积极采用可持续材料，如再生塑料和生物降解材料，以减少对环境的影响。项目还将推行废物减量和回收计划，例如通过再利用工业废料或建立回收系统。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印后处理设备：打码喷码机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0809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印后处理设备：打码喷码机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印后处理设备：打码喷码机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印后处理设备：打码喷码机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5508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印后处理设备：打码喷码机项目将采用绿色屋顶和生态墙等环境友好型建筑设计，这些设计不仅有助于改善空气质量，还能为城市野生动植物提供栖息地。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印后处理设备：打码喷码机项目将建立高效的废水处理系统，确保所有工业废水在排放前都经过适当处理，达到或超过环保标准。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印后处理设备：打码喷码机项目将致力于使用清洁能源，如太阳能和风能，减少对化石燃料的依赖。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印后处理设备：打码喷码机项目将举办环保教育研讨会，向员工和当地社区普及环保知识，提升对环境保护重要性的认识。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https://d.book118.com/638011131131006042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印后处理设备：打码喷码机项目建设总纲及方案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印后处理设备：打码喷码机项目建设总纲及方案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印后处理设备：打码喷码机项目建设总纲及方案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印后处理设备：打码喷码机项目建设总纲及方案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印后处理设备：打码喷码机项目建设总纲及方案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印后处理设备：打码喷码机项目建设总纲及方案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印后处理设备：打码喷码机项目建设总纲及方案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印后处理设备：打码喷码机项目建设总纲及方案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印后处理设备：打码喷码机项目建设总纲及方案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印后处理设备：打码喷码机项目建设总纲及方案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印后处理设备：打码喷码机项目建设总纲及方案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印后处理设备：打码喷码机项目建设总纲及方案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2B226D9"/>
    <w:rsid w:val="22B226D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63801113113100604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2024-02-17T23:03:00Z</dcterms:created>
  <dcterms:modified xsi:type="dcterms:W3CDTF">2024-02-17T23:03:31Z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5083EB11EE3643E393A3D3AD25BE8B39_11</vt:lpwstr>
  </property>
  <property fmtid="{D5CDD505-2E9C-101B-9397-08002B2CF9AE}" pid="3" name="KSOProductBuildVer">
    <vt:lpwstr>2052-12.1.0.16250</vt:lpwstr>
  </property>
</Properties>
</file>