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ind w:firstLine="640"/>
        <w:rPr>
          <w:rFonts w:hint="eastAsia"/>
          <w:sz w:val="32"/>
          <w:szCs w:val="32"/>
        </w:rPr>
      </w:pPr>
    </w:p>
    <w:p>
      <w:pPr>
        <w:ind w:firstLine="640"/>
        <w:rPr>
          <w:rFonts w:hint="eastAsia"/>
          <w:sz w:val="32"/>
          <w:szCs w:val="32"/>
        </w:rPr>
      </w:pPr>
    </w:p>
    <w:p>
      <w:pPr>
        <w:ind w:firstLine="640"/>
        <w:jc w:val="center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浅谈西安地铁二号线35kV GIS中压开关柜PSCADA信号的调试方法</w:t>
      </w:r>
    </w:p>
    <w:p>
      <w:pPr>
        <w:ind w:firstLine="640"/>
        <w:jc w:val="center"/>
        <w:rPr>
          <w:rFonts w:hint="eastAsia"/>
          <w:sz w:val="32"/>
          <w:szCs w:val="32"/>
        </w:rPr>
      </w:pPr>
    </w:p>
    <w:p>
      <w:pPr>
        <w:pStyle w:val="Heading1"/>
        <w:numPr>
          <w:ilvl w:val="0"/>
          <w:numId w:val="0"/>
        </w:numPr>
        <w:spacing w:before="720" w:after="480"/>
        <w:rPr>
          <w:rFonts w:hint="eastAsia"/>
        </w:rPr>
      </w:pPr>
      <w:bookmarkStart w:id="0" w:name="_Toc31702210"/>
      <w:bookmarkStart w:id="1" w:name="_Toc163979241"/>
      <w:bookmarkStart w:id="2" w:name="_Toc163534838"/>
      <w:bookmarkStart w:id="3" w:name="_Toc163534798"/>
      <w:bookmarkStart w:id="4" w:name="_Toc163534517"/>
      <w:bookmarkStart w:id="5" w:name="_Toc163533792"/>
      <w:bookmarkStart w:id="6" w:name="_Toc160891962"/>
      <w:bookmarkStart w:id="7" w:name="_Toc156316882"/>
      <w:bookmarkStart w:id="8" w:name="_Toc156292612"/>
      <w:bookmarkStart w:id="9" w:name="_Toc156292341"/>
      <w:bookmarkStart w:id="10" w:name="_Toc156291990"/>
      <w:bookmarkStart w:id="11" w:name="_Toc156291138"/>
      <w:bookmarkStart w:id="12" w:name="_Toc156292241"/>
      <w:bookmarkStart w:id="13" w:name="_Toc156291003"/>
      <w:bookmarkStart w:id="14" w:name="_Toc156290948"/>
      <w:bookmarkStart w:id="15" w:name="_Toc156059698"/>
      <w:bookmarkStart w:id="16" w:name="_Toc156054417"/>
      <w:bookmarkStart w:id="17" w:name="_Toc34995160"/>
      <w:r>
        <w:rPr>
          <w:rFonts w:hint="eastAsia"/>
        </w:rPr>
        <w:t>摘 要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</w:p>
    <w:p>
      <w:pPr>
        <w:ind w:firstLine="480"/>
        <w:rPr>
          <w:rFonts w:hint="eastAsia"/>
        </w:rPr>
      </w:pPr>
      <w:r>
        <w:rPr>
          <w:rFonts w:hint="eastAsia"/>
        </w:rPr>
        <w:t>本文主要介绍了西安地铁二号线3</w:t>
      </w:r>
      <w:r>
        <w:rPr>
          <w:rFonts w:ascii="宋体" w:hAnsi="宋体" w:hint="eastAsia"/>
        </w:rPr>
        <w:t>5kV GIS中压开关柜PSCADA信</w:t>
      </w:r>
      <w:r>
        <w:rPr>
          <w:rFonts w:hint="eastAsia"/>
        </w:rPr>
        <w:t>号的调试方法。</w:t>
      </w:r>
      <w:r>
        <w:rPr>
          <w:rFonts w:ascii="宋体" w:hAnsi="宋体" w:hint="eastAsia"/>
        </w:rPr>
        <w:t>地铁是一种独立的有轨交通系统，其正常运行不受地面道路拥挤的影响，能快捷、安全、舒适地运送旅客。在地铁供电系统中</w:t>
      </w:r>
      <w:r>
        <w:rPr>
          <w:rFonts w:ascii="宋体" w:hAnsi="宋体"/>
        </w:rPr>
        <w:t>35kV</w:t>
      </w:r>
      <w:r>
        <w:rPr>
          <w:rFonts w:ascii="宋体" w:hAnsi="宋体" w:hint="eastAsia"/>
        </w:rPr>
        <w:t>系统是为变电所提供电源的重要系统。在地铁运营中，35kV系统供电一旦中断，就会造成地铁运输的瘫痪，还有可能会危及旅客生命安全和造成财产损失。35kV系统设备调试可按单体调试、联动调试和综合联调三个步骤进行。电气调试是地铁电气专业施工的重要环节，调试中针对开关柜的调试方法必须掌握运用。</w:t>
      </w:r>
      <w:r>
        <w:rPr>
          <w:rFonts w:hint="eastAsia"/>
        </w:rPr>
        <w:t>对于变电所的调试方法，电气设备中尤为重要，在调试工作中，调试方案、调试人员、调试准备、调试条件都是通过协调可以完成的，且不需要技术层次的要求，但是从电气设备的具体调试方法，是作为整个调试工作的重点和难点，变电所设备调试是变电所建</w:t>
      </w:r>
      <w:r>
        <w:rPr>
          <w:rFonts w:ascii="宋体" w:hAnsi="宋体" w:hint="eastAsia"/>
        </w:rPr>
        <w:t>设的重要组成部分，对变电所安全、稳定运行有着极为重要的作用，常规综合变电所和PSCADA的调试，已经有了一套成熟、规范的调试方案，本文对电气设备的调试方法提出具体的非电</w:t>
      </w:r>
      <w:r>
        <w:rPr>
          <w:rFonts w:hint="eastAsia"/>
        </w:rPr>
        <w:t>量和电量的遥信、遥测测试方法及操作方法。</w:t>
      </w:r>
    </w:p>
    <w:p>
      <w:pPr>
        <w:ind w:firstLine="482"/>
        <w:rPr>
          <w:rFonts w:hint="eastAsia"/>
        </w:rPr>
      </w:pPr>
      <w:r>
        <w:rPr>
          <w:rFonts w:hint="eastAsia"/>
          <w:b/>
          <w:szCs w:val="24"/>
        </w:rPr>
        <w:t>关键词：</w:t>
      </w:r>
      <w:r>
        <w:rPr>
          <w:rFonts w:hint="eastAsia"/>
        </w:rPr>
        <w:t>地铁供电系统  35kV GIS中压开关柜   单体联调</w:t>
      </w:r>
    </w:p>
    <w:p>
      <w:pPr>
        <w:ind w:firstLine="482"/>
        <w:rPr>
          <w:rFonts w:hint="eastAsia"/>
          <w:b/>
          <w:szCs w:val="24"/>
        </w:rPr>
      </w:pPr>
      <w:bookmarkEnd w:id="17"/>
    </w:p>
    <w:p>
      <w:pPr>
        <w:ind w:firstLine="482"/>
        <w:rPr>
          <w:rFonts w:ascii="宋体" w:hAnsi="宋体" w:hint="eastAsia"/>
          <w:szCs w:val="24"/>
        </w:rPr>
      </w:pPr>
      <w:r>
        <w:rPr>
          <w:rFonts w:hint="eastAsia"/>
          <w:b/>
          <w:szCs w:val="24"/>
        </w:rPr>
        <w:t>论文类型：</w:t>
      </w:r>
      <w:r>
        <w:rPr>
          <w:color w:val="0000FF"/>
          <w:sz w:val="21"/>
        </w:rPr>
        <w:t>其它</w:t>
      </w:r>
    </w:p>
    <w:p>
      <w:pPr>
        <w:ind w:firstLine="420"/>
        <w:rPr>
          <w:rFonts w:hint="eastAsia"/>
          <w:sz w:val="21"/>
        </w:rPr>
      </w:pPr>
    </w:p>
    <w:p>
      <w:pPr>
        <w:spacing w:line="300" w:lineRule="auto"/>
        <w:ind w:firstLine="480"/>
        <w:rPr>
          <w:rFonts w:ascii="宋体" w:hAnsi="宋体" w:hint="eastAsia"/>
        </w:rPr>
      </w:pPr>
    </w:p>
    <w:p>
      <w:pPr>
        <w:spacing w:line="300" w:lineRule="auto"/>
        <w:ind w:firstLine="480"/>
        <w:rPr>
          <w:rFonts w:ascii="宋体" w:hAnsi="宋体" w:hint="eastAsia"/>
        </w:rPr>
      </w:pPr>
    </w:p>
    <w:p>
      <w:pPr>
        <w:spacing w:line="300" w:lineRule="auto"/>
        <w:ind w:firstLine="480"/>
        <w:rPr>
          <w:rFonts w:ascii="宋体" w:hAnsi="宋体" w:hint="eastAsia"/>
        </w:rPr>
      </w:pPr>
    </w:p>
    <w:p>
      <w:pPr>
        <w:spacing w:line="300" w:lineRule="auto"/>
        <w:ind w:firstLine="480"/>
        <w:rPr>
          <w:rFonts w:ascii="宋体" w:hAnsi="宋体" w:hint="eastAsia"/>
        </w:rPr>
      </w:pPr>
    </w:p>
    <w:p>
      <w:pPr>
        <w:spacing w:line="300" w:lineRule="auto"/>
        <w:ind w:firstLine="480"/>
        <w:rPr>
          <w:rFonts w:ascii="宋体" w:hAnsi="宋体" w:hint="eastAsia"/>
        </w:rPr>
      </w:pPr>
    </w:p>
    <w:p>
      <w:pPr>
        <w:spacing w:line="300" w:lineRule="auto"/>
        <w:ind w:firstLine="480"/>
        <w:rPr>
          <w:rFonts w:ascii="宋体" w:hAnsi="宋体" w:hint="eastAsia"/>
        </w:rPr>
      </w:pPr>
    </w:p>
    <w:p>
      <w:pPr>
        <w:spacing w:line="300" w:lineRule="auto"/>
        <w:ind w:firstLine="480"/>
        <w:rPr>
          <w:rFonts w:ascii="宋体" w:hAnsi="宋体" w:hint="eastAsia"/>
        </w:rPr>
        <w:sectPr>
          <w:headerReference w:type="even" r:id="rId4"/>
          <w:footerReference w:type="even" r:id="rId5"/>
          <w:type w:val="oddPage"/>
          <w:pgSz w:w="11907" w:h="16840"/>
          <w:pgMar w:top="1701" w:right="1474" w:bottom="1418" w:left="1474" w:header="1134" w:footer="992" w:gutter="0"/>
          <w:pgNumType w:fmt="upperRoman" w:start="1"/>
          <w:cols w:space="708"/>
          <w:docGrid w:linePitch="384" w:charSpace="7430"/>
        </w:sectPr>
      </w:pPr>
    </w:p>
    <w:p>
      <w:pPr>
        <w:pStyle w:val="Heading1"/>
        <w:numPr>
          <w:ilvl w:val="0"/>
          <w:numId w:val="0"/>
        </w:numPr>
        <w:spacing w:before="720" w:after="480"/>
        <w:ind w:left="22"/>
        <w:rPr>
          <w:rFonts w:hint="eastAsia"/>
        </w:rPr>
      </w:pPr>
      <w:bookmarkStart w:id="18" w:name="_Toc31702211"/>
      <w:r>
        <w:rPr>
          <w:rFonts w:hint="eastAsia"/>
        </w:rPr>
        <w:t>目  录</w:t>
      </w:r>
      <w:bookmarkEnd w:id="18"/>
    </w:p>
    <w:p>
      <w:pPr>
        <w:pStyle w:val="TOC1"/>
        <w:tabs>
          <w:tab w:val="right" w:leader="dot" w:pos="8949"/>
        </w:tabs>
        <w:rPr>
          <w:rFonts w:ascii="Calibri" w:hAnsi="Calibri"/>
          <w:sz w:val="21"/>
          <w:szCs w:val="22"/>
        </w:rPr>
      </w:pPr>
      <w:r>
        <w:rPr>
          <w:sz w:val="22"/>
          <w:szCs w:val="20"/>
        </w:rPr>
        <w:fldChar w:fldCharType="begin"/>
      </w:r>
      <w:r>
        <w:rPr>
          <w:sz w:val="22"/>
          <w:szCs w:val="20"/>
        </w:rPr>
        <w:instrText xml:space="preserve"> </w:instrText>
      </w:r>
      <w:r>
        <w:rPr>
          <w:rFonts w:hint="eastAsia"/>
          <w:sz w:val="22"/>
          <w:szCs w:val="20"/>
        </w:rPr>
        <w:instrText>TOC \o "2-3" \h \z \t "标题 1,1"</w:instrText>
      </w:r>
      <w:r>
        <w:rPr>
          <w:sz w:val="22"/>
          <w:szCs w:val="20"/>
        </w:rPr>
        <w:instrText xml:space="preserve"> </w:instrText>
      </w:r>
      <w:r>
        <w:rPr>
          <w:sz w:val="22"/>
          <w:szCs w:val="20"/>
        </w:rPr>
        <w:fldChar w:fldCharType="separate"/>
      </w:r>
      <w:hyperlink w:anchor="_Toc31702210" w:history="1">
        <w:r>
          <w:rPr>
            <w:rStyle w:val="Hyperlink"/>
            <w:rFonts w:hint="eastAsia"/>
          </w:rPr>
          <w:t>摘</w:t>
        </w:r>
        <w:r>
          <w:rPr>
            <w:rStyle w:val="Hyperlink"/>
          </w:rPr>
          <w:t xml:space="preserve"> </w:t>
        </w:r>
        <w:r>
          <w:rPr>
            <w:rStyle w:val="Hyperlink"/>
            <w:rFonts w:hint="eastAsia"/>
          </w:rPr>
          <w:t>要</w:t>
        </w:r>
        <w:r>
          <w:tab/>
        </w:r>
        <w:r>
          <w:fldChar w:fldCharType="begin"/>
        </w:r>
        <w:r>
          <w:instrText xml:space="preserve"> PAGEREF _Toc31702210 \h </w:instrText>
        </w:r>
        <w:r>
          <w:fldChar w:fldCharType="separate"/>
        </w:r>
        <w:r>
          <w:t>I</w:t>
        </w:r>
        <w:r>
          <w:fldChar w:fldCharType="end"/>
        </w:r>
      </w:hyperlink>
    </w:p>
    <w:p>
      <w:pPr>
        <w:pStyle w:val="TOC1"/>
        <w:tabs>
          <w:tab w:val="right" w:leader="dot" w:pos="8949"/>
        </w:tabs>
        <w:rPr>
          <w:rFonts w:ascii="Calibri" w:hAnsi="Calibri"/>
          <w:sz w:val="21"/>
          <w:szCs w:val="22"/>
        </w:rPr>
      </w:pPr>
      <w:hyperlink w:anchor="_Toc31702211" w:history="1">
        <w:r>
          <w:rPr>
            <w:rStyle w:val="Hyperlink"/>
            <w:rFonts w:hint="eastAsia"/>
          </w:rPr>
          <w:t>目</w:t>
        </w:r>
        <w:r>
          <w:rPr>
            <w:rStyle w:val="Hyperlink"/>
          </w:rPr>
          <w:t xml:space="preserve"> </w:t>
        </w:r>
        <w:r>
          <w:rPr>
            <w:rStyle w:val="Hyperlink"/>
            <w:rFonts w:hint="eastAsia"/>
          </w:rPr>
          <w:t>录</w:t>
        </w:r>
        <w:r>
          <w:tab/>
        </w:r>
        <w:r>
          <w:fldChar w:fldCharType="begin"/>
        </w:r>
        <w:r>
          <w:instrText xml:space="preserve"> PAGEREF _Toc31702211 \h </w:instrText>
        </w:r>
        <w:r>
          <w:fldChar w:fldCharType="separate"/>
        </w:r>
        <w:r>
          <w:t>II</w:t>
        </w:r>
        <w:r>
          <w:fldChar w:fldCharType="end"/>
        </w:r>
      </w:hyperlink>
    </w:p>
    <w:p>
      <w:pPr>
        <w:pStyle w:val="TOC1"/>
        <w:tabs>
          <w:tab w:val="right" w:leader="dot" w:pos="8949"/>
        </w:tabs>
        <w:rPr>
          <w:rFonts w:ascii="Calibri" w:hAnsi="Calibri"/>
          <w:sz w:val="21"/>
          <w:szCs w:val="22"/>
        </w:rPr>
      </w:pPr>
      <w:hyperlink w:anchor="_Toc31702212" w:history="1">
        <w:r>
          <w:rPr>
            <w:rStyle w:val="Hyperlink"/>
          </w:rPr>
          <w:t>1</w:t>
        </w:r>
        <w:r>
          <w:rPr>
            <w:rStyle w:val="Hyperlink"/>
            <w:rFonts w:hint="eastAsia"/>
          </w:rPr>
          <w:t xml:space="preserve"> 绪论</w:t>
        </w:r>
        <w:r>
          <w:tab/>
        </w:r>
        <w:r>
          <w:fldChar w:fldCharType="begin"/>
        </w:r>
        <w:r>
          <w:instrText xml:space="preserve"> PAGEREF _Toc31702212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31702213" w:history="1">
        <w:r>
          <w:rPr>
            <w:rStyle w:val="Hyperlink"/>
          </w:rPr>
          <w:t>1.1 35kV GIS</w:t>
        </w:r>
        <w:r>
          <w:rPr>
            <w:rStyle w:val="Hyperlink"/>
            <w:rFonts w:hint="eastAsia"/>
          </w:rPr>
          <w:t>中压开关柜</w:t>
        </w:r>
        <w:r>
          <w:rPr>
            <w:rStyle w:val="Hyperlink"/>
          </w:rPr>
          <w:t>PSCADA</w:t>
        </w:r>
        <w:r>
          <w:rPr>
            <w:rStyle w:val="Hyperlink"/>
            <w:rFonts w:hint="eastAsia"/>
          </w:rPr>
          <w:t>信号的调试方法意义、背景及目的</w:t>
        </w:r>
        <w:r>
          <w:tab/>
        </w:r>
        <w:r>
          <w:fldChar w:fldCharType="begin"/>
        </w:r>
        <w:r>
          <w:instrText xml:space="preserve"> PAGEREF _Toc31702213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31702214" w:history="1">
        <w:r>
          <w:rPr>
            <w:rStyle w:val="Hyperlink"/>
          </w:rPr>
          <w:t>1.2 35kV GIS</w:t>
        </w:r>
        <w:r>
          <w:rPr>
            <w:rStyle w:val="Hyperlink"/>
            <w:rFonts w:hint="eastAsia"/>
          </w:rPr>
          <w:t>中压开关柜</w:t>
        </w:r>
        <w:r>
          <w:rPr>
            <w:rStyle w:val="Hyperlink"/>
          </w:rPr>
          <w:t>PSCADA</w:t>
        </w:r>
        <w:r>
          <w:rPr>
            <w:rStyle w:val="Hyperlink"/>
            <w:rFonts w:hint="eastAsia"/>
          </w:rPr>
          <w:t>信号的调试方法国内外研究现状分析</w:t>
        </w:r>
        <w:r>
          <w:tab/>
        </w:r>
        <w:r>
          <w:fldChar w:fldCharType="begin"/>
        </w:r>
        <w:r>
          <w:instrText xml:space="preserve"> PAGEREF _Toc31702214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31702215" w:history="1">
        <w:r>
          <w:rPr>
            <w:rStyle w:val="Hyperlink"/>
          </w:rPr>
          <w:t>1.3 35kV GIS</w:t>
        </w:r>
        <w:r>
          <w:rPr>
            <w:rStyle w:val="Hyperlink"/>
            <w:rFonts w:hint="eastAsia"/>
          </w:rPr>
          <w:t>中压开关柜</w:t>
        </w:r>
        <w:r>
          <w:rPr>
            <w:rStyle w:val="Hyperlink"/>
          </w:rPr>
          <w:t>PSCADA</w:t>
        </w:r>
        <w:r>
          <w:rPr>
            <w:rStyle w:val="Hyperlink"/>
            <w:rFonts w:hint="eastAsia"/>
          </w:rPr>
          <w:t>信号的调试方法论文的主要工作内容</w:t>
        </w:r>
        <w:r>
          <w:tab/>
        </w:r>
        <w:r>
          <w:fldChar w:fldCharType="begin"/>
        </w:r>
        <w:r>
          <w:instrText xml:space="preserve"> PAGEREF _Toc31702215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949"/>
        </w:tabs>
        <w:rPr>
          <w:rFonts w:ascii="Calibri" w:hAnsi="Calibri"/>
          <w:sz w:val="21"/>
          <w:szCs w:val="22"/>
        </w:rPr>
      </w:pPr>
      <w:hyperlink w:anchor="_Toc31702216" w:history="1">
        <w:r>
          <w:rPr>
            <w:rStyle w:val="Hyperlink"/>
          </w:rPr>
          <w:t>2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 xml:space="preserve">35kV GIS </w:t>
        </w:r>
        <w:r>
          <w:rPr>
            <w:rStyle w:val="Hyperlink"/>
            <w:rFonts w:hint="eastAsia"/>
          </w:rPr>
          <w:t>中压开关柜</w:t>
        </w:r>
        <w:r>
          <w:rPr>
            <w:rStyle w:val="Hyperlink"/>
          </w:rPr>
          <w:t>PSCADA</w:t>
        </w:r>
        <w:r>
          <w:rPr>
            <w:rStyle w:val="Hyperlink"/>
            <w:rFonts w:hint="eastAsia"/>
          </w:rPr>
          <w:t>信号调试方法前期工作准备</w:t>
        </w:r>
        <w:bookmarkStart w:id="19" w:name="_Hlt31702236"/>
        <w:bookmarkStart w:id="20" w:name="_Hlt31702235"/>
        <w:r>
          <w:tab/>
        </w:r>
        <w:bookmarkStart w:id="21" w:name="_Hlt31702252"/>
        <w:bookmarkEnd w:id="19"/>
        <w:bookmarkEnd w:id="20"/>
        <w:r>
          <w:fldChar w:fldCharType="begin"/>
        </w:r>
        <w:r>
          <w:instrText xml:space="preserve"> PAGEREF _Toc31702216 \h </w:instrText>
        </w:r>
        <w:r>
          <w:fldChar w:fldCharType="separate"/>
        </w:r>
        <w:r>
          <w:t>5</w:t>
        </w:r>
        <w:r>
          <w:fldChar w:fldCharType="end"/>
        </w:r>
        <w:bookmarkEnd w:id="21"/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31702217" w:history="1">
        <w:r>
          <w:rPr>
            <w:rStyle w:val="Hyperlink"/>
          </w:rPr>
          <w:t xml:space="preserve">2.1 35kV GIS </w:t>
        </w:r>
        <w:r>
          <w:rPr>
            <w:rStyle w:val="Hyperlink"/>
            <w:rFonts w:hint="eastAsia"/>
          </w:rPr>
          <w:t>中压开关柜</w:t>
        </w:r>
        <w:r>
          <w:rPr>
            <w:rStyle w:val="Hyperlink"/>
          </w:rPr>
          <w:t>PSCADA</w:t>
        </w:r>
        <w:r>
          <w:rPr>
            <w:rStyle w:val="Hyperlink"/>
            <w:rFonts w:hint="eastAsia"/>
          </w:rPr>
          <w:t>信号调试方法编制说明</w:t>
        </w:r>
        <w:r>
          <w:tab/>
        </w:r>
        <w:r>
          <w:fldChar w:fldCharType="begin"/>
        </w:r>
        <w:r>
          <w:instrText xml:space="preserve"> PAGEREF _Toc31702217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31702218" w:history="1">
        <w:r>
          <w:rPr>
            <w:rStyle w:val="Hyperlink"/>
          </w:rPr>
          <w:t>2.2 35</w:t>
        </w:r>
        <w:r>
          <w:rPr>
            <w:rStyle w:val="Hyperlink"/>
            <w:kern w:val="0"/>
          </w:rPr>
          <w:t>kV</w:t>
        </w:r>
        <w:r>
          <w:rPr>
            <w:rStyle w:val="Hyperlink"/>
          </w:rPr>
          <w:t xml:space="preserve"> GIS </w:t>
        </w:r>
        <w:r>
          <w:rPr>
            <w:rStyle w:val="Hyperlink"/>
            <w:rFonts w:hint="eastAsia"/>
          </w:rPr>
          <w:t>中压开关柜</w:t>
        </w:r>
        <w:r>
          <w:rPr>
            <w:rStyle w:val="Hyperlink"/>
          </w:rPr>
          <w:t>PSCADA</w:t>
        </w:r>
        <w:r>
          <w:rPr>
            <w:rStyle w:val="Hyperlink"/>
            <w:rFonts w:hint="eastAsia"/>
          </w:rPr>
          <w:t>信号调试条件</w:t>
        </w:r>
        <w:r>
          <w:tab/>
        </w:r>
        <w:r>
          <w:fldChar w:fldCharType="begin"/>
        </w:r>
        <w:r>
          <w:instrText xml:space="preserve"> PAGEREF _Toc31702218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31702219" w:history="1">
        <w:r>
          <w:rPr>
            <w:rStyle w:val="Hyperlink"/>
          </w:rPr>
          <w:t>2.3 35</w:t>
        </w:r>
        <w:r>
          <w:rPr>
            <w:rStyle w:val="Hyperlink"/>
            <w:kern w:val="0"/>
          </w:rPr>
          <w:t>kV</w:t>
        </w:r>
        <w:r>
          <w:rPr>
            <w:rStyle w:val="Hyperlink"/>
          </w:rPr>
          <w:t xml:space="preserve"> GIS </w:t>
        </w:r>
        <w:r>
          <w:rPr>
            <w:rStyle w:val="Hyperlink"/>
            <w:rFonts w:hint="eastAsia"/>
          </w:rPr>
          <w:t>中压开关柜</w:t>
        </w:r>
        <w:r>
          <w:rPr>
            <w:rStyle w:val="Hyperlink"/>
          </w:rPr>
          <w:t>PSCADA</w:t>
        </w:r>
        <w:r>
          <w:rPr>
            <w:rStyle w:val="Hyperlink"/>
            <w:rFonts w:hint="eastAsia"/>
          </w:rPr>
          <w:t>信号调试人员组织</w:t>
        </w:r>
        <w:r>
          <w:tab/>
        </w:r>
        <w:r>
          <w:fldChar w:fldCharType="begin"/>
        </w:r>
        <w:r>
          <w:instrText xml:space="preserve"> PAGEREF _Toc31702219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31702220" w:history="1">
        <w:r>
          <w:rPr>
            <w:rStyle w:val="Hyperlink"/>
          </w:rPr>
          <w:t>2.4 35</w:t>
        </w:r>
        <w:r>
          <w:rPr>
            <w:rStyle w:val="Hyperlink"/>
            <w:kern w:val="0"/>
          </w:rPr>
          <w:t>kV</w:t>
        </w:r>
        <w:r>
          <w:rPr>
            <w:rStyle w:val="Hyperlink"/>
          </w:rPr>
          <w:t xml:space="preserve"> GIS </w:t>
        </w:r>
        <w:r>
          <w:rPr>
            <w:rStyle w:val="Hyperlink"/>
            <w:rFonts w:hint="eastAsia"/>
          </w:rPr>
          <w:t>中压开关柜</w:t>
        </w:r>
        <w:r>
          <w:rPr>
            <w:rStyle w:val="Hyperlink"/>
          </w:rPr>
          <w:t>PSCADA</w:t>
        </w:r>
        <w:r>
          <w:rPr>
            <w:rStyle w:val="Hyperlink"/>
            <w:rFonts w:hint="eastAsia"/>
          </w:rPr>
          <w:t>信号调试仪器仪表、工器具、材料等准备</w:t>
        </w:r>
        <w:r>
          <w:tab/>
        </w:r>
        <w:r>
          <w:fldChar w:fldCharType="begin"/>
        </w:r>
        <w:r>
          <w:instrText xml:space="preserve"> PAGEREF _Toc31702220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31702221" w:history="1">
        <w:r>
          <w:rPr>
            <w:rStyle w:val="Hyperlink"/>
          </w:rPr>
          <w:t>2.5 35</w:t>
        </w:r>
        <w:r>
          <w:rPr>
            <w:rStyle w:val="Hyperlink"/>
            <w:kern w:val="0"/>
          </w:rPr>
          <w:t xml:space="preserve"> kV</w:t>
        </w:r>
        <w:r>
          <w:rPr>
            <w:rStyle w:val="Hyperlink"/>
          </w:rPr>
          <w:t xml:space="preserve"> GIS </w:t>
        </w:r>
        <w:r>
          <w:rPr>
            <w:rStyle w:val="Hyperlink"/>
            <w:rFonts w:hint="eastAsia"/>
          </w:rPr>
          <w:t>中压开关柜</w:t>
        </w:r>
        <w:r>
          <w:rPr>
            <w:rStyle w:val="Hyperlink"/>
          </w:rPr>
          <w:t>PSCADA</w:t>
        </w:r>
        <w:r>
          <w:rPr>
            <w:rStyle w:val="Hyperlink"/>
            <w:rFonts w:hint="eastAsia"/>
          </w:rPr>
          <w:t>信号调试安全预想</w:t>
        </w:r>
        <w:r>
          <w:tab/>
        </w:r>
        <w:r>
          <w:fldChar w:fldCharType="begin"/>
        </w:r>
        <w:r>
          <w:instrText xml:space="preserve"> PAGEREF _Toc31702221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1"/>
        <w:tabs>
          <w:tab w:val="right" w:leader="dot" w:pos="8949"/>
        </w:tabs>
        <w:rPr>
          <w:rFonts w:ascii="Calibri" w:hAnsi="Calibri"/>
          <w:sz w:val="21"/>
          <w:szCs w:val="22"/>
        </w:rPr>
      </w:pPr>
      <w:hyperlink w:anchor="_Toc31702222" w:history="1">
        <w:r>
          <w:rPr>
            <w:rStyle w:val="Hyperlink"/>
          </w:rPr>
          <w:t>3</w:t>
        </w:r>
        <w:r>
          <w:rPr>
            <w:rStyle w:val="Hyperlink"/>
            <w:rFonts w:hint="eastAsia"/>
          </w:rPr>
          <w:t>、</w:t>
        </w:r>
        <w:r>
          <w:rPr>
            <w:rStyle w:val="Hyperlink"/>
          </w:rPr>
          <w:t xml:space="preserve">35kV GIS </w:t>
        </w:r>
        <w:r>
          <w:rPr>
            <w:rStyle w:val="Hyperlink"/>
            <w:rFonts w:hint="eastAsia"/>
          </w:rPr>
          <w:t>中压开关柜</w:t>
        </w:r>
        <w:r>
          <w:rPr>
            <w:rStyle w:val="Hyperlink"/>
          </w:rPr>
          <w:t>PSCADA</w:t>
        </w:r>
        <w:r>
          <w:rPr>
            <w:rStyle w:val="Hyperlink"/>
            <w:rFonts w:hint="eastAsia"/>
          </w:rPr>
          <w:t>信号调试方法</w:t>
        </w:r>
        <w:r>
          <w:tab/>
        </w:r>
        <w:r>
          <w:fldChar w:fldCharType="begin"/>
        </w:r>
        <w:r>
          <w:instrText xml:space="preserve"> PAGEREF _Toc31702222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31702223" w:history="1">
        <w:r>
          <w:rPr>
            <w:rStyle w:val="Hyperlink"/>
          </w:rPr>
          <w:t xml:space="preserve">3.1 35kV GIS </w:t>
        </w:r>
        <w:r>
          <w:rPr>
            <w:rStyle w:val="Hyperlink"/>
            <w:rFonts w:hint="eastAsia"/>
          </w:rPr>
          <w:t>中压开关柜遥测点及测试方法</w:t>
        </w:r>
        <w:r>
          <w:tab/>
        </w:r>
        <w:r>
          <w:fldChar w:fldCharType="begin"/>
        </w:r>
        <w:r>
          <w:instrText xml:space="preserve"> PAGEREF _Toc31702223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31702224" w:history="1">
        <w:r>
          <w:rPr>
            <w:rStyle w:val="Hyperlink"/>
          </w:rPr>
          <w:t xml:space="preserve">3.2 35kV GIS </w:t>
        </w:r>
        <w:r>
          <w:rPr>
            <w:rStyle w:val="Hyperlink"/>
            <w:rFonts w:hint="eastAsia"/>
          </w:rPr>
          <w:t>中压开关柜遥信点及测试方法</w:t>
        </w:r>
        <w:r>
          <w:tab/>
        </w:r>
        <w:r>
          <w:fldChar w:fldCharType="begin"/>
        </w:r>
        <w:r>
          <w:instrText xml:space="preserve"> PAGEREF _Toc31702224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1"/>
        <w:tabs>
          <w:tab w:val="right" w:leader="dot" w:pos="8949"/>
        </w:tabs>
        <w:rPr>
          <w:rFonts w:ascii="Calibri" w:hAnsi="Calibri"/>
          <w:sz w:val="21"/>
          <w:szCs w:val="22"/>
        </w:rPr>
      </w:pPr>
      <w:hyperlink w:anchor="_Toc31702225" w:history="1">
        <w:r>
          <w:rPr>
            <w:rStyle w:val="Hyperlink"/>
          </w:rPr>
          <w:t>6</w:t>
        </w:r>
        <w:r>
          <w:rPr>
            <w:rStyle w:val="Hyperlink"/>
            <w:rFonts w:hint="eastAsia"/>
          </w:rPr>
          <w:t xml:space="preserve"> 结论与展望</w:t>
        </w:r>
        <w:r>
          <w:tab/>
        </w:r>
        <w:r>
          <w:fldChar w:fldCharType="begin"/>
        </w:r>
        <w:r>
          <w:instrText xml:space="preserve"> PAGEREF _Toc31702225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31702226" w:history="1">
        <w:r>
          <w:rPr>
            <w:rStyle w:val="Hyperlink"/>
          </w:rPr>
          <w:t>6.1</w:t>
        </w:r>
        <w:r>
          <w:rPr>
            <w:rStyle w:val="Hyperlink"/>
            <w:rFonts w:hint="eastAsia"/>
          </w:rPr>
          <w:t>结论</w:t>
        </w:r>
        <w:r>
          <w:tab/>
        </w:r>
        <w:r>
          <w:fldChar w:fldCharType="begin"/>
        </w:r>
        <w:r>
          <w:instrText xml:space="preserve"> PAGEREF _Toc31702226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949"/>
        </w:tabs>
        <w:ind w:left="480"/>
        <w:rPr>
          <w:rFonts w:ascii="Calibri" w:hAnsi="Calibri"/>
          <w:sz w:val="21"/>
          <w:szCs w:val="22"/>
        </w:rPr>
      </w:pPr>
      <w:hyperlink w:anchor="_Toc31702227" w:history="1">
        <w:r>
          <w:rPr>
            <w:rStyle w:val="Hyperlink"/>
          </w:rPr>
          <w:t>6.2</w:t>
        </w:r>
        <w:r>
          <w:rPr>
            <w:rStyle w:val="Hyperlink"/>
            <w:rFonts w:hint="eastAsia"/>
          </w:rPr>
          <w:t>展望</w:t>
        </w:r>
        <w:r>
          <w:tab/>
        </w:r>
        <w:bookmarkStart w:id="22" w:name="_Hlt31702271"/>
        <w:r>
          <w:fldChar w:fldCharType="begin"/>
        </w:r>
        <w:r>
          <w:instrText xml:space="preserve"> PAGEREF _Toc31702227 \h </w:instrText>
        </w:r>
        <w:r>
          <w:fldChar w:fldCharType="separate"/>
        </w:r>
        <w:r>
          <w:t>21</w:t>
        </w:r>
        <w:r>
          <w:fldChar w:fldCharType="end"/>
        </w:r>
        <w:bookmarkEnd w:id="22"/>
      </w:hyperlink>
    </w:p>
    <w:p>
      <w:pPr>
        <w:pStyle w:val="TOC1"/>
        <w:tabs>
          <w:tab w:val="right" w:leader="dot" w:pos="8949"/>
        </w:tabs>
        <w:rPr>
          <w:rFonts w:ascii="Calibri" w:hAnsi="Calibri"/>
          <w:sz w:val="21"/>
          <w:szCs w:val="22"/>
        </w:rPr>
      </w:pPr>
      <w:hyperlink w:anchor="_Toc31702228" w:history="1">
        <w:r>
          <w:rPr>
            <w:rStyle w:val="Hyperlink"/>
            <w:rFonts w:hint="eastAsia"/>
          </w:rPr>
          <w:t>致</w:t>
        </w:r>
        <w:r>
          <w:rPr>
            <w:rStyle w:val="Hyperlink"/>
          </w:rPr>
          <w:t xml:space="preserve">    </w:t>
        </w:r>
        <w:r>
          <w:rPr>
            <w:rStyle w:val="Hyperlink"/>
            <w:rFonts w:hint="eastAsia"/>
          </w:rPr>
          <w:t>谢</w:t>
        </w:r>
        <w:r>
          <w:tab/>
        </w:r>
        <w:r>
          <w:fldChar w:fldCharType="begin"/>
        </w:r>
        <w:r>
          <w:instrText xml:space="preserve"> PAGEREF _Toc31702228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1"/>
        <w:tabs>
          <w:tab w:val="right" w:leader="dot" w:pos="8949"/>
        </w:tabs>
        <w:rPr>
          <w:rFonts w:ascii="Calibri" w:hAnsi="Calibri"/>
          <w:sz w:val="21"/>
          <w:szCs w:val="22"/>
        </w:rPr>
      </w:pPr>
      <w:hyperlink w:anchor="_Toc31702229" w:history="1">
        <w:r>
          <w:rPr>
            <w:rStyle w:val="Hyperlink"/>
            <w:rFonts w:hint="eastAsia"/>
          </w:rPr>
          <w:t>参考文献</w:t>
        </w:r>
        <w:r>
          <w:tab/>
        </w:r>
        <w:r>
          <w:fldChar w:fldCharType="begin"/>
        </w:r>
        <w:r>
          <w:instrText xml:space="preserve"> PAGEREF _Toc31702229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1"/>
        <w:tabs>
          <w:tab w:val="right" w:leader="dot" w:pos="8949"/>
        </w:tabs>
        <w:rPr>
          <w:rFonts w:ascii="Calibri" w:hAnsi="Calibri"/>
          <w:sz w:val="21"/>
          <w:szCs w:val="22"/>
        </w:rPr>
      </w:pPr>
      <w:hyperlink w:anchor="_Toc31702230" w:history="1">
        <w:r>
          <w:rPr>
            <w:rStyle w:val="Hyperlink"/>
            <w:rFonts w:hint="eastAsia"/>
          </w:rPr>
          <w:t>攻读学位期间取得的研究成果</w:t>
        </w:r>
        <w:r>
          <w:tab/>
        </w:r>
        <w:r>
          <w:fldChar w:fldCharType="begin"/>
        </w:r>
        <w:r>
          <w:instrText xml:space="preserve"> PAGEREF _Toc31702230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ind w:firstLine="0" w:firstLineChars="0"/>
        <w:rPr>
          <w:rFonts w:hint="eastAsia"/>
          <w:sz w:val="22"/>
          <w:szCs w:val="20"/>
        </w:rPr>
      </w:pPr>
      <w:r>
        <w:rPr>
          <w:sz w:val="22"/>
          <w:szCs w:val="20"/>
        </w:rPr>
        <w:fldChar w:fldCharType="end"/>
      </w:r>
      <w:r>
        <w:rPr>
          <w:rFonts w:hint="eastAsia"/>
          <w:sz w:val="22"/>
          <w:szCs w:val="20"/>
        </w:rPr>
        <w:t>声明</w:t>
      </w:r>
    </w:p>
    <w:p>
      <w:pPr>
        <w:pStyle w:val="Heading1"/>
        <w:spacing w:before="720" w:after="480"/>
        <w:rPr>
          <w:rFonts w:hint="eastAsia"/>
          <w:szCs w:val="32"/>
        </w:rPr>
      </w:pPr>
      <w:r>
        <w:rPr>
          <w:rFonts w:hint="eastAsia"/>
          <w:szCs w:val="32"/>
        </w:rPr>
        <w:br/>
      </w:r>
      <w:r>
        <w:rPr>
          <w:rFonts w:hint="eastAsia"/>
          <w:szCs w:val="32"/>
        </w:rPr>
        <w:br/>
      </w:r>
    </w:p>
    <w:p>
      <w:pPr>
        <w:widowControl/>
        <w:spacing w:line="240" w:lineRule="auto"/>
        <w:ind w:firstLine="0" w:firstLineChars="0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https://d.book118.com/638020143110006031</w:t>
        </w:r>
      </w:hyperlink>
    </w:p>
    <w:p>
      <w:pPr>
        <w:pStyle w:val="Heading1"/>
        <w:spacing w:before="720" w:after="480"/>
        <w:rPr>
          <w:rFonts w:hint="eastAsia"/>
          <w:szCs w:val="32"/>
        </w:rPr>
      </w:pPr>
    </w:p>
    <w:sectPr>
      <w:headerReference w:type="even" r:id="rId7"/>
      <w:footerReference w:type="even" r:id="rId8"/>
      <w:type w:val="nextPage"/>
      <w:pgSz w:w="11907" w:h="16840"/>
      <w:pgMar w:top="1701" w:right="1474" w:bottom="1418" w:left="1474" w:header="1134" w:footer="992" w:gutter="0"/>
      <w:pgNumType w:fmt="upperRoman" w:start="2"/>
      <w:cols w:space="708"/>
      <w:titlePg w:val="0"/>
      <w:docGrid w:linePitch="384" w:charSpace="743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ourier New">
    <w:panose1 w:val="02070309020205020404"/>
    <w:charset w:val="00"/>
    <w:family w:val="modern"/>
    <w:pitch w:val="default"/>
    <w:sig w:usb0="E0000AFF" w:usb1="40007843" w:usb2="00000001" w:usb3="00000000" w:csb0="400001BF" w:csb1="DFF7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outside" w:y="1"/>
      <w:tabs>
        <w:tab w:val="center" w:pos="4153"/>
        <w:tab w:val="right" w:pos="8306"/>
      </w:tabs>
      <w:ind w:firstLine="360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22</w:t>
    </w:r>
    <w:r>
      <w:fldChar w:fldCharType="end"/>
    </w:r>
  </w:p>
  <w:p>
    <w:pPr>
      <w:pStyle w:val="Footer"/>
      <w:tabs>
        <w:tab w:val="center" w:pos="4153"/>
        <w:tab w:val="right" w:pos="8306"/>
      </w:tabs>
      <w:ind w:right="360" w:firstLine="360" w:firstLineChars="0"/>
      <w:rPr>
        <w:rFonts w:hint="eastAsia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outside" w:y="1"/>
      <w:tabs>
        <w:tab w:val="center" w:pos="4153"/>
        <w:tab w:val="right" w:pos="8306"/>
      </w:tabs>
      <w:ind w:firstLine="360"/>
      <w:rPr>
        <w:rStyle w:val="PageNumber"/>
      </w:rPr>
    </w:pPr>
    <w:r>
      <w:fldChar w:fldCharType="begin"/>
    </w:r>
    <w:r>
      <w:rPr>
        <w:rStyle w:val="PageNumber"/>
      </w:rPr>
      <w:instrText xml:space="preserve">PAGE  </w:instrText>
    </w:r>
    <w:r>
      <w:fldChar w:fldCharType="separate"/>
    </w:r>
    <w:r>
      <w:rPr>
        <w:rStyle w:val="PageNumber"/>
      </w:rPr>
      <w:t>II</w:t>
    </w:r>
    <w:r>
      <w:fldChar w:fldCharType="end"/>
    </w:r>
  </w:p>
  <w:p>
    <w:pPr>
      <w:pStyle w:val="Footer"/>
      <w:tabs>
        <w:tab w:val="center" w:pos="4153"/>
        <w:tab w:val="right" w:pos="8306"/>
      </w:tabs>
      <w:ind w:right="360" w:firstLine="360" w:firstLineChars="0"/>
      <w:rPr>
        <w:rFonts w:hint="eastAsia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rPr>
        <w:rFonts w:hint="eastAsia"/>
      </w:rPr>
    </w:pPr>
    <w:r>
      <w:rPr>
        <w:rFonts w:hint="eastAsia"/>
      </w:rPr>
      <w:t>西安交通大学网络教育学院论文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rPr>
        <w:rFonts w:hint="eastAsia"/>
      </w:rPr>
    </w:pPr>
    <w:r>
      <w:rPr>
        <w:rFonts w:hint="eastAsia"/>
      </w:rPr>
      <w:t>西安交通大学网络教育学院论文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F402BE"/>
    <w:multiLevelType w:val="multilevel"/>
    <w:tmpl w:val="1FF402BE"/>
    <w:lvl w:ilvl="0">
      <w:start w:val="1"/>
      <w:numFmt w:val="decimal"/>
      <w:lvlText w:val="[%1]"/>
      <w:lvlJc w:val="left"/>
      <w:pPr>
        <w:tabs>
          <w:tab w:val="num" w:pos="488"/>
        </w:tabs>
        <w:ind w:left="488" w:hanging="488"/>
      </w:pPr>
      <w:rPr>
        <w:rFonts w:ascii="Times New Roman" w:eastAsia="宋体" w:hAnsi="Times New Roman" w:hint="default"/>
        <w:b w:val="0"/>
        <w:i w:val="0"/>
        <w:snapToGrid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226073A7"/>
    <w:multiLevelType w:val="multilevel"/>
    <w:tmpl w:val="226073A7"/>
    <w:lvl w:ilvl="0">
      <w:start w:val="1"/>
      <w:numFmt w:val="chineseCountingThousand"/>
      <w:isLgl/>
      <w:suff w:val="space"/>
      <w:lvlText w:val="%1  "/>
      <w:lvlJc w:val="left"/>
      <w:pPr>
        <w:ind w:left="1116" w:hanging="628"/>
      </w:pPr>
      <w:rPr>
        <w:rFonts w:hint="eastAsia"/>
        <w:b w:val="0"/>
        <w:i w:val="0"/>
        <w:color w:val="auto"/>
        <w:sz w:val="24"/>
      </w:rPr>
    </w:lvl>
    <w:lvl w:ilvl="1">
      <w:start w:val="1"/>
      <w:numFmt w:val="decimal"/>
      <w:isLgl/>
      <w:suff w:val="space"/>
      <w:lvlText w:val="%1.%2"/>
      <w:lvlJc w:val="left"/>
      <w:pPr>
        <w:ind w:left="931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589" w:hanging="635"/>
      </w:pPr>
      <w:rPr>
        <w:rFonts w:hint="eastAsia"/>
      </w:rPr>
    </w:lvl>
    <w:lvl w:ilvl="3">
      <w:start w:val="1"/>
      <w:numFmt w:val="decimal"/>
      <w:isLgl/>
      <w:suff w:val="nothing"/>
      <w:lvlText w:val="%4）"/>
      <w:lvlJc w:val="left"/>
      <w:pPr>
        <w:ind w:left="1077" w:hanging="612"/>
      </w:pPr>
      <w:rPr>
        <w:rFonts w:ascii="Times New Roman" w:eastAsia="宋体" w:hAnsi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692"/>
        </w:tabs>
        <w:ind w:left="1692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836"/>
        </w:tabs>
        <w:ind w:left="1836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980"/>
        </w:tabs>
        <w:ind w:left="1980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124"/>
        </w:tabs>
        <w:ind w:left="2124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268"/>
        </w:tabs>
        <w:ind w:left="2268" w:hanging="1584"/>
      </w:pPr>
      <w:rPr>
        <w:rFonts w:hint="eastAsia"/>
      </w:rPr>
    </w:lvl>
  </w:abstractNum>
  <w:abstractNum w:abstractNumId="2">
    <w:nsid w:val="5D7C3623"/>
    <w:multiLevelType w:val="multilevel"/>
    <w:tmpl w:val="5D7C3623"/>
    <w:lvl w:ilvl="0">
      <w:start w:val="1"/>
      <w:numFmt w:val="chineseCountingThousand"/>
      <w:isLgl/>
      <w:suff w:val="space"/>
      <w:lvlText w:val="%1  "/>
      <w:lvlJc w:val="left"/>
      <w:pPr>
        <w:ind w:left="912" w:hanging="628"/>
      </w:pPr>
      <w:rPr>
        <w:rFonts w:hint="eastAsia"/>
      </w:rPr>
    </w:lvl>
    <w:lvl w:ilvl="1">
      <w:start w:val="1"/>
      <w:numFmt w:val="decimal"/>
      <w:isLgl/>
      <w:suff w:val="space"/>
      <w:lvlText w:val="%1.%2"/>
      <w:lvlJc w:val="left"/>
      <w:pPr>
        <w:ind w:left="443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101" w:hanging="635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060"/>
        </w:tabs>
        <w:ind w:left="1060" w:hanging="864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204"/>
        </w:tabs>
        <w:ind w:left="1204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348"/>
        </w:tabs>
        <w:ind w:left="1348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492"/>
        </w:tabs>
        <w:ind w:left="1492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636"/>
        </w:tabs>
        <w:ind w:left="1636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780"/>
        </w:tabs>
        <w:ind w:left="1780" w:hanging="1584"/>
      </w:pPr>
      <w:rPr>
        <w:rFonts w:hint="eastAsia"/>
      </w:rPr>
    </w:lvl>
  </w:abstractNum>
  <w:abstractNum w:abstractNumId="3">
    <w:nsid w:val="6F5C66D5"/>
    <w:multiLevelType w:val="multilevel"/>
    <w:tmpl w:val="6F5C66D5"/>
    <w:lvl w:ilvl="0">
      <w:start w:val="1"/>
      <w:numFmt w:val="chineseCountingThousand"/>
      <w:isLgl/>
      <w:suff w:val="space"/>
      <w:lvlText w:val="%1  "/>
      <w:lvlJc w:val="left"/>
      <w:pPr>
        <w:ind w:left="1309" w:hanging="628"/>
      </w:pPr>
      <w:rPr>
        <w:rFonts w:hint="eastAsia"/>
        <w:b w:val="0"/>
        <w:i w:val="0"/>
        <w:color w:val="auto"/>
        <w:sz w:val="24"/>
      </w:rPr>
    </w:lvl>
    <w:lvl w:ilvl="1">
      <w:start w:val="1"/>
      <w:numFmt w:val="decimal"/>
      <w:isLgl/>
      <w:suff w:val="space"/>
      <w:lvlText w:val="%1.%2"/>
      <w:lvlJc w:val="left"/>
      <w:pPr>
        <w:ind w:left="1124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782" w:hanging="635"/>
      </w:pPr>
      <w:rPr>
        <w:rFonts w:hint="eastAsia"/>
      </w:rPr>
    </w:lvl>
    <w:lvl w:ilvl="3">
      <w:start w:val="1"/>
      <w:numFmt w:val="decimal"/>
      <w:isLgl/>
      <w:lvlText w:val="%4）"/>
      <w:lvlJc w:val="left"/>
      <w:pPr>
        <w:tabs>
          <w:tab w:val="num" w:pos="658"/>
        </w:tabs>
        <w:ind w:left="1293" w:hanging="635"/>
      </w:pPr>
      <w:rPr>
        <w:rFonts w:hint="eastAsia"/>
      </w:rPr>
    </w:lvl>
    <w:lvl w:ilvl="4">
      <w:start w:val="1"/>
      <w:numFmt w:val="decimal"/>
      <w:isLgl/>
      <w:suff w:val="nothing"/>
      <w:lvlText w:val="（%5）"/>
      <w:lvlJc w:val="left"/>
      <w:pPr>
        <w:ind w:left="1293" w:hanging="635"/>
      </w:pPr>
      <w:rPr>
        <w:rFonts w:hint="eastAsia"/>
      </w:rPr>
    </w:lvl>
    <w:lvl w:ilvl="5">
      <w:start w:val="1"/>
      <w:numFmt w:val="lowerLetter"/>
      <w:suff w:val="nothing"/>
      <w:lvlText w:val="%6）"/>
      <w:lvlJc w:val="left"/>
      <w:pPr>
        <w:ind w:left="1667" w:hanging="76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173"/>
        </w:tabs>
        <w:ind w:left="2173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317"/>
        </w:tabs>
        <w:ind w:left="2317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461"/>
        </w:tabs>
        <w:ind w:left="2461" w:hanging="1584"/>
      </w:pPr>
      <w:rPr>
        <w:rFonts w:hint="eastAsia"/>
      </w:rPr>
    </w:lvl>
  </w:abstractNum>
  <w:abstractNum w:abstractNumId="4">
    <w:nsid w:val="724D3365"/>
    <w:multiLevelType w:val="multilevel"/>
    <w:tmpl w:val="724D3365"/>
    <w:lvl w:ilvl="0">
      <w:start w:val="1"/>
      <w:numFmt w:val="chineseCountingThousand"/>
      <w:isLgl/>
      <w:suff w:val="space"/>
      <w:lvlText w:val="%1  "/>
      <w:lvlJc w:val="left"/>
      <w:pPr>
        <w:ind w:left="1309" w:hanging="628"/>
      </w:pPr>
      <w:rPr>
        <w:rFonts w:hint="eastAsia"/>
        <w:b w:val="0"/>
        <w:i w:val="0"/>
        <w:color w:val="auto"/>
        <w:sz w:val="24"/>
      </w:rPr>
    </w:lvl>
    <w:lvl w:ilvl="1">
      <w:start w:val="1"/>
      <w:numFmt w:val="decimal"/>
      <w:isLgl/>
      <w:suff w:val="space"/>
      <w:lvlText w:val="%1.%2"/>
      <w:lvlJc w:val="left"/>
      <w:pPr>
        <w:ind w:left="1124" w:hanging="465"/>
      </w:pPr>
      <w:rPr>
        <w:rFonts w:hint="eastAsia"/>
      </w:rPr>
    </w:lvl>
    <w:lvl w:ilvl="2">
      <w:start w:val="1"/>
      <w:numFmt w:val="decimal"/>
      <w:isLgl/>
      <w:suff w:val="space"/>
      <w:lvlText w:val="%1.%2.%3"/>
      <w:lvlJc w:val="left"/>
      <w:pPr>
        <w:ind w:left="1782" w:hanging="635"/>
      </w:pPr>
      <w:rPr>
        <w:rFonts w:hint="eastAsia"/>
      </w:rPr>
    </w:lvl>
    <w:lvl w:ilvl="3">
      <w:start w:val="1"/>
      <w:numFmt w:val="decimal"/>
      <w:isLgl/>
      <w:lvlText w:val="%4）"/>
      <w:lvlJc w:val="left"/>
      <w:pPr>
        <w:tabs>
          <w:tab w:val="num" w:pos="658"/>
        </w:tabs>
        <w:ind w:left="1293" w:hanging="635"/>
      </w:pPr>
      <w:rPr>
        <w:rFonts w:hint="eastAsia"/>
      </w:rPr>
    </w:lvl>
    <w:lvl w:ilvl="4">
      <w:start w:val="1"/>
      <w:numFmt w:val="decimal"/>
      <w:isLgl/>
      <w:suff w:val="nothing"/>
      <w:lvlText w:val="（%5）"/>
      <w:lvlJc w:val="left"/>
      <w:pPr>
        <w:ind w:left="1293" w:hanging="635"/>
      </w:pPr>
      <w:rPr>
        <w:rFonts w:hint="eastAsia"/>
      </w:rPr>
    </w:lvl>
    <w:lvl w:ilvl="5">
      <w:start w:val="1"/>
      <w:numFmt w:val="lowerLetter"/>
      <w:suff w:val="nothing"/>
      <w:lvlText w:val="%6）"/>
      <w:lvlJc w:val="left"/>
      <w:pPr>
        <w:ind w:left="1667" w:hanging="760"/>
      </w:pPr>
      <w:rPr>
        <w:rFonts w:hint="eastAsia"/>
      </w:rPr>
    </w:lvl>
    <w:lvl w:ilvl="6">
      <w:start w:val="1"/>
      <w:numFmt w:val="lowerLetter"/>
      <w:suff w:val="nothing"/>
      <w:lvlText w:val="（%7）"/>
      <w:lvlJc w:val="left"/>
      <w:pPr>
        <w:ind w:left="2173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2317"/>
        </w:tabs>
        <w:ind w:left="2317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461"/>
        </w:tabs>
        <w:ind w:left="2461" w:hanging="1584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2"/>
    <w:lvlOverride w:ilvl="0">
      <w:startOverride w:val="6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stylePaneFormatFilter w:val="3F01"/>
  <w:defaultTabStop w:val="420"/>
  <w:evenAndOddHeaders/>
  <w:drawingGridHorizontalSpacing w:val="138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70B8"/>
    <w:rsid w:val="00004896"/>
    <w:rsid w:val="000063B9"/>
    <w:rsid w:val="00016584"/>
    <w:rsid w:val="00017D34"/>
    <w:rsid w:val="000259F6"/>
    <w:rsid w:val="00034BFF"/>
    <w:rsid w:val="0003533F"/>
    <w:rsid w:val="00050FBD"/>
    <w:rsid w:val="000704D5"/>
    <w:rsid w:val="000722BF"/>
    <w:rsid w:val="0007424A"/>
    <w:rsid w:val="0007462C"/>
    <w:rsid w:val="000755E8"/>
    <w:rsid w:val="0008676E"/>
    <w:rsid w:val="0009745B"/>
    <w:rsid w:val="000A1A05"/>
    <w:rsid w:val="000C3234"/>
    <w:rsid w:val="000C7F4F"/>
    <w:rsid w:val="000D517C"/>
    <w:rsid w:val="000D5775"/>
    <w:rsid w:val="000E4A4B"/>
    <w:rsid w:val="000E53BC"/>
    <w:rsid w:val="0010351C"/>
    <w:rsid w:val="0010799D"/>
    <w:rsid w:val="00111791"/>
    <w:rsid w:val="00132A81"/>
    <w:rsid w:val="00135B95"/>
    <w:rsid w:val="001600E3"/>
    <w:rsid w:val="00162C56"/>
    <w:rsid w:val="0016632A"/>
    <w:rsid w:val="001A4A17"/>
    <w:rsid w:val="001A66AC"/>
    <w:rsid w:val="001B1556"/>
    <w:rsid w:val="001B6B34"/>
    <w:rsid w:val="001B7612"/>
    <w:rsid w:val="001C1EF9"/>
    <w:rsid w:val="001C32C0"/>
    <w:rsid w:val="001C5988"/>
    <w:rsid w:val="001D55BA"/>
    <w:rsid w:val="001D60C6"/>
    <w:rsid w:val="001E3C06"/>
    <w:rsid w:val="001F2ECC"/>
    <w:rsid w:val="00205F26"/>
    <w:rsid w:val="00206E42"/>
    <w:rsid w:val="0021202A"/>
    <w:rsid w:val="00213940"/>
    <w:rsid w:val="0021716F"/>
    <w:rsid w:val="002435B1"/>
    <w:rsid w:val="00257885"/>
    <w:rsid w:val="00265196"/>
    <w:rsid w:val="00270FB9"/>
    <w:rsid w:val="00271BEC"/>
    <w:rsid w:val="0027329F"/>
    <w:rsid w:val="00275601"/>
    <w:rsid w:val="00281D91"/>
    <w:rsid w:val="002856DB"/>
    <w:rsid w:val="0029392E"/>
    <w:rsid w:val="002A07F2"/>
    <w:rsid w:val="002C038F"/>
    <w:rsid w:val="002C576C"/>
    <w:rsid w:val="002D2E78"/>
    <w:rsid w:val="002E235F"/>
    <w:rsid w:val="002F6838"/>
    <w:rsid w:val="003031D2"/>
    <w:rsid w:val="00307C3C"/>
    <w:rsid w:val="0031327E"/>
    <w:rsid w:val="003150EF"/>
    <w:rsid w:val="003324DB"/>
    <w:rsid w:val="0033392F"/>
    <w:rsid w:val="00337F96"/>
    <w:rsid w:val="0034109C"/>
    <w:rsid w:val="00350E63"/>
    <w:rsid w:val="00370072"/>
    <w:rsid w:val="00374426"/>
    <w:rsid w:val="00393150"/>
    <w:rsid w:val="003B0748"/>
    <w:rsid w:val="003B41D7"/>
    <w:rsid w:val="003C7CF1"/>
    <w:rsid w:val="003D5383"/>
    <w:rsid w:val="003E0CCB"/>
    <w:rsid w:val="003F4A01"/>
    <w:rsid w:val="00401A37"/>
    <w:rsid w:val="00424CEE"/>
    <w:rsid w:val="0045541B"/>
    <w:rsid w:val="00461D3E"/>
    <w:rsid w:val="0046325F"/>
    <w:rsid w:val="00463DF9"/>
    <w:rsid w:val="00466323"/>
    <w:rsid w:val="00467FFB"/>
    <w:rsid w:val="0047741C"/>
    <w:rsid w:val="004875B2"/>
    <w:rsid w:val="00491A60"/>
    <w:rsid w:val="00494DBC"/>
    <w:rsid w:val="004A2DD3"/>
    <w:rsid w:val="004B248C"/>
    <w:rsid w:val="004B2927"/>
    <w:rsid w:val="004B37D6"/>
    <w:rsid w:val="004E07F4"/>
    <w:rsid w:val="004E43E6"/>
    <w:rsid w:val="004E61A1"/>
    <w:rsid w:val="004E7002"/>
    <w:rsid w:val="004F33AD"/>
    <w:rsid w:val="00502F95"/>
    <w:rsid w:val="005070C7"/>
    <w:rsid w:val="005164C5"/>
    <w:rsid w:val="00531490"/>
    <w:rsid w:val="00544A5D"/>
    <w:rsid w:val="00547C02"/>
    <w:rsid w:val="00552FE3"/>
    <w:rsid w:val="00557AC1"/>
    <w:rsid w:val="00566F96"/>
    <w:rsid w:val="00567BD4"/>
    <w:rsid w:val="00567F3C"/>
    <w:rsid w:val="00576883"/>
    <w:rsid w:val="00580E35"/>
    <w:rsid w:val="005A1CFA"/>
    <w:rsid w:val="005A3D6E"/>
    <w:rsid w:val="005D10DE"/>
    <w:rsid w:val="005D684E"/>
    <w:rsid w:val="005F085E"/>
    <w:rsid w:val="00603C9B"/>
    <w:rsid w:val="00604748"/>
    <w:rsid w:val="006053FF"/>
    <w:rsid w:val="00615406"/>
    <w:rsid w:val="00617F17"/>
    <w:rsid w:val="00623D14"/>
    <w:rsid w:val="00646332"/>
    <w:rsid w:val="006545BF"/>
    <w:rsid w:val="00663050"/>
    <w:rsid w:val="00663AC0"/>
    <w:rsid w:val="0069210E"/>
    <w:rsid w:val="00696F63"/>
    <w:rsid w:val="006A255B"/>
    <w:rsid w:val="006A3FE8"/>
    <w:rsid w:val="006D6F83"/>
    <w:rsid w:val="006E069D"/>
    <w:rsid w:val="006E07CB"/>
    <w:rsid w:val="006E2B5D"/>
    <w:rsid w:val="006E4370"/>
    <w:rsid w:val="006E7C8C"/>
    <w:rsid w:val="006F1922"/>
    <w:rsid w:val="006F5702"/>
    <w:rsid w:val="006F7B90"/>
    <w:rsid w:val="007161D2"/>
    <w:rsid w:val="007246C8"/>
    <w:rsid w:val="007521E6"/>
    <w:rsid w:val="007656F7"/>
    <w:rsid w:val="00774C98"/>
    <w:rsid w:val="00795BD6"/>
    <w:rsid w:val="007B1A85"/>
    <w:rsid w:val="007B2AA4"/>
    <w:rsid w:val="007C280A"/>
    <w:rsid w:val="007C5845"/>
    <w:rsid w:val="007C6F73"/>
    <w:rsid w:val="007D10FD"/>
    <w:rsid w:val="007D2726"/>
    <w:rsid w:val="007D451B"/>
    <w:rsid w:val="007E5895"/>
    <w:rsid w:val="00800472"/>
    <w:rsid w:val="00802041"/>
    <w:rsid w:val="0080548E"/>
    <w:rsid w:val="008236F1"/>
    <w:rsid w:val="0082762A"/>
    <w:rsid w:val="00832AE5"/>
    <w:rsid w:val="008405A1"/>
    <w:rsid w:val="00842443"/>
    <w:rsid w:val="0084687A"/>
    <w:rsid w:val="00846E69"/>
    <w:rsid w:val="008512DC"/>
    <w:rsid w:val="00852CB4"/>
    <w:rsid w:val="00855045"/>
    <w:rsid w:val="0087485D"/>
    <w:rsid w:val="00875CAF"/>
    <w:rsid w:val="00883281"/>
    <w:rsid w:val="008974FA"/>
    <w:rsid w:val="008A1029"/>
    <w:rsid w:val="008B6FBB"/>
    <w:rsid w:val="008B7D44"/>
    <w:rsid w:val="008D2DC1"/>
    <w:rsid w:val="008D3539"/>
    <w:rsid w:val="008D4845"/>
    <w:rsid w:val="008E7B02"/>
    <w:rsid w:val="00904EA0"/>
    <w:rsid w:val="00905F19"/>
    <w:rsid w:val="0091646A"/>
    <w:rsid w:val="00927C80"/>
    <w:rsid w:val="009328C7"/>
    <w:rsid w:val="00934673"/>
    <w:rsid w:val="00966662"/>
    <w:rsid w:val="00974923"/>
    <w:rsid w:val="00991C08"/>
    <w:rsid w:val="00992AA5"/>
    <w:rsid w:val="00993470"/>
    <w:rsid w:val="009A0423"/>
    <w:rsid w:val="009A267B"/>
    <w:rsid w:val="009B4E73"/>
    <w:rsid w:val="009C4A27"/>
    <w:rsid w:val="009D722B"/>
    <w:rsid w:val="009E16B7"/>
    <w:rsid w:val="009E18A1"/>
    <w:rsid w:val="009E1D16"/>
    <w:rsid w:val="009E469B"/>
    <w:rsid w:val="009E5CEA"/>
    <w:rsid w:val="009E62FF"/>
    <w:rsid w:val="009F3A37"/>
    <w:rsid w:val="00A00129"/>
    <w:rsid w:val="00A01FAB"/>
    <w:rsid w:val="00A07B34"/>
    <w:rsid w:val="00A14422"/>
    <w:rsid w:val="00A167D6"/>
    <w:rsid w:val="00A3050E"/>
    <w:rsid w:val="00A73C4C"/>
    <w:rsid w:val="00A8220C"/>
    <w:rsid w:val="00AA1E23"/>
    <w:rsid w:val="00AB1294"/>
    <w:rsid w:val="00AD0AFD"/>
    <w:rsid w:val="00AD3F8D"/>
    <w:rsid w:val="00AD78F8"/>
    <w:rsid w:val="00AE1BA4"/>
    <w:rsid w:val="00AE64B9"/>
    <w:rsid w:val="00AF081E"/>
    <w:rsid w:val="00AF2604"/>
    <w:rsid w:val="00AF3BF9"/>
    <w:rsid w:val="00AF4A2C"/>
    <w:rsid w:val="00B00988"/>
    <w:rsid w:val="00B23574"/>
    <w:rsid w:val="00B34E90"/>
    <w:rsid w:val="00B515E8"/>
    <w:rsid w:val="00B62547"/>
    <w:rsid w:val="00B63DD4"/>
    <w:rsid w:val="00B73D58"/>
    <w:rsid w:val="00B77E93"/>
    <w:rsid w:val="00B87592"/>
    <w:rsid w:val="00B903CF"/>
    <w:rsid w:val="00B9071F"/>
    <w:rsid w:val="00B91E89"/>
    <w:rsid w:val="00BA5EB9"/>
    <w:rsid w:val="00BB3E32"/>
    <w:rsid w:val="00BC1C2D"/>
    <w:rsid w:val="00BC48FD"/>
    <w:rsid w:val="00BD206C"/>
    <w:rsid w:val="00BE3DA7"/>
    <w:rsid w:val="00BF680B"/>
    <w:rsid w:val="00BF6CAE"/>
    <w:rsid w:val="00BF74C0"/>
    <w:rsid w:val="00C10AE0"/>
    <w:rsid w:val="00C1759D"/>
    <w:rsid w:val="00C237A1"/>
    <w:rsid w:val="00C2585A"/>
    <w:rsid w:val="00C2667C"/>
    <w:rsid w:val="00C26FBC"/>
    <w:rsid w:val="00C44805"/>
    <w:rsid w:val="00C518A4"/>
    <w:rsid w:val="00C52D31"/>
    <w:rsid w:val="00C53564"/>
    <w:rsid w:val="00C5513E"/>
    <w:rsid w:val="00C62956"/>
    <w:rsid w:val="00C64AAA"/>
    <w:rsid w:val="00C67FEA"/>
    <w:rsid w:val="00C94EA3"/>
    <w:rsid w:val="00CA35F2"/>
    <w:rsid w:val="00CA4774"/>
    <w:rsid w:val="00CC301D"/>
    <w:rsid w:val="00CC5156"/>
    <w:rsid w:val="00CD2D63"/>
    <w:rsid w:val="00CE085F"/>
    <w:rsid w:val="00CE2A8B"/>
    <w:rsid w:val="00CE4569"/>
    <w:rsid w:val="00CF10DB"/>
    <w:rsid w:val="00CF39F4"/>
    <w:rsid w:val="00CF509F"/>
    <w:rsid w:val="00D20DD1"/>
    <w:rsid w:val="00D442EA"/>
    <w:rsid w:val="00D47473"/>
    <w:rsid w:val="00D529B7"/>
    <w:rsid w:val="00D55480"/>
    <w:rsid w:val="00D565D5"/>
    <w:rsid w:val="00D61C3F"/>
    <w:rsid w:val="00D63CC7"/>
    <w:rsid w:val="00D758F2"/>
    <w:rsid w:val="00D875F3"/>
    <w:rsid w:val="00D91766"/>
    <w:rsid w:val="00DA6C05"/>
    <w:rsid w:val="00DA6D9E"/>
    <w:rsid w:val="00DC31D4"/>
    <w:rsid w:val="00DC652D"/>
    <w:rsid w:val="00DD6178"/>
    <w:rsid w:val="00DE233E"/>
    <w:rsid w:val="00DE70B8"/>
    <w:rsid w:val="00DF0284"/>
    <w:rsid w:val="00DF0760"/>
    <w:rsid w:val="00DF3E83"/>
    <w:rsid w:val="00DF460C"/>
    <w:rsid w:val="00DF71CC"/>
    <w:rsid w:val="00E03098"/>
    <w:rsid w:val="00E07B8D"/>
    <w:rsid w:val="00E12CBF"/>
    <w:rsid w:val="00E14B87"/>
    <w:rsid w:val="00E356CA"/>
    <w:rsid w:val="00E35BDC"/>
    <w:rsid w:val="00E5395E"/>
    <w:rsid w:val="00E54672"/>
    <w:rsid w:val="00E639AB"/>
    <w:rsid w:val="00E71BFD"/>
    <w:rsid w:val="00E72D3A"/>
    <w:rsid w:val="00E73D8D"/>
    <w:rsid w:val="00E75EAD"/>
    <w:rsid w:val="00E76518"/>
    <w:rsid w:val="00E902D9"/>
    <w:rsid w:val="00E92E19"/>
    <w:rsid w:val="00E941A3"/>
    <w:rsid w:val="00EA74DB"/>
    <w:rsid w:val="00ED7392"/>
    <w:rsid w:val="00EE2B8D"/>
    <w:rsid w:val="00F0105E"/>
    <w:rsid w:val="00F02278"/>
    <w:rsid w:val="00F03CF5"/>
    <w:rsid w:val="00F16835"/>
    <w:rsid w:val="00F21970"/>
    <w:rsid w:val="00F23BA3"/>
    <w:rsid w:val="00F5060B"/>
    <w:rsid w:val="00F6418F"/>
    <w:rsid w:val="00F65FF4"/>
    <w:rsid w:val="00F702BA"/>
    <w:rsid w:val="00F721BF"/>
    <w:rsid w:val="00F778EE"/>
    <w:rsid w:val="00F8079E"/>
    <w:rsid w:val="00F82E61"/>
    <w:rsid w:val="00FA03C2"/>
    <w:rsid w:val="00FC1585"/>
    <w:rsid w:val="00FC5B37"/>
    <w:rsid w:val="00FF33E2"/>
    <w:rsid w:val="6CB619AB"/>
  </w:rsids>
  <w:docVars>
    <w:docVar w:name="commondata" w:val="eyJoZGlkIjoiYjI0NDlhYmVmMTk5MzNiMmVkZjQzZDBmOTE1ODA1MmU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uiPriority="0" w:unhideWhenUsed="0"/>
    <w:lsdException w:name="annotation text" w:semiHidden="0" w:uiPriority="0" w:unhideWhenUsed="0" w:qFormat="1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line="288" w:lineRule="auto"/>
      <w:ind w:firstLine="200" w:firstLineChars="200"/>
      <w:jc w:val="both"/>
    </w:pPr>
    <w:rPr>
      <w:kern w:val="2"/>
      <w:sz w:val="24"/>
      <w:szCs w:val="21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numPr>
        <w:ilvl w:val="0"/>
        <w:numId w:val="1"/>
      </w:numPr>
      <w:spacing w:before="300" w:beforeLines="300" w:after="200" w:afterLines="200"/>
      <w:ind w:firstLineChars="0"/>
      <w:jc w:val="center"/>
      <w:outlineLvl w:val="0"/>
    </w:pPr>
    <w:rPr>
      <w:b/>
      <w:bCs/>
      <w:snapToGrid w:val="0"/>
      <w:kern w:val="44"/>
      <w:sz w:val="32"/>
      <w:szCs w:val="44"/>
    </w:rPr>
  </w:style>
  <w:style w:type="paragraph" w:styleId="Heading2">
    <w:name w:val="heading 2"/>
    <w:basedOn w:val="Heading1"/>
    <w:next w:val="Normal"/>
    <w:qFormat/>
    <w:pPr>
      <w:numPr>
        <w:ilvl w:val="0"/>
        <w:numId w:val="0"/>
      </w:numPr>
      <w:spacing w:before="240" w:beforeLines="100" w:after="120" w:afterLines="50"/>
      <w:ind w:left="443" w:hanging="443"/>
      <w:jc w:val="both"/>
      <w:outlineLvl w:val="1"/>
    </w:pPr>
    <w:rPr>
      <w:b w:val="0"/>
      <w:bCs w:val="0"/>
      <w:sz w:val="30"/>
      <w:szCs w:val="30"/>
    </w:rPr>
  </w:style>
  <w:style w:type="paragraph" w:styleId="Heading3">
    <w:name w:val="heading 3"/>
    <w:basedOn w:val="Heading2"/>
    <w:next w:val="Normal"/>
    <w:qFormat/>
    <w:pPr>
      <w:numPr>
        <w:ilvl w:val="0"/>
        <w:numId w:val="0"/>
      </w:numPr>
      <w:spacing w:before="120" w:beforeLines="50" w:after="0" w:afterLines="0"/>
      <w:ind w:left="1101" w:hanging="635"/>
      <w:outlineLvl w:val="2"/>
    </w:pPr>
    <w:rPr>
      <w:rFonts w:hAnsi="宋体"/>
      <w:bCs/>
      <w:sz w:val="28"/>
      <w:szCs w:val="28"/>
    </w:rPr>
  </w:style>
  <w:style w:type="paragraph" w:styleId="Heading4">
    <w:name w:val="heading 4"/>
    <w:basedOn w:val="Heading3"/>
    <w:next w:val="Normal"/>
    <w:qFormat/>
    <w:pPr>
      <w:numPr>
        <w:ilvl w:val="3"/>
        <w:numId w:val="2"/>
      </w:numPr>
      <w:spacing w:before="0" w:beforeLines="0"/>
      <w:outlineLvl w:val="3"/>
    </w:pPr>
    <w:rPr>
      <w:sz w:val="24"/>
    </w:rPr>
  </w:style>
  <w:style w:type="paragraph" w:styleId="Heading5">
    <w:name w:val="heading 5"/>
    <w:basedOn w:val="Heading4"/>
    <w:next w:val="Normal"/>
    <w:qFormat/>
    <w:pPr>
      <w:numPr>
        <w:ilvl w:val="4"/>
        <w:numId w:val="3"/>
      </w:numPr>
      <w:ind w:left="1060" w:hanging="595"/>
      <w:outlineLvl w:val="4"/>
    </w:pPr>
    <w:rPr>
      <w:bCs w:val="0"/>
      <w:szCs w:val="28"/>
    </w:rPr>
  </w:style>
  <w:style w:type="paragraph" w:styleId="Heading6">
    <w:name w:val="heading 6"/>
    <w:basedOn w:val="Heading5"/>
    <w:next w:val="Normal"/>
    <w:qFormat/>
    <w:pPr>
      <w:numPr>
        <w:ilvl w:val="5"/>
        <w:numId w:val="4"/>
      </w:numPr>
      <w:ind w:left="817" w:hanging="352"/>
      <w:outlineLvl w:val="5"/>
    </w:pPr>
  </w:style>
  <w:style w:type="paragraph" w:styleId="Heading7">
    <w:name w:val="heading 7"/>
    <w:basedOn w:val="Heading6"/>
    <w:next w:val="Normal"/>
    <w:qFormat/>
    <w:pPr>
      <w:numPr>
        <w:ilvl w:val="6"/>
        <w:numId w:val="4"/>
      </w:numPr>
      <w:outlineLvl w:val="6"/>
    </w:pPr>
  </w:style>
  <w:style w:type="paragraph" w:styleId="Heading8">
    <w:name w:val="heading 8"/>
    <w:basedOn w:val="Normal"/>
    <w:next w:val="Normal"/>
    <w:qFormat/>
    <w:pPr>
      <w:keepNext/>
      <w:keepLines/>
      <w:numPr>
        <w:ilvl w:val="7"/>
        <w:numId w:val="1"/>
      </w:numPr>
      <w:tabs>
        <w:tab w:val="left" w:pos="1636"/>
      </w:tabs>
      <w:spacing w:before="240" w:after="64" w:line="320" w:lineRule="auto"/>
      <w:ind w:firstLineChars="0"/>
      <w:outlineLvl w:val="7"/>
    </w:pPr>
    <w:rPr>
      <w:rFonts w:ascii="Arial" w:eastAsia="黑体" w:hAnsi="Arial"/>
      <w:szCs w:val="24"/>
    </w:rPr>
  </w:style>
  <w:style w:type="paragraph" w:styleId="Heading9">
    <w:name w:val="heading 9"/>
    <w:basedOn w:val="Heading4"/>
    <w:next w:val="Normal"/>
    <w:qFormat/>
    <w:pPr>
      <w:outlineLvl w:val="8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CommentText">
    <w:name w:val="annotation text"/>
    <w:basedOn w:val="Normal"/>
    <w:link w:val="Char"/>
    <w:qFormat/>
    <w:pPr>
      <w:spacing w:line="240" w:lineRule="auto"/>
      <w:ind w:firstLine="0" w:firstLineChars="0"/>
      <w:jc w:val="left"/>
    </w:pPr>
    <w:rPr>
      <w:rFonts w:ascii="Calibri" w:hAnsi="Calibri"/>
      <w:sz w:val="21"/>
      <w:szCs w:val="24"/>
    </w:rPr>
  </w:style>
  <w:style w:type="character" w:customStyle="1" w:styleId="Char">
    <w:name w:val="批注文字 Char"/>
    <w:link w:val="CommentText"/>
    <w:rPr>
      <w:rFonts w:ascii="Calibri" w:hAnsi="Calibri"/>
      <w:kern w:val="2"/>
      <w:sz w:val="21"/>
      <w:szCs w:val="24"/>
    </w:rPr>
  </w:style>
  <w:style w:type="paragraph" w:styleId="BodyText">
    <w:name w:val="Body Text"/>
    <w:basedOn w:val="Normal"/>
    <w:pPr>
      <w:spacing w:after="120"/>
      <w:ind w:firstLine="0" w:firstLineChars="0"/>
    </w:pPr>
    <w:rPr>
      <w:sz w:val="13"/>
      <w:szCs w:val="20"/>
    </w:rPr>
  </w:style>
  <w:style w:type="paragraph" w:styleId="BodyTextIndent">
    <w:name w:val="Body Text Indent"/>
    <w:basedOn w:val="Normal"/>
    <w:pPr>
      <w:spacing w:after="120"/>
      <w:ind w:left="420" w:leftChars="200"/>
    </w:pPr>
  </w:style>
  <w:style w:type="paragraph" w:styleId="TOC3">
    <w:name w:val="toc 3"/>
    <w:basedOn w:val="Normal"/>
    <w:next w:val="Normal"/>
    <w:uiPriority w:val="39"/>
    <w:pPr>
      <w:ind w:left="400" w:firstLine="0" w:leftChars="400" w:firstLineChars="0"/>
    </w:pPr>
  </w:style>
  <w:style w:type="paragraph" w:styleId="PlainText">
    <w:name w:val="Plain Text"/>
    <w:basedOn w:val="Normal"/>
    <w:pPr>
      <w:ind w:left="492" w:firstLine="0" w:firstLineChars="0"/>
      <w:outlineLvl w:val="0"/>
    </w:pPr>
    <w:rPr>
      <w:rFonts w:ascii="宋体" w:hAnsi="Courier New"/>
      <w:sz w:val="21"/>
      <w:szCs w:val="20"/>
    </w:rPr>
  </w:style>
  <w:style w:type="paragraph" w:styleId="Date">
    <w:name w:val="Date"/>
    <w:basedOn w:val="Normal"/>
    <w:next w:val="Normal"/>
    <w:pPr>
      <w:ind w:firstLine="0" w:firstLineChars="0"/>
    </w:pPr>
    <w:rPr>
      <w:sz w:val="21"/>
      <w:szCs w:val="20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pPr>
      <w:pBdr>
        <w:bottom w:val="double" w:sz="4" w:space="1" w:color="auto"/>
      </w:pBdr>
      <w:tabs>
        <w:tab w:val="center" w:pos="4153"/>
        <w:tab w:val="right" w:pos="8306"/>
      </w:tabs>
      <w:snapToGrid w:val="0"/>
      <w:ind w:firstLine="0" w:firstLineChars="0"/>
      <w:jc w:val="center"/>
    </w:pPr>
    <w:rPr>
      <w:snapToGrid w:val="0"/>
      <w:kern w:val="24"/>
      <w:sz w:val="21"/>
    </w:rPr>
  </w:style>
  <w:style w:type="paragraph" w:styleId="TOC1">
    <w:name w:val="toc 1"/>
    <w:basedOn w:val="Normal"/>
    <w:next w:val="Normal"/>
    <w:uiPriority w:val="39"/>
    <w:pPr>
      <w:ind w:firstLine="0" w:firstLineChars="0"/>
    </w:pPr>
  </w:style>
  <w:style w:type="paragraph" w:styleId="FootnoteText">
    <w:name w:val="footnote text"/>
    <w:basedOn w:val="Normal"/>
    <w:semiHidden/>
    <w:pPr>
      <w:snapToGrid w:val="0"/>
      <w:ind w:firstLine="0" w:firstLineChars="0"/>
      <w:jc w:val="left"/>
    </w:pPr>
    <w:rPr>
      <w:sz w:val="21"/>
      <w:szCs w:val="18"/>
    </w:rPr>
  </w:style>
  <w:style w:type="paragraph" w:styleId="TOC2">
    <w:name w:val="toc 2"/>
    <w:basedOn w:val="Normal"/>
    <w:next w:val="Normal"/>
    <w:uiPriority w:val="39"/>
    <w:pPr>
      <w:ind w:left="200" w:firstLine="0" w:leftChars="200" w:firstLineChars="0"/>
    </w:pPr>
  </w:style>
  <w:style w:type="paragraph" w:styleId="NormalWeb">
    <w:name w:val="Normal (Web)"/>
    <w:basedOn w:val="Normal"/>
    <w:uiPriority w:val="99"/>
    <w:unhideWhenUsed/>
    <w:pPr>
      <w:widowControl/>
      <w:spacing w:before="100" w:beforeAutospacing="1" w:after="100" w:afterAutospacing="1" w:line="240" w:lineRule="auto"/>
      <w:ind w:firstLine="0" w:firstLineChars="0"/>
      <w:jc w:val="left"/>
    </w:pPr>
    <w:rPr>
      <w:rFonts w:ascii="宋体" w:hAnsi="宋体" w:cs="宋体"/>
      <w:kern w:val="0"/>
      <w:szCs w:val="24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rPr>
      <w:color w:val="0000FF"/>
      <w:u w:val="single"/>
    </w:rPr>
  </w:style>
  <w:style w:type="character" w:styleId="FootnoteReference">
    <w:name w:val="footnote reference"/>
    <w:rPr>
      <w:vertAlign w:val="superscript"/>
    </w:rPr>
  </w:style>
  <w:style w:type="character" w:customStyle="1" w:styleId="MTEquationSection">
    <w:name w:val="MTEquationSection"/>
    <w:rPr>
      <w:b/>
      <w:color w:val="FF0000"/>
    </w:rPr>
  </w:style>
  <w:style w:type="paragraph" w:customStyle="1" w:styleId="6">
    <w:name w:val="标题6"/>
    <w:basedOn w:val="Normal"/>
    <w:pPr>
      <w:numPr>
        <w:ilvl w:val="0"/>
        <w:numId w:val="3"/>
      </w:numPr>
      <w:ind w:firstLineChars="0"/>
    </w:pPr>
  </w:style>
  <w:style w:type="paragraph" w:customStyle="1" w:styleId="a">
    <w:name w:val="公式"/>
    <w:basedOn w:val="Normal"/>
    <w:next w:val="Normal"/>
    <w:pPr>
      <w:tabs>
        <w:tab w:val="right" w:pos="8971"/>
      </w:tabs>
      <w:spacing w:before="120" w:beforeLines="50" w:after="120" w:afterLines="50" w:line="240" w:lineRule="auto"/>
      <w:ind w:firstLine="480"/>
    </w:pPr>
  </w:style>
  <w:style w:type="paragraph" w:customStyle="1" w:styleId="a0">
    <w:name w:val="参考文献"/>
    <w:basedOn w:val="Normal"/>
    <w:pPr>
      <w:numPr>
        <w:ilvl w:val="0"/>
        <w:numId w:val="5"/>
      </w:numPr>
      <w:tabs>
        <w:tab w:val="left" w:pos="488"/>
      </w:tabs>
      <w:overflowPunct w:val="0"/>
      <w:autoSpaceDN w:val="0"/>
      <w:adjustRightInd w:val="0"/>
      <w:snapToGrid w:val="0"/>
      <w:ind w:firstLineChars="0"/>
    </w:pPr>
    <w:rPr>
      <w:rFonts w:cs="Courier New"/>
      <w:snapToGrid w:val="0"/>
      <w:kern w:val="0"/>
      <w:sz w:val="21"/>
    </w:rPr>
  </w:style>
  <w:style w:type="paragraph" w:customStyle="1" w:styleId="CONTENTS">
    <w:name w:val="CONTENTS"/>
    <w:basedOn w:val="a"/>
    <w:pPr>
      <w:tabs>
        <w:tab w:val="right" w:leader="dot" w:pos="8971"/>
      </w:tabs>
      <w:spacing w:before="0" w:beforeLines="0" w:after="0" w:afterLines="0" w:line="288" w:lineRule="auto"/>
      <w:ind w:firstLine="0" w:firstLineChars="0"/>
    </w:pPr>
  </w:style>
  <w:style w:type="paragraph" w:customStyle="1" w:styleId="a1">
    <w:name w:val="图表题注"/>
    <w:basedOn w:val="Normal"/>
    <w:next w:val="Normal"/>
    <w:pPr>
      <w:spacing w:before="50" w:beforeLines="50" w:after="50" w:afterLines="50"/>
      <w:ind w:firstLine="0" w:firstLineChars="0"/>
      <w:jc w:val="center"/>
    </w:pPr>
    <w:rPr>
      <w:sz w:val="21"/>
    </w:rPr>
  </w:style>
  <w:style w:type="paragraph" w:customStyle="1" w:styleId="a2">
    <w:name w:val="无间隔"/>
    <w:qFormat/>
    <w:pPr>
      <w:widowControl w:val="0"/>
      <w:spacing w:line="240" w:lineRule="atLeast"/>
      <w:jc w:val="both"/>
    </w:pPr>
    <w:rPr>
      <w:rFonts w:ascii="Calibri" w:hAnsi="Calibri"/>
      <w:kern w:val="2"/>
      <w:sz w:val="21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yperlink" Target="https://d.book118.com/638020143110006031" TargetMode="External" /><Relationship Id="rId7" Type="http://schemas.openxmlformats.org/officeDocument/2006/relationships/header" Target="header2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2666</Words>
  <Characters>15201</Characters>
  <Application>Microsoft Office Word</Application>
  <DocSecurity>0</DocSecurity>
  <Lines>126</Lines>
  <Paragraphs>35</Paragraphs>
  <ScaleCrop>false</ScaleCrop>
  <Company/>
  <LinksUpToDate>false</LinksUpToDate>
  <CharactersWithSpaces>17832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殷商</dc:creator>
  <cp:lastModifiedBy>张恒</cp:lastModifiedBy>
  <cp:revision>32</cp:revision>
  <cp:lastPrinted>2019-10-23T11:23:00Z</cp:lastPrinted>
  <dcterms:created xsi:type="dcterms:W3CDTF">2019-11-24T12:07:00Z</dcterms:created>
  <dcterms:modified xsi:type="dcterms:W3CDTF">2024-01-23T11:42:57Z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4FAFA43DD0344D06A612D19393E626AD_12</vt:lpwstr>
  </property>
  <property fmtid="{D5CDD505-2E9C-101B-9397-08002B2CF9AE}" pid="3" name="KSOProductBuildVer">
    <vt:lpwstr>2052-12.1.0.16120</vt:lpwstr>
  </property>
</Properties>
</file>