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2024年安化县养老公寓行业分析报告及未来五到十年行业发展趋势报告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4337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行业的外部环境及发展趋势分析</w:t>
        </w:r>
        <w:r>
          <w:tab/>
        </w:r>
        <w:r>
          <w:fldChar w:fldCharType="begin"/>
        </w:r>
        <w:r>
          <w:instrText xml:space="preserve"> PAGEREF _Toc24337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32556" w:history="1">
        <w:r>
          <w:rPr>
            <w:rFonts w:eastAsia="微软雅黑" w:hint="eastAsia"/>
            <w:snapToGrid/>
            <w:lang w:val="en-US" w:eastAsia="en-US"/>
          </w:rPr>
          <w:t>(一)、国际政治经济发展对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_Toc32556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05" w:history="1">
        <w:r>
          <w:rPr>
            <w:rFonts w:eastAsia="微软雅黑" w:hint="eastAsia"/>
            <w:snapToGrid/>
            <w:lang w:val="en-US" w:eastAsia="zh-CN"/>
          </w:rPr>
          <w:t>(二)、国内政治经济发展对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_Toc28805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8" w:history="1">
        <w:r>
          <w:rPr>
            <w:rFonts w:eastAsia="微软雅黑" w:hint="eastAsia"/>
            <w:snapToGrid/>
            <w:lang w:val="en-US" w:eastAsia="zh-CN"/>
          </w:rPr>
          <w:t>(三)、国内突出经济问题对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_Toc298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532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_Toc21532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54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_Toc29654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7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_Toc5479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875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_Toc3875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63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_Toc9363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031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_Toc17031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373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_Toc23373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677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_Toc20677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738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_Toc10738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143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_Toc18143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121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_Toc14121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044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_Toc4044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793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_Toc19793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65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_Toc12965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85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_Toc3185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561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_Toc30561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592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_Toc19592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6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_Toc20062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210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_Toc15210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049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_Toc31049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9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_Toc23190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27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_Toc10271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6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_Toc25766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957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_Toc4957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004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_Toc8004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7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_Toc9375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8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_Toc1483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6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_Toc2362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45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_Toc23045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872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_Toc9872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1399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行业企业市场突围战略分析</w:t>
        </w:r>
        <w:r>
          <w:tab/>
        </w:r>
        <w:r>
          <w:fldChar w:fldCharType="begin"/>
        </w:r>
        <w:r>
          <w:instrText xml:space="preserve"> PAGEREF _Toc21399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69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行业树立“战略突破”理念</w:t>
        </w:r>
        <w:r>
          <w:tab/>
        </w:r>
        <w:r>
          <w:fldChar w:fldCharType="begin"/>
        </w:r>
        <w:r>
          <w:instrText xml:space="preserve"> PAGEREF _Toc26169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297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行业市场定位、产品定位和品牌定位</w:t>
        </w:r>
        <w:r>
          <w:tab/>
        </w:r>
        <w:r>
          <w:fldChar w:fldCharType="begin"/>
        </w:r>
        <w:r>
          <w:instrText xml:space="preserve"> PAGEREF _Toc11297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432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_Toc16432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985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_Toc29985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458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_Toc23458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986" w:history="1">
        <w:r>
          <w:rPr>
            <w:rFonts w:eastAsia="微软雅黑" w:hint="eastAsia"/>
            <w:snapToGrid/>
            <w:lang w:val="en-US" w:eastAsia="zh-CN"/>
          </w:rPr>
          <w:t>(三)、创新寻求突破</w:t>
        </w:r>
        <w:r>
          <w:tab/>
        </w:r>
        <w:r>
          <w:fldChar w:fldCharType="begin"/>
        </w:r>
        <w:r>
          <w:instrText xml:space="preserve"> PAGEREF _Toc19986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987" w:history="1">
        <w:r>
          <w:rPr>
            <w:rFonts w:eastAsia="微软雅黑" w:hint="eastAsia"/>
            <w:snapToGrid/>
            <w:lang w:val="en-US" w:eastAsia="zh-CN"/>
          </w:rPr>
          <w:t>1、基于消费升级的科技创新模式</w:t>
        </w:r>
        <w:r>
          <w:tab/>
        </w:r>
        <w:r>
          <w:fldChar w:fldCharType="begin"/>
        </w:r>
        <w:r>
          <w:instrText xml:space="preserve"> PAGEREF _Toc8987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22" w:history="1">
        <w:r>
          <w:rPr>
            <w:rFonts w:eastAsia="微软雅黑" w:hint="eastAsia"/>
            <w:snapToGrid/>
            <w:lang w:val="en-US" w:eastAsia="zh-CN"/>
          </w:rPr>
          <w:t>2、创新推动行业更高质量发展</w:t>
        </w:r>
        <w:r>
          <w:tab/>
        </w:r>
        <w:r>
          <w:fldChar w:fldCharType="begin"/>
        </w:r>
        <w:r>
          <w:instrText xml:space="preserve"> PAGEREF _Toc1122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252" w:history="1">
        <w:r>
          <w:rPr>
            <w:rFonts w:eastAsia="微软雅黑" w:hint="eastAsia"/>
            <w:snapToGrid/>
            <w:lang w:val="en-US" w:eastAsia="zh-CN"/>
          </w:rPr>
          <w:t>3、尝试业态创新和品牌创新</w:t>
        </w:r>
        <w:r>
          <w:tab/>
        </w:r>
        <w:r>
          <w:fldChar w:fldCharType="begin"/>
        </w:r>
        <w:r>
          <w:instrText xml:space="preserve"> PAGEREF _Toc20252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358" w:history="1">
        <w:r>
          <w:rPr>
            <w:rFonts w:eastAsia="微软雅黑" w:hint="eastAsia"/>
            <w:snapToGrid/>
            <w:lang w:val="en-US" w:eastAsia="zh-CN"/>
          </w:rPr>
          <w:t>4、自主创新打造品牌</w:t>
        </w:r>
        <w:r>
          <w:tab/>
        </w:r>
        <w:r>
          <w:fldChar w:fldCharType="begin"/>
        </w:r>
        <w:r>
          <w:instrText xml:space="preserve"> PAGEREF _Toc13358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995" w:history="1">
        <w:r>
          <w:rPr>
            <w:rFonts w:eastAsia="微软雅黑" w:hint="eastAsia"/>
            <w:snapToGrid/>
            <w:lang w:val="en-US" w:eastAsia="zh-CN"/>
          </w:rPr>
          <w:t>(四)、制定宣传计划</w:t>
        </w:r>
        <w:r>
          <w:tab/>
        </w:r>
        <w:r>
          <w:fldChar w:fldCharType="begin"/>
        </w:r>
        <w:r>
          <w:instrText xml:space="preserve"> PAGEREF _Toc16995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707" w:history="1">
        <w:r>
          <w:rPr>
            <w:rFonts w:eastAsia="微软雅黑" w:hint="eastAsia"/>
            <w:snapToGrid/>
            <w:lang w:val="en-US" w:eastAsia="zh-CN"/>
          </w:rPr>
          <w:t>1、学会做低成本的传播工具</w:t>
        </w:r>
        <w:r>
          <w:tab/>
        </w:r>
        <w:r>
          <w:fldChar w:fldCharType="begin"/>
        </w:r>
        <w:r>
          <w:instrText xml:space="preserve"> PAGEREF _Toc30707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624" w:history="1">
        <w:r>
          <w:rPr>
            <w:rFonts w:eastAsia="微软雅黑" w:hint="eastAsia"/>
            <w:snapToGrid/>
            <w:lang w:val="en-US" w:eastAsia="zh-CN"/>
          </w:rPr>
          <w:t>2、学会以优秀的品牌视觉设计突出品牌特色</w:t>
        </w:r>
        <w:r>
          <w:tab/>
        </w:r>
        <w:r>
          <w:fldChar w:fldCharType="begin"/>
        </w:r>
        <w:r>
          <w:instrText xml:space="preserve"> PAGEREF _Toc11624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247" w:history="1">
        <w:r>
          <w:rPr>
            <w:rFonts w:eastAsia="微软雅黑" w:hint="eastAsia"/>
            <w:snapToGrid/>
            <w:lang w:val="en-US" w:eastAsia="zh-CN"/>
          </w:rPr>
          <w:t>3、学会使用网络营销</w:t>
        </w:r>
        <w:r>
          <w:tab/>
        </w:r>
        <w:r>
          <w:fldChar w:fldCharType="begin"/>
        </w:r>
        <w:r>
          <w:instrText xml:space="preserve"> PAGEREF _Toc26247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266" w:history="1">
        <w:r>
          <w:rPr>
            <w:rFonts w:eastAsia="微软雅黑" w:hint="eastAsia"/>
            <w:snapToGrid/>
            <w:lang w:val="en-US" w:eastAsia="en-US"/>
          </w:rPr>
          <w:t>八、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_Toc23266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64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_Toc23064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839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_Toc21839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112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_Toc4112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67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_Toc21967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26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_Toc28926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993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行业发展模式分析</w:t>
        </w:r>
        <w:r>
          <w:tab/>
        </w:r>
        <w:r>
          <w:fldChar w:fldCharType="begin"/>
        </w:r>
        <w:r>
          <w:instrText xml:space="preserve"> PAGEREF _Toc11993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行业地域有明显差异</w:t>
        </w:r>
        <w:r>
          <w:tab/>
        </w:r>
        <w:r>
          <w:fldChar w:fldCharType="begin"/>
        </w:r>
        <w:r>
          <w:instrText xml:space="preserve"> PAGEREF _Toc2305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736" w:history="1">
        <w:r>
          <w:rPr>
            <w:rFonts w:eastAsia="微软雅黑" w:hint="eastAsia"/>
            <w:snapToGrid/>
            <w:lang w:val="en-US" w:eastAsia="en-US"/>
          </w:rPr>
          <w:t>十、2024-2029年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_Toc14736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425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_Toc15425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088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_Toc17088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700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_Toc24700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75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_Toc7375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569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_Toc27569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48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_Toc26148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608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安化县养老公寓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_Toc10608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32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_Toc20432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14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_Toc13142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9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安化县养老公寓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_Toc20096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774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_Toc3774 \h </w:instrText>
        </w:r>
        <w:r>
          <w:fldChar w:fldCharType="separate"/>
        </w:r>
        <w:r>
          <w:t>34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https://d.book118.com/638022120064006023</w:t>
        </w:r>
      </w:hyperlink>
    </w:p>
    <w:p>
      <w:pPr>
        <w:pStyle w:val="TOC3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638022120064006023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