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71" w:line="183" w:lineRule="auto"/>
        <w:ind w:left="575"/>
        <w:outlineLvl w:val="0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spacing w:val="-1"/>
          <w:sz w:val="40"/>
          <w:szCs w:val="40"/>
        </w:rPr>
        <w:t>深市上市公司可持续发展信息披露白皮书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101" w:line="226" w:lineRule="auto"/>
        <w:ind w:left="3887"/>
      </w:pPr>
      <w:r>
        <w:rPr>
          <w:spacing w:val="-5"/>
        </w:rPr>
        <w:t>引言</w:t>
      </w:r>
    </w:p>
    <w:p>
      <w:pPr>
        <w:pStyle w:val="BodyText"/>
        <w:spacing w:before="170" w:line="334" w:lineRule="auto"/>
        <w:ind w:left="35" w:firstLine="645"/>
      </w:pPr>
      <w:r>
        <w:rPr>
          <w:spacing w:val="1"/>
        </w:rPr>
        <w:t>可持续发展关系人类命运和未来，</w:t>
      </w:r>
      <w:r>
        <w:rPr>
          <w:spacing w:val="1"/>
        </w:rPr>
        <w:t xml:space="preserve"> </w:t>
      </w:r>
      <w:r>
        <w:rPr>
          <w:spacing w:val="1"/>
        </w:rPr>
        <w:t>是破解当前</w:t>
      </w:r>
      <w:r>
        <w:t>全球性问</w:t>
      </w:r>
      <w:r>
        <w:t xml:space="preserve"> </w:t>
      </w:r>
      <w:r>
        <w:rPr>
          <w:spacing w:val="7"/>
        </w:rPr>
        <w:t>题的“金钥匙”。党中央、国务院高度重视经济、社会、环</w:t>
      </w:r>
      <w:r>
        <w:rPr>
          <w:spacing w:val="6"/>
        </w:rPr>
        <w:t xml:space="preserve">  </w:t>
      </w:r>
      <w:r>
        <w:rPr>
          <w:spacing w:val="-1"/>
        </w:rPr>
        <w:t>境的可持续发展，近年来多次作出重要战略部署。</w:t>
      </w:r>
      <w:r>
        <w:rPr>
          <w:spacing w:val="74"/>
        </w:rPr>
        <w:t xml:space="preserve"> </w:t>
      </w:r>
      <w:r>
        <w:rPr>
          <w:spacing w:val="-1"/>
        </w:rPr>
        <w:t>党的十九</w:t>
      </w:r>
      <w:r>
        <w:rPr>
          <w:spacing w:val="-1"/>
        </w:rPr>
        <w:t xml:space="preserve"> </w:t>
      </w:r>
      <w:r>
        <w:rPr>
          <w:spacing w:val="7"/>
        </w:rPr>
        <w:t>大报告指出，必须坚定不移贯彻创新、协调、绿色、</w:t>
      </w:r>
      <w:r>
        <w:rPr>
          <w:spacing w:val="6"/>
        </w:rPr>
        <w:t>开放、</w:t>
      </w:r>
      <w:r>
        <w:t xml:space="preserve">  </w:t>
      </w:r>
      <w:r>
        <w:rPr>
          <w:spacing w:val="3"/>
        </w:rPr>
        <w:t>共享的发展理念。2020</w:t>
      </w:r>
      <w:r>
        <w:rPr>
          <w:spacing w:val="-40"/>
        </w:rPr>
        <w:t xml:space="preserve"> </w:t>
      </w:r>
      <w:r>
        <w:rPr>
          <w:spacing w:val="3"/>
        </w:rPr>
        <w:t>年，中国正式对外宣布“二氧化碳排</w:t>
      </w:r>
      <w:r>
        <w:rPr>
          <w:spacing w:val="3"/>
        </w:rPr>
        <w:t xml:space="preserve"> </w:t>
      </w:r>
      <w:r>
        <w:rPr>
          <w:spacing w:val="-2"/>
        </w:rPr>
        <w:t>放力争于</w:t>
      </w:r>
      <w:r>
        <w:rPr>
          <w:spacing w:val="-48"/>
        </w:rPr>
        <w:t xml:space="preserve"> </w:t>
      </w:r>
      <w:r>
        <w:rPr>
          <w:spacing w:val="-2"/>
        </w:rPr>
        <w:t>2030</w:t>
      </w:r>
      <w:r>
        <w:rPr>
          <w:spacing w:val="-50"/>
        </w:rPr>
        <w:t xml:space="preserve"> </w:t>
      </w:r>
      <w:r>
        <w:rPr>
          <w:spacing w:val="-2"/>
        </w:rPr>
        <w:t>年前达到峰值，</w:t>
      </w:r>
      <w:r>
        <w:rPr>
          <w:spacing w:val="-2"/>
        </w:rPr>
        <w:t xml:space="preserve"> </w:t>
      </w:r>
      <w:r>
        <w:rPr>
          <w:spacing w:val="-2"/>
        </w:rPr>
        <w:t>努力争取</w:t>
      </w:r>
      <w:r>
        <w:rPr>
          <w:spacing w:val="-57"/>
        </w:rPr>
        <w:t xml:space="preserve"> </w:t>
      </w:r>
      <w:r>
        <w:rPr>
          <w:spacing w:val="-2"/>
        </w:rPr>
        <w:t>2060</w:t>
      </w:r>
      <w:r>
        <w:rPr>
          <w:spacing w:val="-46"/>
        </w:rPr>
        <w:t xml:space="preserve"> </w:t>
      </w:r>
      <w:r>
        <w:rPr>
          <w:spacing w:val="-2"/>
        </w:rPr>
        <w:t>年前实现碳中</w:t>
      </w:r>
      <w:r>
        <w:rPr>
          <w:spacing w:val="-2"/>
        </w:rPr>
        <w:t xml:space="preserve"> </w:t>
      </w:r>
      <w:r>
        <w:rPr>
          <w:spacing w:val="-5"/>
        </w:rPr>
        <w:t>和</w:t>
      </w:r>
      <w:r>
        <w:rPr>
          <w:spacing w:val="-109"/>
        </w:rPr>
        <w:t xml:space="preserve"> </w:t>
      </w:r>
      <w:r>
        <w:rPr>
          <w:spacing w:val="-5"/>
        </w:rPr>
        <w:t>”。2021</w:t>
      </w:r>
      <w:r>
        <w:rPr>
          <w:spacing w:val="-48"/>
        </w:rPr>
        <w:t xml:space="preserve"> </w:t>
      </w:r>
      <w:r>
        <w:rPr>
          <w:spacing w:val="-5"/>
        </w:rPr>
        <w:t>年，“十四五”规划和</w:t>
      </w:r>
      <w:r>
        <w:rPr>
          <w:spacing w:val="-60"/>
        </w:rPr>
        <w:t xml:space="preserve"> </w:t>
      </w:r>
      <w:r>
        <w:rPr>
          <w:spacing w:val="-5"/>
        </w:rPr>
        <w:t>2035</w:t>
      </w:r>
      <w:r>
        <w:rPr>
          <w:spacing w:val="-46"/>
        </w:rPr>
        <w:t xml:space="preserve"> </w:t>
      </w:r>
      <w:r>
        <w:rPr>
          <w:spacing w:val="-5"/>
        </w:rPr>
        <w:t>年远景目标纲要中纳</w:t>
      </w:r>
      <w:r>
        <w:rPr>
          <w:spacing w:val="-5"/>
        </w:rPr>
        <w:t xml:space="preserve"> </w:t>
      </w:r>
      <w:r>
        <w:rPr>
          <w:spacing w:val="2"/>
        </w:rPr>
        <w:t>入“碳达峰、碳中和”内容，</w:t>
      </w:r>
      <w:r>
        <w:rPr>
          <w:spacing w:val="2"/>
        </w:rPr>
        <w:t xml:space="preserve"> </w:t>
      </w:r>
      <w:r>
        <w:rPr>
          <w:spacing w:val="2"/>
        </w:rPr>
        <w:t>并明确要求</w:t>
      </w:r>
      <w:r>
        <w:rPr>
          <w:spacing w:val="1"/>
        </w:rPr>
        <w:t>实施可持续发展战</w:t>
      </w:r>
      <w:r>
        <w:rPr>
          <w:spacing w:val="1"/>
        </w:rPr>
        <w:t xml:space="preserve"> </w:t>
      </w:r>
      <w:r>
        <w:t>略，推动经济社会发展全面绿色转型。党的二十大报告指出，</w:t>
      </w:r>
      <w:r>
        <w:t xml:space="preserve"> </w:t>
      </w:r>
      <w:r>
        <w:rPr>
          <w:spacing w:val="1"/>
        </w:rPr>
        <w:t>坚定不移走生产发展、生活富裕、生态良好的文明发展道路。</w:t>
      </w:r>
      <w:r>
        <w:t xml:space="preserve"> </w:t>
      </w:r>
      <w:r>
        <w:rPr>
          <w:spacing w:val="2"/>
        </w:rPr>
        <w:t>为贯彻落实党中央、国务院决策部署，</w:t>
      </w:r>
      <w:r>
        <w:rPr>
          <w:spacing w:val="2"/>
        </w:rPr>
        <w:t xml:space="preserve"> </w:t>
      </w:r>
      <w:r>
        <w:rPr>
          <w:spacing w:val="2"/>
        </w:rPr>
        <w:t>生</w:t>
      </w:r>
      <w:r>
        <w:rPr>
          <w:spacing w:val="1"/>
        </w:rPr>
        <w:t>态环境部、发改委</w:t>
      </w:r>
      <w:r>
        <w:rPr>
          <w:spacing w:val="1"/>
        </w:rPr>
        <w:t xml:space="preserve"> </w:t>
      </w:r>
      <w:r>
        <w:rPr>
          <w:spacing w:val="19"/>
        </w:rPr>
        <w:t>等各相关主管部门陆续出台和完善相关配套规章和规范性</w:t>
      </w:r>
      <w:r>
        <w:rPr>
          <w:spacing w:val="19"/>
        </w:rPr>
        <w:t xml:space="preserve"> </w:t>
      </w:r>
      <w:r>
        <w:rPr>
          <w:spacing w:val="-3"/>
        </w:rPr>
        <w:t>文件，</w:t>
      </w:r>
      <w:r>
        <w:rPr>
          <w:spacing w:val="-3"/>
        </w:rPr>
        <w:t xml:space="preserve"> </w:t>
      </w:r>
      <w:r>
        <w:rPr>
          <w:spacing w:val="-3"/>
        </w:rPr>
        <w:t>不断夯实可持续发展的制度和政策基石，</w:t>
      </w:r>
      <w:r>
        <w:rPr>
          <w:spacing w:val="-4"/>
        </w:rPr>
        <w:t xml:space="preserve"> </w:t>
      </w:r>
      <w:r>
        <w:rPr>
          <w:spacing w:val="-4"/>
        </w:rPr>
        <w:t>更好地引导</w:t>
      </w:r>
    </w:p>
    <w:p>
      <w:pPr>
        <w:pStyle w:val="BodyText"/>
        <w:spacing w:before="1" w:line="225" w:lineRule="auto"/>
        <w:ind w:left="35"/>
      </w:pPr>
      <w:r>
        <w:rPr>
          <w:spacing w:val="1"/>
        </w:rPr>
        <w:t>和规范企业实践。</w:t>
      </w:r>
    </w:p>
    <w:p>
      <w:pPr>
        <w:pStyle w:val="BodyText"/>
        <w:spacing w:before="179" w:line="334" w:lineRule="auto"/>
        <w:ind w:left="38" w:right="114" w:firstLine="644"/>
        <w:sectPr>
          <w:footerReference w:type="default" r:id="rId4"/>
          <w:pgSz w:w="11907" w:h="16839"/>
          <w:pgMar w:top="1431" w:right="1686" w:bottom="1845" w:left="1785" w:header="0" w:footer="1684" w:gutter="0"/>
          <w:cols w:space="708"/>
        </w:sectPr>
      </w:pPr>
      <w:r>
        <w:t>实现“碳达峰、碳中和</w:t>
      </w:r>
      <w:r>
        <w:rPr>
          <w:spacing w:val="-112"/>
        </w:rPr>
        <w:t xml:space="preserve"> </w:t>
      </w:r>
      <w:r>
        <w:t>”和可持续发展目标，</w:t>
      </w:r>
      <w:r>
        <w:t xml:space="preserve"> </w:t>
      </w:r>
      <w:r>
        <w:rPr>
          <w:spacing w:val="-1"/>
        </w:rPr>
        <w:t>是一场广</w:t>
      </w:r>
      <w:r>
        <w:t xml:space="preserve"> </w:t>
      </w:r>
      <w:r>
        <w:rPr>
          <w:spacing w:val="1"/>
        </w:rPr>
        <w:t>泛而深刻的经济社会系统性变革，</w:t>
      </w:r>
      <w:r>
        <w:rPr>
          <w:spacing w:val="41"/>
        </w:rPr>
        <w:t xml:space="preserve"> </w:t>
      </w:r>
      <w:r>
        <w:rPr>
          <w:spacing w:val="1"/>
        </w:rPr>
        <w:t>离不开更加有效的金</w:t>
      </w:r>
      <w:r>
        <w:t>融资</w:t>
      </w:r>
      <w:r>
        <w:t xml:space="preserve"> </w:t>
      </w:r>
      <w:r>
        <w:rPr>
          <w:spacing w:val="2"/>
        </w:rPr>
        <w:t>源配置。</w:t>
      </w:r>
      <w:r>
        <w:rPr>
          <w:spacing w:val="2"/>
        </w:rPr>
        <w:t xml:space="preserve"> </w:t>
      </w:r>
      <w:r>
        <w:rPr>
          <w:spacing w:val="2"/>
        </w:rPr>
        <w:t>为更好发挥金融服务国家战略、支持绿色发展、践</w:t>
      </w:r>
      <w:r>
        <w:rPr>
          <w:spacing w:val="9"/>
        </w:rPr>
        <w:t xml:space="preserve"> </w:t>
      </w:r>
      <w:r>
        <w:rPr>
          <w:spacing w:val="8"/>
        </w:rPr>
        <w:t>行社会责任的作用，优化资源配置，各监管部门或自律组织</w:t>
      </w:r>
    </w:p>
    <w:p>
      <w:pPr>
        <w:pStyle w:val="BodyText"/>
        <w:spacing w:line="224" w:lineRule="auto"/>
        <w:ind w:left="38"/>
      </w:pPr>
      <w:r>
        <w:rPr>
          <w:spacing w:val="2"/>
        </w:rPr>
        <w:t>积极出台相关金融支持政策，</w:t>
      </w:r>
      <w:r>
        <w:rPr>
          <w:spacing w:val="2"/>
        </w:rPr>
        <w:t xml:space="preserve"> </w:t>
      </w:r>
      <w:r>
        <w:rPr>
          <w:spacing w:val="2"/>
        </w:rPr>
        <w:t>助力经济社会可持续、高质量</w:t>
      </w:r>
    </w:p>
    <w:p>
      <w:pPr>
        <w:spacing w:line="224" w:lineRule="auto"/>
        <w:sectPr>
          <w:footerReference w:type="default" r:id="rId5"/>
          <w:type w:val="nextPage"/>
          <w:pgSz w:w="11907" w:h="16839"/>
          <w:pgMar w:top="1431" w:right="1686" w:bottom="1845" w:left="1785" w:header="0" w:footer="1684" w:gutter="0"/>
          <w:pgNumType w:start="2"/>
          <w:cols w:space="708"/>
          <w:titlePg w:val="0"/>
        </w:sectPr>
      </w:pPr>
    </w:p>
    <w:p>
      <w:pPr>
        <w:pStyle w:val="BodyText"/>
        <w:spacing w:before="186" w:line="333" w:lineRule="auto"/>
        <w:ind w:left="36" w:right="133" w:firstLine="7"/>
        <w:jc w:val="both"/>
      </w:pPr>
      <w:r>
        <w:rPr>
          <w:spacing w:val="-4"/>
        </w:rPr>
        <w:t>发展。</w:t>
      </w:r>
      <w:r>
        <w:rPr>
          <w:spacing w:val="-4"/>
        </w:rPr>
        <w:t xml:space="preserve"> </w:t>
      </w:r>
      <w:r>
        <w:rPr>
          <w:spacing w:val="-4"/>
        </w:rPr>
        <w:t>作为资本市场核心机构和重要平台，一直以来，</w:t>
      </w:r>
      <w:r>
        <w:rPr>
          <w:spacing w:val="-4"/>
        </w:rPr>
        <w:t xml:space="preserve"> </w:t>
      </w:r>
      <w:r>
        <w:rPr>
          <w:spacing w:val="-4"/>
        </w:rPr>
        <w:t>深交</w:t>
      </w:r>
      <w:r>
        <w:rPr>
          <w:spacing w:val="13"/>
        </w:rPr>
        <w:t xml:space="preserve"> </w:t>
      </w:r>
      <w:r>
        <w:rPr>
          <w:spacing w:val="-3"/>
        </w:rPr>
        <w:t>所积极贯彻可持续发展理念，</w:t>
      </w:r>
      <w:r>
        <w:rPr>
          <w:spacing w:val="-3"/>
        </w:rPr>
        <w:t xml:space="preserve"> </w:t>
      </w:r>
      <w:r>
        <w:rPr>
          <w:spacing w:val="-3"/>
        </w:rPr>
        <w:t>充分发挥市场枢</w:t>
      </w:r>
      <w:r>
        <w:rPr>
          <w:spacing w:val="-4"/>
        </w:rPr>
        <w:t>纽功能，</w:t>
      </w:r>
      <w:r>
        <w:rPr>
          <w:spacing w:val="-4"/>
        </w:rPr>
        <w:t xml:space="preserve"> </w:t>
      </w:r>
      <w:r>
        <w:rPr>
          <w:spacing w:val="-4"/>
        </w:rPr>
        <w:t>推动</w:t>
      </w:r>
      <w:r>
        <w:t xml:space="preserve"> </w:t>
      </w:r>
      <w:r>
        <w:rPr>
          <w:spacing w:val="8"/>
        </w:rPr>
        <w:t>提升资源配置效率，积极为绿色低碳可持续发展提供直接融</w:t>
      </w:r>
      <w:r>
        <w:rPr>
          <w:spacing w:val="15"/>
        </w:rPr>
        <w:t xml:space="preserve"> </w:t>
      </w:r>
      <w:r>
        <w:rPr>
          <w:spacing w:val="-1"/>
        </w:rPr>
        <w:t>资支持，</w:t>
      </w:r>
      <w:r>
        <w:rPr>
          <w:spacing w:val="55"/>
        </w:rPr>
        <w:t xml:space="preserve"> </w:t>
      </w:r>
      <w:r>
        <w:rPr>
          <w:spacing w:val="-1"/>
        </w:rPr>
        <w:t>多措并举引导金融市场服务实体经济转型升级，引</w:t>
      </w:r>
    </w:p>
    <w:p>
      <w:pPr>
        <w:pStyle w:val="BodyText"/>
        <w:spacing w:line="224" w:lineRule="auto"/>
        <w:ind w:left="38"/>
      </w:pPr>
      <w:r>
        <w:rPr>
          <w:spacing w:val="5"/>
        </w:rPr>
        <w:t>导上市公司积极履行社会责任。</w:t>
      </w:r>
    </w:p>
    <w:p>
      <w:pPr>
        <w:pStyle w:val="BodyText"/>
        <w:spacing w:before="190" w:line="333" w:lineRule="auto"/>
        <w:ind w:left="35" w:right="132" w:firstLine="652"/>
      </w:pPr>
      <w:r>
        <w:rPr>
          <w:spacing w:val="-1"/>
        </w:rPr>
        <w:t>为了更好地凝聚共识、汇聚力量，</w:t>
      </w:r>
      <w:r>
        <w:rPr>
          <w:spacing w:val="60"/>
        </w:rPr>
        <w:t xml:space="preserve"> </w:t>
      </w:r>
      <w:r>
        <w:rPr>
          <w:spacing w:val="-1"/>
        </w:rPr>
        <w:t>推动可持续发展，助</w:t>
      </w:r>
      <w:r>
        <w:t xml:space="preserve"> </w:t>
      </w:r>
      <w:r>
        <w:rPr>
          <w:spacing w:val="8"/>
        </w:rPr>
        <w:t>力建设人与自然和谐共生的中国式现代化，深交所立足上市</w:t>
      </w:r>
      <w:r>
        <w:rPr>
          <w:spacing w:val="17"/>
        </w:rPr>
        <w:t xml:space="preserve"> </w:t>
      </w:r>
      <w:r>
        <w:rPr>
          <w:spacing w:val="8"/>
        </w:rPr>
        <w:t>公司可持续发展相关信息披露制度，在</w:t>
      </w:r>
      <w:r>
        <w:rPr>
          <w:spacing w:val="8"/>
        </w:rPr>
        <w:t xml:space="preserve"> </w:t>
      </w:r>
      <w:r>
        <w:rPr>
          <w:spacing w:val="8"/>
        </w:rPr>
        <w:t>2021</w:t>
      </w:r>
      <w:r>
        <w:rPr>
          <w:spacing w:val="7"/>
        </w:rPr>
        <w:t xml:space="preserve"> </w:t>
      </w:r>
      <w:r>
        <w:rPr>
          <w:spacing w:val="7"/>
        </w:rPr>
        <w:t>年度上市公司</w:t>
      </w:r>
      <w:r>
        <w:t xml:space="preserve"> </w:t>
      </w:r>
      <w:r>
        <w:rPr>
          <w:spacing w:val="8"/>
        </w:rPr>
        <w:t>环境信息披露白皮书的基础上，进一步丰富社会责任、公司</w:t>
      </w:r>
      <w:r>
        <w:rPr>
          <w:spacing w:val="13"/>
        </w:rPr>
        <w:t xml:space="preserve"> </w:t>
      </w:r>
      <w:r>
        <w:rPr>
          <w:spacing w:val="1"/>
        </w:rPr>
        <w:t>治理等方面内容，</w:t>
      </w:r>
      <w:r>
        <w:rPr>
          <w:spacing w:val="43"/>
        </w:rPr>
        <w:t xml:space="preserve"> </w:t>
      </w:r>
      <w:r>
        <w:rPr>
          <w:spacing w:val="1"/>
        </w:rPr>
        <w:t>推出《深市上市公司可持续发展信息披露</w:t>
      </w:r>
      <w:r>
        <w:t xml:space="preserve"> </w:t>
      </w:r>
      <w:r>
        <w:rPr>
          <w:spacing w:val="6"/>
        </w:rPr>
        <w:t>白皮书》，</w:t>
      </w:r>
      <w:r>
        <w:rPr>
          <w:spacing w:val="-87"/>
        </w:rPr>
        <w:t xml:space="preserve"> </w:t>
      </w:r>
      <w:r>
        <w:rPr>
          <w:spacing w:val="6"/>
        </w:rPr>
        <w:t>通过分享深市上市公司可持续发展信息披露实践</w:t>
      </w:r>
      <w:r>
        <w:t xml:space="preserve"> </w:t>
      </w:r>
      <w:r>
        <w:rPr>
          <w:spacing w:val="8"/>
        </w:rPr>
        <w:t>及优秀案例，引导上市公司强化可持续发展信息披露意识，</w:t>
      </w:r>
    </w:p>
    <w:p>
      <w:pPr>
        <w:pStyle w:val="BodyText"/>
        <w:spacing w:before="1" w:line="224" w:lineRule="auto"/>
        <w:ind w:left="38"/>
      </w:pPr>
      <w:r>
        <w:rPr>
          <w:spacing w:val="7"/>
        </w:rPr>
        <w:t>积极践行可持续发展理念，共建可持续发展良好生态。</w:t>
      </w:r>
    </w:p>
    <w:p>
      <w:pPr>
        <w:pStyle w:val="BodyText"/>
        <w:spacing w:before="181" w:line="562" w:lineRule="exact"/>
        <w:ind w:left="672"/>
      </w:pPr>
      <w:r>
        <w:rPr>
          <w:spacing w:val="21"/>
          <w:position w:val="18"/>
        </w:rPr>
        <w:t>一、深市上市公司可持续发展信息披露主动性持续提</w:t>
      </w:r>
    </w:p>
    <w:p>
      <w:pPr>
        <w:pStyle w:val="BodyText"/>
        <w:spacing w:before="2" w:line="224" w:lineRule="auto"/>
        <w:ind w:left="35"/>
      </w:pPr>
      <w:r>
        <w:rPr>
          <w:spacing w:val="8"/>
        </w:rPr>
        <w:t>高，信息披露质量进一步提升</w:t>
      </w:r>
    </w:p>
    <w:p>
      <w:pPr>
        <w:pStyle w:val="BodyText"/>
        <w:spacing w:before="177" w:line="334" w:lineRule="auto"/>
        <w:ind w:left="34" w:firstLine="697"/>
      </w:pPr>
      <w:r>
        <w:rPr>
          <w:spacing w:val="-7"/>
        </w:rPr>
        <w:t>目前，境内资本市场以环境、社会责任和公司治理（ESG）</w:t>
      </w:r>
      <w:r>
        <w:rPr>
          <w:spacing w:val="5"/>
        </w:rPr>
        <w:t xml:space="preserve"> </w:t>
      </w:r>
      <w:r>
        <w:rPr>
          <w:spacing w:val="8"/>
        </w:rPr>
        <w:t>为核心的可持续发展信息披露制度已初步建立，在披露主体</w:t>
      </w:r>
      <w:r>
        <w:rPr>
          <w:spacing w:val="8"/>
        </w:rPr>
        <w:t xml:space="preserve"> </w:t>
      </w:r>
      <w:r>
        <w:rPr>
          <w:spacing w:val="8"/>
        </w:rPr>
        <w:t>和适用范围方面遵循强制披露与鼓励披露相结合的原则，具</w:t>
      </w:r>
      <w:r>
        <w:rPr>
          <w:spacing w:val="8"/>
        </w:rPr>
        <w:t xml:space="preserve"> </w:t>
      </w:r>
      <w:r>
        <w:rPr>
          <w:spacing w:val="20"/>
        </w:rPr>
        <w:t>体披露要求主要集中在定期报告格式准则以及交易所自律</w:t>
      </w:r>
      <w:r>
        <w:rPr>
          <w:spacing w:val="20"/>
        </w:rPr>
        <w:t xml:space="preserve"> </w:t>
      </w:r>
      <w:r>
        <w:rPr>
          <w:spacing w:val="2"/>
        </w:rPr>
        <w:t>监管规则中。深市上市公司在相关规范性要求的基础上，</w:t>
      </w:r>
      <w:r>
        <w:rPr>
          <w:spacing w:val="2"/>
        </w:rPr>
        <w:t xml:space="preserve"> </w:t>
      </w:r>
      <w:r>
        <w:rPr>
          <w:spacing w:val="2"/>
        </w:rPr>
        <w:t>积</w:t>
      </w:r>
      <w:r>
        <w:rPr>
          <w:spacing w:val="6"/>
        </w:rPr>
        <w:t xml:space="preserve">  </w:t>
      </w:r>
      <w:r>
        <w:rPr>
          <w:spacing w:val="14"/>
        </w:rPr>
        <w:t>极践行可持续发展理念，可持续发展（</w:t>
      </w:r>
      <w:r>
        <w:t>ESG</w:t>
      </w:r>
      <w:r>
        <w:rPr>
          <w:spacing w:val="14"/>
        </w:rPr>
        <w:t>）信息披露的主</w:t>
      </w:r>
    </w:p>
    <w:p>
      <w:pPr>
        <w:pStyle w:val="BodyText"/>
        <w:spacing w:before="1" w:line="224" w:lineRule="auto"/>
        <w:ind w:left="39"/>
      </w:pPr>
      <w:r>
        <w:rPr>
          <w:spacing w:val="6"/>
        </w:rPr>
        <w:t>动性持续提高，信息披露质量持续提升。</w:t>
      </w:r>
    </w:p>
    <w:p>
      <w:pPr>
        <w:pStyle w:val="BodyText"/>
        <w:spacing w:before="182" w:line="225" w:lineRule="auto"/>
        <w:ind w:left="693"/>
        <w:sectPr>
          <w:footerReference w:type="default" r:id="rId6"/>
          <w:pgSz w:w="11907" w:h="16839"/>
          <w:pgMar w:top="1431" w:right="1665" w:bottom="1845" w:left="1785" w:header="0" w:footer="1684" w:gutter="0"/>
          <w:pgNumType w:start="3"/>
          <w:cols w:space="708"/>
        </w:sectPr>
      </w:pPr>
      <w:r>
        <w:rPr>
          <w:spacing w:val="7"/>
        </w:rPr>
        <w:t>（一）可持续发展信息披露主动性不断提高</w:t>
      </w:r>
    </w:p>
    <w:p>
      <w:pPr>
        <w:pStyle w:val="BodyText"/>
        <w:spacing w:before="184" w:line="222" w:lineRule="auto"/>
        <w:ind w:left="670"/>
      </w:pPr>
      <w:r>
        <w:rPr>
          <w:spacing w:val="2"/>
        </w:rPr>
        <w:t>2022</w:t>
      </w:r>
      <w:r>
        <w:rPr>
          <w:spacing w:val="-48"/>
        </w:rPr>
        <w:t xml:space="preserve"> </w:t>
      </w:r>
      <w:r>
        <w:rPr>
          <w:spacing w:val="2"/>
        </w:rPr>
        <w:t>年度，深交所超过</w:t>
      </w:r>
      <w:r>
        <w:rPr>
          <w:spacing w:val="-58"/>
        </w:rPr>
        <w:t xml:space="preserve"> </w:t>
      </w:r>
      <w:r>
        <w:rPr>
          <w:spacing w:val="2"/>
        </w:rPr>
        <w:t>2,700</w:t>
      </w:r>
      <w:r>
        <w:rPr>
          <w:spacing w:val="-51"/>
        </w:rPr>
        <w:t xml:space="preserve"> </w:t>
      </w:r>
      <w:r>
        <w:rPr>
          <w:spacing w:val="2"/>
        </w:rPr>
        <w:t>家公司在年报中披露了社</w:t>
      </w:r>
    </w:p>
    <w:p>
      <w:pPr>
        <w:spacing w:line="222" w:lineRule="auto"/>
        <w:sectPr>
          <w:footerReference w:type="default" r:id="rId7"/>
          <w:type w:val="nextPage"/>
          <w:pgSz w:w="11907" w:h="16839"/>
          <w:pgMar w:top="1431" w:right="1665" w:bottom="1845" w:left="1785" w:header="0" w:footer="1684" w:gutter="0"/>
          <w:pgNumType w:start="4"/>
          <w:cols w:space="708"/>
          <w:titlePg w:val="0"/>
        </w:sectPr>
      </w:pPr>
    </w:p>
    <w:p>
      <w:pPr>
        <w:pStyle w:val="BodyText"/>
        <w:spacing w:before="180" w:line="334" w:lineRule="auto"/>
        <w:ind w:left="35" w:right="106" w:firstLine="10"/>
        <w:jc w:val="both"/>
      </w:pPr>
      <w:r>
        <w:rPr>
          <w:spacing w:val="-2"/>
        </w:rPr>
        <w:t>会责任履行情况，</w:t>
      </w:r>
      <w:r>
        <w:rPr>
          <w:spacing w:val="46"/>
        </w:rPr>
        <w:t xml:space="preserve"> </w:t>
      </w:r>
      <w:r>
        <w:rPr>
          <w:spacing w:val="-2"/>
        </w:rPr>
        <w:t>近</w:t>
      </w:r>
      <w:r>
        <w:rPr>
          <w:spacing w:val="-38"/>
        </w:rPr>
        <w:t xml:space="preserve"> </w:t>
      </w:r>
      <w:r>
        <w:rPr>
          <w:spacing w:val="-2"/>
        </w:rPr>
        <w:t>1,100</w:t>
      </w:r>
      <w:r>
        <w:rPr>
          <w:spacing w:val="-51"/>
        </w:rPr>
        <w:t xml:space="preserve"> </w:t>
      </w:r>
      <w:r>
        <w:rPr>
          <w:spacing w:val="-2"/>
        </w:rPr>
        <w:t>家公司披露了污染防治、资源节</w:t>
      </w:r>
      <w:r>
        <w:t xml:space="preserve"> </w:t>
      </w:r>
      <w:r>
        <w:rPr>
          <w:spacing w:val="2"/>
        </w:rPr>
        <w:t>约、生态保护等信息，</w:t>
      </w:r>
      <w:r>
        <w:rPr>
          <w:spacing w:val="2"/>
        </w:rPr>
        <w:t xml:space="preserve"> </w:t>
      </w:r>
      <w:r>
        <w:rPr>
          <w:spacing w:val="2"/>
        </w:rPr>
        <w:t>800</w:t>
      </w:r>
      <w:r>
        <w:rPr>
          <w:spacing w:val="2"/>
        </w:rPr>
        <w:t xml:space="preserve"> </w:t>
      </w:r>
      <w:r>
        <w:rPr>
          <w:spacing w:val="2"/>
        </w:rPr>
        <w:t>余家公司发布了独立的社会责任</w:t>
      </w:r>
      <w:r>
        <w:rPr>
          <w:spacing w:val="11"/>
        </w:rPr>
        <w:t xml:space="preserve"> </w:t>
      </w:r>
      <w:r>
        <w:rPr>
          <w:spacing w:val="4"/>
        </w:rPr>
        <w:t>报告、</w:t>
      </w:r>
      <w:r>
        <w:rPr>
          <w:spacing w:val="-29"/>
        </w:rPr>
        <w:t xml:space="preserve"> </w:t>
      </w:r>
      <w:r>
        <w:t>ESG</w:t>
      </w:r>
      <w:r>
        <w:rPr>
          <w:spacing w:val="4"/>
        </w:rPr>
        <w:t xml:space="preserve"> </w:t>
      </w:r>
      <w:r>
        <w:rPr>
          <w:spacing w:val="4"/>
        </w:rPr>
        <w:t>报告或者可持续发展报告（以下统称“可</w:t>
      </w:r>
      <w:r>
        <w:rPr>
          <w:spacing w:val="3"/>
        </w:rPr>
        <w:t>持续发</w:t>
      </w:r>
      <w:r>
        <w:t xml:space="preserve"> </w:t>
      </w:r>
      <w:r>
        <w:rPr>
          <w:spacing w:val="8"/>
        </w:rPr>
        <w:t>展报告”</w:t>
      </w:r>
      <w:r>
        <w:rPr>
          <w:spacing w:val="-56"/>
          <w:w w:val="68"/>
        </w:rPr>
        <w:t>），</w:t>
      </w:r>
      <w:r>
        <w:rPr>
          <w:spacing w:val="8"/>
        </w:rPr>
        <w:t>单独披露可持续发展报告的公司家数较</w:t>
      </w:r>
      <w:r>
        <w:rPr>
          <w:spacing w:val="8"/>
        </w:rPr>
        <w:t xml:space="preserve"> </w:t>
      </w:r>
      <w:r>
        <w:rPr>
          <w:spacing w:val="8"/>
        </w:rPr>
        <w:t>2</w:t>
      </w:r>
      <w:r>
        <w:rPr>
          <w:spacing w:val="7"/>
        </w:rPr>
        <w:t>021</w:t>
      </w:r>
      <w:r>
        <w:rPr>
          <w:spacing w:val="7"/>
        </w:rPr>
        <w:t xml:space="preserve"> </w:t>
      </w:r>
      <w:r>
        <w:rPr>
          <w:spacing w:val="7"/>
        </w:rPr>
        <w:t>年</w:t>
      </w:r>
      <w:r>
        <w:rPr>
          <w:spacing w:val="4"/>
        </w:rPr>
        <w:t xml:space="preserve"> </w:t>
      </w:r>
      <w:r>
        <w:rPr>
          <w:spacing w:val="7"/>
        </w:rPr>
        <w:t>度增加超过</w:t>
      </w:r>
      <w:r>
        <w:rPr>
          <w:spacing w:val="7"/>
        </w:rPr>
        <w:t xml:space="preserve"> </w:t>
      </w:r>
      <w:r>
        <w:rPr>
          <w:spacing w:val="7"/>
        </w:rPr>
        <w:t>200</w:t>
      </w:r>
      <w:r>
        <w:rPr>
          <w:spacing w:val="7"/>
        </w:rPr>
        <w:t xml:space="preserve"> </w:t>
      </w:r>
      <w:r>
        <w:rPr>
          <w:spacing w:val="7"/>
        </w:rPr>
        <w:t>家，深市上市公司可持续发展（</w:t>
      </w:r>
      <w:r>
        <w:t>ESG</w:t>
      </w:r>
      <w:r>
        <w:rPr>
          <w:spacing w:val="7"/>
        </w:rPr>
        <w:t>）信息</w:t>
      </w:r>
    </w:p>
    <w:p>
      <w:pPr>
        <w:pStyle w:val="BodyText"/>
        <w:spacing w:before="1" w:line="224" w:lineRule="auto"/>
        <w:ind w:left="36"/>
      </w:pPr>
      <w:r>
        <w:rPr>
          <w:spacing w:val="4"/>
        </w:rPr>
        <w:t>披露主动性持续提高。</w:t>
      </w:r>
    </w:p>
    <w:p>
      <w:pPr>
        <w:pStyle w:val="BodyText"/>
        <w:spacing w:before="181" w:line="225" w:lineRule="auto"/>
        <w:ind w:left="693"/>
      </w:pPr>
      <w:r>
        <w:rPr>
          <w:spacing w:val="5"/>
        </w:rPr>
        <w:t>（二）信息披露整体质量不断提升</w:t>
      </w:r>
    </w:p>
    <w:p>
      <w:pPr>
        <w:pStyle w:val="BodyText"/>
        <w:spacing w:before="189" w:line="337" w:lineRule="auto"/>
        <w:ind w:left="6" w:firstLine="681"/>
        <w:jc w:val="both"/>
      </w:pPr>
      <w:r>
        <w:rPr>
          <w:spacing w:val="14"/>
        </w:rPr>
        <w:t>为了更加客观地评价上市公司可持续发展（</w:t>
      </w:r>
      <w:r>
        <w:t>ESG</w:t>
      </w:r>
      <w:r>
        <w:rPr>
          <w:spacing w:val="13"/>
        </w:rPr>
        <w:t>）信息</w:t>
      </w:r>
      <w:r>
        <w:rPr>
          <w:spacing w:val="13"/>
        </w:rPr>
        <w:t xml:space="preserve"> </w:t>
      </w:r>
      <w:r>
        <w:rPr>
          <w:spacing w:val="3"/>
        </w:rPr>
        <w:t>披露质量，2022</w:t>
      </w:r>
      <w:r>
        <w:rPr>
          <w:spacing w:val="-49"/>
        </w:rPr>
        <w:t xml:space="preserve"> </w:t>
      </w:r>
      <w:r>
        <w:rPr>
          <w:spacing w:val="3"/>
        </w:rPr>
        <w:t>年</w:t>
      </w:r>
      <w:r>
        <w:rPr>
          <w:spacing w:val="-54"/>
        </w:rPr>
        <w:t xml:space="preserve"> </w:t>
      </w:r>
      <w:r>
        <w:rPr>
          <w:spacing w:val="3"/>
        </w:rPr>
        <w:t>7</w:t>
      </w:r>
      <w:r>
        <w:rPr>
          <w:spacing w:val="-39"/>
        </w:rPr>
        <w:t xml:space="preserve"> </w:t>
      </w:r>
      <w:r>
        <w:rPr>
          <w:spacing w:val="3"/>
        </w:rPr>
        <w:t>月，深交所全资子公司深圳证券信息有</w:t>
      </w:r>
      <w:r>
        <w:t xml:space="preserve"> </w:t>
      </w:r>
      <w:r>
        <w:rPr>
          <w:spacing w:val="8"/>
        </w:rPr>
        <w:t>限公司发布国证</w:t>
      </w:r>
      <w:r>
        <w:rPr>
          <w:spacing w:val="-63"/>
        </w:rPr>
        <w:t xml:space="preserve"> </w:t>
      </w:r>
      <w:r>
        <w:t>ESG</w:t>
      </w:r>
      <w:r>
        <w:rPr>
          <w:spacing w:val="-52"/>
        </w:rPr>
        <w:t xml:space="preserve"> </w:t>
      </w:r>
      <w:r>
        <w:rPr>
          <w:spacing w:val="8"/>
        </w:rPr>
        <w:t>评价方法。国证</w:t>
      </w:r>
      <w:r>
        <w:rPr>
          <w:spacing w:val="-66"/>
        </w:rPr>
        <w:t xml:space="preserve"> </w:t>
      </w:r>
      <w:r>
        <w:t>ESG</w:t>
      </w:r>
      <w:r>
        <w:rPr>
          <w:spacing w:val="-52"/>
        </w:rPr>
        <w:t xml:space="preserve"> </w:t>
      </w:r>
      <w:r>
        <w:rPr>
          <w:spacing w:val="8"/>
        </w:rPr>
        <w:t>评价体系吸纳可持</w:t>
      </w:r>
      <w:r>
        <w:t xml:space="preserve"> </w:t>
      </w:r>
      <w:r>
        <w:rPr>
          <w:spacing w:val="22"/>
        </w:rPr>
        <w:t>续发展框架内的全球共识议题，对接联合国可持续发展目</w:t>
      </w:r>
      <w:r>
        <w:rPr>
          <w:spacing w:val="8"/>
        </w:rPr>
        <w:t xml:space="preserve"> </w:t>
      </w:r>
      <w:r>
        <w:rPr>
          <w:spacing w:val="12"/>
        </w:rPr>
        <w:t>标，</w:t>
      </w:r>
      <w:r>
        <w:rPr>
          <w:spacing w:val="-73"/>
        </w:rPr>
        <w:t xml:space="preserve"> </w:t>
      </w:r>
      <w:r>
        <w:rPr>
          <w:spacing w:val="12"/>
        </w:rPr>
        <w:t>同时引入中国特色的可持续发展（</w:t>
      </w:r>
      <w:r>
        <w:t>ESG</w:t>
      </w:r>
      <w:r>
        <w:rPr>
          <w:spacing w:val="12"/>
        </w:rPr>
        <w:t>）价值观，</w:t>
      </w:r>
      <w:r>
        <w:rPr>
          <w:spacing w:val="11"/>
        </w:rPr>
        <w:t>聚焦</w:t>
      </w:r>
      <w:r>
        <w:rPr>
          <w:spacing w:val="11"/>
        </w:rPr>
        <w:t xml:space="preserve"> </w:t>
      </w:r>
      <w:r>
        <w:rPr>
          <w:spacing w:val="9"/>
        </w:rPr>
        <w:t>“双碳”、创新驱动、乡村振兴、共同富裕等国家战略，发</w:t>
      </w:r>
      <w:r>
        <w:rPr>
          <w:spacing w:val="13"/>
        </w:rPr>
        <w:t xml:space="preserve"> </w:t>
      </w:r>
      <w:r>
        <w:rPr>
          <w:spacing w:val="8"/>
        </w:rPr>
        <w:t>挥贴近本土的优势，在环境、社会责任、公司治理</w:t>
      </w:r>
      <w:r>
        <w:rPr>
          <w:spacing w:val="-54"/>
        </w:rPr>
        <w:t xml:space="preserve"> </w:t>
      </w:r>
      <w:r>
        <w:rPr>
          <w:spacing w:val="8"/>
        </w:rPr>
        <w:t>3</w:t>
      </w:r>
      <w:r>
        <w:rPr>
          <w:spacing w:val="-52"/>
        </w:rPr>
        <w:t xml:space="preserve"> </w:t>
      </w:r>
      <w:r>
        <w:rPr>
          <w:spacing w:val="7"/>
        </w:rPr>
        <w:t>个维度</w:t>
      </w:r>
      <w:r>
        <w:t xml:space="preserve"> </w:t>
      </w:r>
      <w:r>
        <w:rPr>
          <w:spacing w:val="4"/>
        </w:rPr>
        <w:t>下，设置了包括</w:t>
      </w:r>
      <w:r>
        <w:rPr>
          <w:spacing w:val="-11"/>
        </w:rPr>
        <w:t xml:space="preserve"> </w:t>
      </w:r>
      <w:r>
        <w:rPr>
          <w:spacing w:val="4"/>
        </w:rPr>
        <w:t>15</w:t>
      </w:r>
      <w:r>
        <w:rPr>
          <w:spacing w:val="-38"/>
        </w:rPr>
        <w:t xml:space="preserve"> </w:t>
      </w:r>
      <w:r>
        <w:rPr>
          <w:spacing w:val="4"/>
        </w:rPr>
        <w:t>个主题、32</w:t>
      </w:r>
      <w:r>
        <w:rPr>
          <w:spacing w:val="-40"/>
        </w:rPr>
        <w:t xml:space="preserve"> </w:t>
      </w:r>
      <w:r>
        <w:rPr>
          <w:spacing w:val="4"/>
        </w:rPr>
        <w:t>个领域的</w:t>
      </w:r>
      <w:r>
        <w:rPr>
          <w:spacing w:val="-43"/>
        </w:rPr>
        <w:t xml:space="preserve"> </w:t>
      </w:r>
      <w:r>
        <w:rPr>
          <w:spacing w:val="4"/>
        </w:rPr>
        <w:t>200</w:t>
      </w:r>
      <w:r>
        <w:rPr>
          <w:spacing w:val="-39"/>
        </w:rPr>
        <w:t xml:space="preserve"> </w:t>
      </w:r>
      <w:r>
        <w:rPr>
          <w:spacing w:val="4"/>
        </w:rPr>
        <w:t>余个指标，评</w:t>
      </w:r>
      <w:r>
        <w:t xml:space="preserve"> </w:t>
      </w:r>
      <w:r>
        <w:rPr>
          <w:spacing w:val="-7"/>
        </w:rPr>
        <w:t>级结果共设置</w:t>
      </w:r>
      <w:r>
        <w:rPr>
          <w:spacing w:val="-27"/>
        </w:rPr>
        <w:t xml:space="preserve"> </w:t>
      </w:r>
      <w:r>
        <w:rPr>
          <w:spacing w:val="-7"/>
        </w:rPr>
        <w:t>10</w:t>
      </w:r>
      <w:r>
        <w:rPr>
          <w:spacing w:val="-54"/>
        </w:rPr>
        <w:t xml:space="preserve"> </w:t>
      </w:r>
      <w:r>
        <w:rPr>
          <w:spacing w:val="-7"/>
        </w:rPr>
        <w:t>个级别，</w:t>
      </w:r>
      <w:r>
        <w:rPr>
          <w:spacing w:val="-37"/>
        </w:rPr>
        <w:t xml:space="preserve"> </w:t>
      </w:r>
      <w:r>
        <w:rPr>
          <w:spacing w:val="-7"/>
        </w:rPr>
        <w:t>从高到低依次为</w:t>
      </w:r>
      <w:r>
        <w:rPr>
          <w:spacing w:val="-74"/>
        </w:rPr>
        <w:t xml:space="preserve"> </w:t>
      </w:r>
      <w:r>
        <w:rPr>
          <w:spacing w:val="-7"/>
        </w:rPr>
        <w:t>AAA、AA、A、BBB、</w:t>
      </w:r>
    </w:p>
    <w:p>
      <w:pPr>
        <w:pStyle w:val="BodyText"/>
        <w:spacing w:line="190" w:lineRule="auto"/>
        <w:ind w:left="18"/>
      </w:pPr>
      <w:r>
        <w:t>BB</w:t>
      </w:r>
      <w:r>
        <w:rPr>
          <w:spacing w:val="10"/>
        </w:rPr>
        <w:t>、B、</w:t>
      </w:r>
      <w:r>
        <w:t>CCC</w:t>
      </w:r>
      <w:r>
        <w:rPr>
          <w:spacing w:val="10"/>
        </w:rPr>
        <w:t>、</w:t>
      </w:r>
      <w:r>
        <w:t>CC</w:t>
      </w:r>
      <w:r>
        <w:rPr>
          <w:spacing w:val="10"/>
        </w:rPr>
        <w:t>、C、D。</w:t>
      </w:r>
    </w:p>
    <w:p>
      <w:pPr>
        <w:pStyle w:val="BodyText"/>
        <w:spacing w:before="177" w:line="334" w:lineRule="auto"/>
        <w:ind w:left="36" w:right="17" w:firstLine="640"/>
        <w:jc w:val="both"/>
        <w:sectPr>
          <w:footerReference w:type="default" r:id="rId8"/>
          <w:pgSz w:w="11907" w:h="16839"/>
          <w:pgMar w:top="1431" w:right="1692" w:bottom="1845" w:left="1785" w:header="0" w:footer="1684" w:gutter="0"/>
          <w:pgNumType w:start="5"/>
          <w:cols w:space="708"/>
        </w:sectPr>
      </w:pPr>
      <w:r>
        <w:rPr>
          <w:spacing w:val="-5"/>
        </w:rPr>
        <w:t>根据国证</w:t>
      </w:r>
      <w:r>
        <w:rPr>
          <w:spacing w:val="-37"/>
        </w:rPr>
        <w:t xml:space="preserve"> </w:t>
      </w:r>
      <w:r>
        <w:rPr>
          <w:spacing w:val="-5"/>
        </w:rPr>
        <w:t>ESG</w:t>
      </w:r>
      <w:r>
        <w:rPr>
          <w:spacing w:val="-5"/>
        </w:rPr>
        <w:t xml:space="preserve"> </w:t>
      </w:r>
      <w:r>
        <w:rPr>
          <w:spacing w:val="-5"/>
        </w:rPr>
        <w:t>评级结果，</w:t>
      </w:r>
      <w:r>
        <w:rPr>
          <w:spacing w:val="-5"/>
        </w:rPr>
        <w:t xml:space="preserve"> </w:t>
      </w:r>
      <w:r>
        <w:rPr>
          <w:spacing w:val="-5"/>
        </w:rPr>
        <w:t>截至</w:t>
      </w:r>
      <w:r>
        <w:rPr>
          <w:spacing w:val="-36"/>
        </w:rPr>
        <w:t xml:space="preserve"> </w:t>
      </w:r>
      <w:r>
        <w:rPr>
          <w:spacing w:val="-5"/>
        </w:rPr>
        <w:t>2023</w:t>
      </w:r>
      <w:r>
        <w:rPr>
          <w:spacing w:val="-5"/>
        </w:rPr>
        <w:t xml:space="preserve"> </w:t>
      </w:r>
      <w:r>
        <w:rPr>
          <w:spacing w:val="-5"/>
        </w:rPr>
        <w:t>年</w:t>
      </w:r>
      <w:r>
        <w:rPr>
          <w:spacing w:val="-37"/>
        </w:rPr>
        <w:t xml:space="preserve"> </w:t>
      </w:r>
      <w:r>
        <w:rPr>
          <w:spacing w:val="-5"/>
        </w:rPr>
        <w:t>9</w:t>
      </w:r>
      <w:r>
        <w:rPr>
          <w:spacing w:val="-5"/>
        </w:rPr>
        <w:t xml:space="preserve"> </w:t>
      </w:r>
      <w:r>
        <w:rPr>
          <w:spacing w:val="-5"/>
        </w:rPr>
        <w:t>月末，深市上</w:t>
      </w:r>
      <w:r>
        <w:t xml:space="preserve"> </w:t>
      </w:r>
      <w:r>
        <w:rPr>
          <w:spacing w:val="2"/>
        </w:rPr>
        <w:t>市公司评价为</w:t>
      </w:r>
      <w:r>
        <w:rPr>
          <w:spacing w:val="-55"/>
        </w:rPr>
        <w:t xml:space="preserve"> </w:t>
      </w:r>
      <w:r>
        <w:rPr>
          <w:spacing w:val="2"/>
        </w:rPr>
        <w:t>A</w:t>
      </w:r>
      <w:r>
        <w:rPr>
          <w:spacing w:val="-52"/>
        </w:rPr>
        <w:t xml:space="preserve"> </w:t>
      </w:r>
      <w:r>
        <w:rPr>
          <w:spacing w:val="2"/>
        </w:rPr>
        <w:t>级及以上的公司有</w:t>
      </w:r>
      <w:r>
        <w:rPr>
          <w:spacing w:val="-55"/>
        </w:rPr>
        <w:t xml:space="preserve"> </w:t>
      </w:r>
      <w:r>
        <w:rPr>
          <w:spacing w:val="2"/>
        </w:rPr>
        <w:t>576</w:t>
      </w:r>
      <w:r>
        <w:rPr>
          <w:spacing w:val="-52"/>
        </w:rPr>
        <w:t xml:space="preserve"> </w:t>
      </w:r>
      <w:r>
        <w:rPr>
          <w:spacing w:val="2"/>
        </w:rPr>
        <w:t>家，</w:t>
      </w:r>
      <w:r>
        <w:rPr>
          <w:spacing w:val="-82"/>
        </w:rPr>
        <w:t xml:space="preserve"> </w:t>
      </w:r>
      <w:r>
        <w:rPr>
          <w:spacing w:val="2"/>
        </w:rPr>
        <w:t>占深市上市公司</w:t>
      </w:r>
      <w:r>
        <w:t xml:space="preserve"> </w:t>
      </w:r>
      <w:r>
        <w:rPr>
          <w:spacing w:val="2"/>
        </w:rPr>
        <w:t>总数的比例为</w:t>
      </w:r>
      <w:r>
        <w:rPr>
          <w:spacing w:val="-35"/>
        </w:rPr>
        <w:t xml:space="preserve"> </w:t>
      </w:r>
      <w:r>
        <w:rPr>
          <w:spacing w:val="2"/>
        </w:rPr>
        <w:t>21.07%，较</w:t>
      </w:r>
      <w:r>
        <w:rPr>
          <w:spacing w:val="2"/>
        </w:rPr>
        <w:t xml:space="preserve"> </w:t>
      </w:r>
      <w:r>
        <w:rPr>
          <w:spacing w:val="2"/>
        </w:rPr>
        <w:t>2021</w:t>
      </w:r>
      <w:r>
        <w:rPr>
          <w:spacing w:val="-35"/>
        </w:rPr>
        <w:t xml:space="preserve"> </w:t>
      </w:r>
      <w:r>
        <w:rPr>
          <w:spacing w:val="2"/>
        </w:rPr>
        <w:t>年末提升</w:t>
      </w:r>
      <w:r>
        <w:rPr>
          <w:spacing w:val="-44"/>
        </w:rPr>
        <w:t xml:space="preserve"> </w:t>
      </w:r>
      <w:r>
        <w:rPr>
          <w:spacing w:val="2"/>
        </w:rPr>
        <w:t>6.98</w:t>
      </w:r>
      <w:r>
        <w:rPr>
          <w:spacing w:val="-38"/>
        </w:rPr>
        <w:t xml:space="preserve"> </w:t>
      </w:r>
      <w:r>
        <w:rPr>
          <w:spacing w:val="2"/>
        </w:rPr>
        <w:t>个百分点;评</w:t>
      </w:r>
      <w:r>
        <w:t xml:space="preserve"> </w:t>
      </w:r>
      <w:r>
        <w:rPr>
          <w:spacing w:val="1"/>
        </w:rPr>
        <w:t>价为</w:t>
      </w:r>
      <w:r>
        <w:rPr>
          <w:spacing w:val="-56"/>
        </w:rPr>
        <w:t xml:space="preserve"> </w:t>
      </w:r>
      <w:r>
        <w:rPr>
          <w:spacing w:val="1"/>
        </w:rPr>
        <w:t>B</w:t>
      </w:r>
      <w:r>
        <w:rPr>
          <w:spacing w:val="-52"/>
        </w:rPr>
        <w:t xml:space="preserve"> </w:t>
      </w:r>
      <w:r>
        <w:rPr>
          <w:spacing w:val="1"/>
        </w:rPr>
        <w:t>级至</w:t>
      </w:r>
      <w:r>
        <w:rPr>
          <w:spacing w:val="-70"/>
        </w:rPr>
        <w:t xml:space="preserve"> </w:t>
      </w:r>
      <w:r>
        <w:t>BBB</w:t>
      </w:r>
      <w:r>
        <w:rPr>
          <w:spacing w:val="-51"/>
        </w:rPr>
        <w:t xml:space="preserve"> </w:t>
      </w:r>
      <w:r>
        <w:rPr>
          <w:spacing w:val="1"/>
        </w:rPr>
        <w:t>级的公司数量为</w:t>
      </w:r>
      <w:r>
        <w:rPr>
          <w:spacing w:val="-60"/>
        </w:rPr>
        <w:t xml:space="preserve"> </w:t>
      </w:r>
      <w:r>
        <w:rPr>
          <w:spacing w:val="1"/>
        </w:rPr>
        <w:t>2,048</w:t>
      </w:r>
      <w:r>
        <w:rPr>
          <w:spacing w:val="-52"/>
        </w:rPr>
        <w:t xml:space="preserve"> </w:t>
      </w:r>
      <w:r>
        <w:rPr>
          <w:spacing w:val="1"/>
        </w:rPr>
        <w:t>家，</w:t>
      </w:r>
      <w:r>
        <w:rPr>
          <w:spacing w:val="-82"/>
        </w:rPr>
        <w:t xml:space="preserve"> </w:t>
      </w:r>
      <w:r>
        <w:rPr>
          <w:spacing w:val="1"/>
        </w:rPr>
        <w:t>占深市上市公司</w:t>
      </w:r>
      <w:r>
        <w:t xml:space="preserve"> </w:t>
      </w:r>
      <w:r>
        <w:rPr>
          <w:spacing w:val="-4"/>
        </w:rPr>
        <w:t>总数的比例为</w:t>
      </w:r>
      <w:r>
        <w:rPr>
          <w:spacing w:val="-64"/>
        </w:rPr>
        <w:t xml:space="preserve"> </w:t>
      </w:r>
      <w:r>
        <w:rPr>
          <w:spacing w:val="-4"/>
        </w:rPr>
        <w:t>74.91%；评级为</w:t>
      </w:r>
      <w:r>
        <w:rPr>
          <w:spacing w:val="-82"/>
        </w:rPr>
        <w:t xml:space="preserve"> </w:t>
      </w:r>
      <w:r>
        <w:rPr>
          <w:spacing w:val="-4"/>
        </w:rPr>
        <w:t>CCC</w:t>
      </w:r>
      <w:r>
        <w:rPr>
          <w:spacing w:val="-69"/>
        </w:rPr>
        <w:t xml:space="preserve"> </w:t>
      </w:r>
      <w:r>
        <w:rPr>
          <w:spacing w:val="-4"/>
        </w:rPr>
        <w:t>级以下的公司数量</w:t>
      </w:r>
      <w:r>
        <w:rPr>
          <w:spacing w:val="-54"/>
        </w:rPr>
        <w:t xml:space="preserve"> </w:t>
      </w:r>
      <w:r>
        <w:rPr>
          <w:spacing w:val="-4"/>
        </w:rPr>
        <w:t>110</w:t>
      </w:r>
      <w:r>
        <w:rPr>
          <w:spacing w:val="-66"/>
        </w:rPr>
        <w:t xml:space="preserve"> </w:t>
      </w:r>
      <w:r>
        <w:rPr>
          <w:spacing w:val="-4"/>
        </w:rPr>
        <w:t>家，</w:t>
      </w:r>
      <w:r>
        <w:t xml:space="preserve"> </w:t>
      </w:r>
      <w:r>
        <w:rPr>
          <w:spacing w:val="7"/>
        </w:rPr>
        <w:t>占深市上市公司总数的比例为</w:t>
      </w:r>
      <w:r>
        <w:rPr>
          <w:spacing w:val="7"/>
        </w:rPr>
        <w:t xml:space="preserve"> </w:t>
      </w:r>
      <w:r>
        <w:rPr>
          <w:spacing w:val="7"/>
        </w:rPr>
        <w:t>4.02%，高质量披露可持续发</w:t>
      </w:r>
    </w:p>
    <w:p>
      <w:pPr>
        <w:pStyle w:val="BodyText"/>
        <w:spacing w:before="2" w:line="224" w:lineRule="auto"/>
        <w:ind w:left="36"/>
      </w:pPr>
      <w:r>
        <w:rPr>
          <w:spacing w:val="8"/>
        </w:rPr>
        <w:t>展（</w:t>
      </w:r>
      <w:r>
        <w:t>ESG</w:t>
      </w:r>
      <w:r>
        <w:rPr>
          <w:spacing w:val="8"/>
        </w:rPr>
        <w:t>）信息的公司群体持续扩大。</w:t>
      </w:r>
    </w:p>
    <w:p>
      <w:pPr>
        <w:spacing w:line="224" w:lineRule="auto"/>
        <w:sectPr>
          <w:footerReference w:type="default" r:id="rId9"/>
          <w:type w:val="nextPage"/>
          <w:pgSz w:w="11907" w:h="16839"/>
          <w:pgMar w:top="1431" w:right="1692" w:bottom="1845" w:left="1785" w:header="0" w:footer="1684" w:gutter="0"/>
          <w:pgNumType w:start="6"/>
          <w:cols w:space="708"/>
          <w:titlePg w:val="0"/>
        </w:sectPr>
      </w:pPr>
    </w:p>
    <w:p>
      <w:pPr>
        <w:pStyle w:val="BodyText"/>
        <w:spacing w:before="216" w:line="219" w:lineRule="auto"/>
        <w:ind w:left="1931"/>
        <w:rPr>
          <w:sz w:val="28"/>
          <w:szCs w:val="28"/>
        </w:rPr>
      </w:pPr>
      <w:r>
        <w:rPr>
          <w:spacing w:val="-3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spacing w:val="-38"/>
          <w:sz w:val="28"/>
          <w:szCs w:val="28"/>
        </w:rPr>
        <w:t xml:space="preserve"> </w:t>
      </w:r>
      <w:r>
        <w:rPr>
          <w:spacing w:val="-3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1</w:t>
      </w:r>
      <w:r>
        <w:rPr>
          <w:spacing w:val="-3"/>
          <w:sz w:val="28"/>
          <w:szCs w:val="28"/>
        </w:rPr>
        <w:t xml:space="preserve">  </w:t>
      </w:r>
      <w:r>
        <w:rPr>
          <w:spacing w:val="-3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深市上市公司国证</w:t>
      </w:r>
      <w:r>
        <w:rPr>
          <w:spacing w:val="-63"/>
          <w:sz w:val="28"/>
          <w:szCs w:val="28"/>
        </w:rPr>
        <w:t xml:space="preserve"> </w:t>
      </w:r>
      <w:r>
        <w:rPr>
          <w:spacing w:val="-3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ESG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评价结果</w:t>
      </w:r>
    </w:p>
    <w:p>
      <w:pPr>
        <w:spacing w:line="20" w:lineRule="exact"/>
      </w:pPr>
    </w:p>
    <w:tbl>
      <w:tblPr>
        <w:tblStyle w:val="TableNormal0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178"/>
        <w:gridCol w:w="1173"/>
        <w:gridCol w:w="1269"/>
        <w:gridCol w:w="1173"/>
        <w:gridCol w:w="1269"/>
        <w:gridCol w:w="1192"/>
        <w:gridCol w:w="1274"/>
      </w:tblGrid>
      <w:tr>
        <w:tblPrEx>
          <w:tblW w:w="8528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21"/>
        </w:trPr>
        <w:tc>
          <w:tcPr>
            <w:tcW w:w="117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19" w:line="221" w:lineRule="auto"/>
              <w:ind w:left="388"/>
            </w:pPr>
            <w:r>
              <w:rPr>
                <w:spacing w:val="-4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评级</w:t>
            </w:r>
          </w:p>
        </w:tc>
        <w:tc>
          <w:tcPr>
            <w:tcW w:w="2442" w:type="dxa"/>
            <w:gridSpan w:val="2"/>
            <w:vAlign w:val="top"/>
          </w:tcPr>
          <w:p>
            <w:pPr>
              <w:pStyle w:val="TableText"/>
              <w:spacing w:before="57" w:line="221" w:lineRule="auto"/>
              <w:ind w:left="778"/>
            </w:pP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2021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年末</w:t>
            </w:r>
          </w:p>
        </w:tc>
        <w:tc>
          <w:tcPr>
            <w:tcW w:w="2442" w:type="dxa"/>
            <w:gridSpan w:val="2"/>
            <w:vAlign w:val="top"/>
          </w:tcPr>
          <w:p>
            <w:pPr>
              <w:pStyle w:val="TableText"/>
              <w:spacing w:before="57" w:line="221" w:lineRule="auto"/>
              <w:ind w:left="779"/>
            </w:pP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2022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年末</w:t>
            </w:r>
          </w:p>
        </w:tc>
        <w:tc>
          <w:tcPr>
            <w:tcW w:w="2466" w:type="dxa"/>
            <w:gridSpan w:val="2"/>
            <w:vAlign w:val="top"/>
          </w:tcPr>
          <w:p>
            <w:pPr>
              <w:pStyle w:val="TableText"/>
              <w:spacing w:before="57" w:line="221" w:lineRule="auto"/>
              <w:ind w:left="577"/>
            </w:pPr>
            <w:r>
              <w:rPr>
                <w:spacing w:val="-6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2023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9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月末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9"/>
        </w:trPr>
        <w:tc>
          <w:tcPr>
            <w:tcW w:w="117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53" w:line="221" w:lineRule="auto"/>
              <w:ind w:left="386"/>
            </w:pPr>
            <w:r>
              <w:rPr>
                <w:spacing w:val="-4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家数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3" w:line="222" w:lineRule="auto"/>
              <w:ind w:left="469"/>
            </w:pPr>
            <w:r>
              <w:rPr>
                <w:spacing w:val="-12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占比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53" w:line="221" w:lineRule="auto"/>
              <w:ind w:left="387"/>
            </w:pPr>
            <w:r>
              <w:rPr>
                <w:spacing w:val="-4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家数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3" w:line="222" w:lineRule="auto"/>
              <w:ind w:left="473"/>
            </w:pPr>
            <w:r>
              <w:rPr>
                <w:spacing w:val="-12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占比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53" w:line="221" w:lineRule="auto"/>
              <w:ind w:left="399"/>
            </w:pPr>
            <w:r>
              <w:rPr>
                <w:spacing w:val="-4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家数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53" w:line="222" w:lineRule="auto"/>
              <w:ind w:left="472"/>
            </w:pPr>
            <w:r>
              <w:rPr>
                <w:spacing w:val="-12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占比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88" w:line="184" w:lineRule="auto"/>
              <w:ind w:left="430"/>
            </w:pPr>
            <w:r>
              <w:t>AAA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0" w:line="182" w:lineRule="auto"/>
              <w:ind w:left="856"/>
            </w:pPr>
            <w:r>
              <w:rPr>
                <w:spacing w:val="-2"/>
              </w:rPr>
              <w:t>40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89" w:line="183" w:lineRule="auto"/>
              <w:ind w:left="655"/>
            </w:pPr>
            <w:r>
              <w:rPr>
                <w:spacing w:val="-5"/>
              </w:rPr>
              <w:t>1.70%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0" w:line="182" w:lineRule="auto"/>
              <w:ind w:left="858"/>
            </w:pPr>
            <w:r>
              <w:rPr>
                <w:spacing w:val="-2"/>
              </w:rPr>
              <w:t>47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89" w:line="183" w:lineRule="auto"/>
              <w:ind w:left="659"/>
            </w:pPr>
            <w:r>
              <w:rPr>
                <w:spacing w:val="-5"/>
              </w:rPr>
              <w:t>1.83%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88" w:line="183" w:lineRule="auto"/>
              <w:ind w:left="789"/>
            </w:pPr>
            <w:r>
              <w:rPr>
                <w:spacing w:val="-5"/>
              </w:rPr>
              <w:t>129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0" w:line="182" w:lineRule="auto"/>
              <w:ind w:left="642"/>
            </w:pPr>
            <w:r>
              <w:rPr>
                <w:spacing w:val="-1"/>
              </w:rPr>
              <w:t>4.72%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88" w:line="184" w:lineRule="auto"/>
              <w:ind w:left="480"/>
            </w:pPr>
            <w:r>
              <w:t>AA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0" w:line="182" w:lineRule="auto"/>
              <w:ind w:left="857"/>
            </w:pPr>
            <w:r>
              <w:rPr>
                <w:spacing w:val="-2"/>
              </w:rPr>
              <w:t>85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0" w:line="182" w:lineRule="auto"/>
              <w:ind w:left="644"/>
            </w:pPr>
            <w:r>
              <w:rPr>
                <w:spacing w:val="-2"/>
              </w:rPr>
              <w:t>3.62%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89" w:line="183" w:lineRule="auto"/>
              <w:ind w:left="771"/>
            </w:pPr>
            <w:r>
              <w:rPr>
                <w:spacing w:val="-5"/>
              </w:rPr>
              <w:t>110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0" w:line="182" w:lineRule="auto"/>
              <w:ind w:left="643"/>
            </w:pPr>
            <w:r>
              <w:rPr>
                <w:spacing w:val="-1"/>
              </w:rPr>
              <w:t>4.29%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89" w:line="183" w:lineRule="auto"/>
              <w:ind w:left="789"/>
            </w:pPr>
            <w:r>
              <w:rPr>
                <w:spacing w:val="-5"/>
              </w:rPr>
              <w:t>189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89" w:line="183" w:lineRule="auto"/>
              <w:ind w:left="645"/>
            </w:pPr>
            <w:r>
              <w:rPr>
                <w:spacing w:val="-2"/>
              </w:rPr>
              <w:t>6.91%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89" w:line="184" w:lineRule="auto"/>
              <w:ind w:left="533"/>
            </w:pPr>
            <w:r>
              <w:t>A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1" w:line="182" w:lineRule="auto"/>
              <w:ind w:left="756"/>
            </w:pPr>
            <w:r>
              <w:rPr>
                <w:spacing w:val="-2"/>
              </w:rPr>
              <w:t>206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1" w:line="182" w:lineRule="auto"/>
              <w:ind w:left="640"/>
            </w:pPr>
            <w:r>
              <w:rPr>
                <w:spacing w:val="-2"/>
              </w:rPr>
              <w:t>8.77%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0" w:line="183" w:lineRule="auto"/>
              <w:ind w:left="771"/>
            </w:pPr>
            <w:r>
              <w:rPr>
                <w:spacing w:val="-5"/>
              </w:rPr>
              <w:t>152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1" w:line="182" w:lineRule="auto"/>
              <w:ind w:left="648"/>
            </w:pPr>
            <w:r>
              <w:rPr>
                <w:spacing w:val="-2"/>
              </w:rPr>
              <w:t>5.93%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1" w:line="182" w:lineRule="auto"/>
              <w:ind w:left="776"/>
            </w:pPr>
            <w:r>
              <w:rPr>
                <w:spacing w:val="-2"/>
              </w:rPr>
              <w:t>258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1" w:line="182" w:lineRule="auto"/>
              <w:ind w:left="644"/>
            </w:pPr>
            <w:r>
              <w:rPr>
                <w:spacing w:val="-2"/>
              </w:rPr>
              <w:t>9.44%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93" w:line="181" w:lineRule="auto"/>
              <w:ind w:left="431"/>
            </w:pPr>
            <w:r>
              <w:rPr>
                <w:spacing w:val="-1"/>
              </w:rPr>
              <w:t>BBB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1" w:line="182" w:lineRule="auto"/>
              <w:ind w:left="753"/>
            </w:pPr>
            <w:r>
              <w:rPr>
                <w:spacing w:val="-2"/>
              </w:rPr>
              <w:t>449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0" w:line="183" w:lineRule="auto"/>
              <w:ind w:left="549"/>
            </w:pPr>
            <w:r>
              <w:rPr>
                <w:spacing w:val="-4"/>
              </w:rPr>
              <w:t>19.11%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1" w:line="182" w:lineRule="auto"/>
              <w:ind w:left="754"/>
            </w:pPr>
            <w:r>
              <w:rPr>
                <w:spacing w:val="-2"/>
              </w:rPr>
              <w:t>420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0" w:line="183" w:lineRule="auto"/>
              <w:ind w:left="553"/>
            </w:pPr>
            <w:r>
              <w:rPr>
                <w:spacing w:val="-4"/>
              </w:rPr>
              <w:t>16.38%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1" w:line="182" w:lineRule="auto"/>
              <w:ind w:left="778"/>
            </w:pPr>
            <w:r>
              <w:rPr>
                <w:spacing w:val="-3"/>
              </w:rPr>
              <w:t>552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0" w:line="183" w:lineRule="auto"/>
              <w:ind w:left="540"/>
            </w:pPr>
            <w:r>
              <w:rPr>
                <w:spacing w:val="-2"/>
              </w:rPr>
              <w:t>20.19%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93" w:line="181" w:lineRule="auto"/>
              <w:ind w:left="482"/>
            </w:pPr>
            <w:r>
              <w:rPr>
                <w:spacing w:val="-1"/>
              </w:rPr>
              <w:t>BB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1" w:line="183" w:lineRule="auto"/>
              <w:ind w:left="663"/>
            </w:pPr>
            <w:r>
              <w:rPr>
                <w:spacing w:val="-4"/>
              </w:rPr>
              <w:t>1047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2" w:line="182" w:lineRule="auto"/>
              <w:ind w:left="533"/>
            </w:pPr>
            <w:r>
              <w:rPr>
                <w:spacing w:val="-1"/>
              </w:rPr>
              <w:t>44.55%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1" w:line="183" w:lineRule="auto"/>
              <w:ind w:left="665"/>
            </w:pPr>
            <w:r>
              <w:rPr>
                <w:spacing w:val="-4"/>
              </w:rPr>
              <w:t>1131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1" w:line="183" w:lineRule="auto"/>
              <w:ind w:left="537"/>
            </w:pPr>
            <w:r>
              <w:rPr>
                <w:spacing w:val="-1"/>
              </w:rPr>
              <w:t>44.11%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1" w:line="183" w:lineRule="auto"/>
              <w:ind w:left="684"/>
            </w:pPr>
            <w:r>
              <w:rPr>
                <w:spacing w:val="-4"/>
              </w:rPr>
              <w:t>1097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1" w:line="183" w:lineRule="auto"/>
              <w:ind w:left="537"/>
            </w:pPr>
            <w:r>
              <w:rPr>
                <w:spacing w:val="-1"/>
              </w:rPr>
              <w:t>40.12%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9"/>
        </w:trPr>
        <w:tc>
          <w:tcPr>
            <w:tcW w:w="1178" w:type="dxa"/>
            <w:vAlign w:val="top"/>
          </w:tcPr>
          <w:p>
            <w:pPr>
              <w:pStyle w:val="TableText"/>
              <w:spacing w:before="96" w:line="181" w:lineRule="auto"/>
              <w:ind w:left="535"/>
            </w:pPr>
            <w:r>
              <w:t>B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5" w:line="182" w:lineRule="auto"/>
              <w:ind w:left="753"/>
            </w:pPr>
            <w:r>
              <w:rPr>
                <w:spacing w:val="-2"/>
              </w:rPr>
              <w:t>433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4" w:line="183" w:lineRule="auto"/>
              <w:ind w:left="549"/>
            </w:pPr>
            <w:r>
              <w:rPr>
                <w:spacing w:val="-4"/>
              </w:rPr>
              <w:t>18.43%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5" w:line="182" w:lineRule="auto"/>
              <w:ind w:left="757"/>
            </w:pPr>
            <w:r>
              <w:rPr>
                <w:spacing w:val="-2"/>
              </w:rPr>
              <w:t>629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5" w:line="182" w:lineRule="auto"/>
              <w:ind w:left="540"/>
            </w:pPr>
            <w:r>
              <w:rPr>
                <w:spacing w:val="-2"/>
              </w:rPr>
              <w:t>24.53%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5" w:line="182" w:lineRule="auto"/>
              <w:ind w:left="778"/>
            </w:pPr>
            <w:r>
              <w:rPr>
                <w:spacing w:val="-3"/>
              </w:rPr>
              <w:t>399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4" w:line="183" w:lineRule="auto"/>
              <w:ind w:left="553"/>
            </w:pPr>
            <w:r>
              <w:rPr>
                <w:spacing w:val="-4"/>
              </w:rPr>
              <w:t>14.59%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93" w:line="182" w:lineRule="auto"/>
              <w:ind w:left="435"/>
            </w:pPr>
            <w:r>
              <w:rPr>
                <w:spacing w:val="-1"/>
              </w:rPr>
              <w:t>CCC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3" w:line="182" w:lineRule="auto"/>
              <w:ind w:left="862"/>
            </w:pPr>
            <w:r>
              <w:rPr>
                <w:spacing w:val="-3"/>
              </w:rPr>
              <w:t>74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2" w:line="183" w:lineRule="auto"/>
              <w:ind w:left="644"/>
            </w:pPr>
            <w:r>
              <w:rPr>
                <w:spacing w:val="-2"/>
              </w:rPr>
              <w:t>3.15%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3" w:line="182" w:lineRule="auto"/>
              <w:ind w:left="863"/>
            </w:pPr>
            <w:r>
              <w:rPr>
                <w:spacing w:val="-3"/>
              </w:rPr>
              <w:t>70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3" w:line="182" w:lineRule="auto"/>
              <w:ind w:left="646"/>
            </w:pPr>
            <w:r>
              <w:rPr>
                <w:spacing w:val="-2"/>
              </w:rPr>
              <w:t>2.73%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5" w:line="180" w:lineRule="auto"/>
              <w:ind w:left="882"/>
            </w:pPr>
            <w:r>
              <w:rPr>
                <w:spacing w:val="-3"/>
              </w:rPr>
              <w:t>77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3" w:line="182" w:lineRule="auto"/>
              <w:ind w:left="646"/>
            </w:pPr>
            <w:r>
              <w:rPr>
                <w:spacing w:val="-2"/>
              </w:rPr>
              <w:t>2.82%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94" w:line="182" w:lineRule="auto"/>
              <w:ind w:left="485"/>
            </w:pPr>
            <w:r>
              <w:rPr>
                <w:spacing w:val="-2"/>
              </w:rPr>
              <w:t>CC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2" w:line="183" w:lineRule="auto"/>
              <w:ind w:left="872"/>
            </w:pPr>
            <w:r>
              <w:rPr>
                <w:spacing w:val="-6"/>
              </w:rPr>
              <w:t>15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3" w:line="182" w:lineRule="auto"/>
              <w:ind w:left="641"/>
            </w:pPr>
            <w:r>
              <w:rPr>
                <w:spacing w:val="-2"/>
              </w:rPr>
              <w:t>0.64%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6" w:line="180" w:lineRule="auto"/>
              <w:ind w:left="968"/>
            </w:pPr>
            <w:r>
              <w:t>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3" w:line="182" w:lineRule="auto"/>
              <w:ind w:left="645"/>
            </w:pPr>
            <w:r>
              <w:rPr>
                <w:spacing w:val="-2"/>
              </w:rPr>
              <w:t>0.20%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3" w:line="182" w:lineRule="auto"/>
              <w:ind w:left="881"/>
            </w:pPr>
            <w:r>
              <w:rPr>
                <w:spacing w:val="-3"/>
              </w:rPr>
              <w:t>32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2" w:line="183" w:lineRule="auto"/>
              <w:ind w:left="659"/>
            </w:pPr>
            <w:r>
              <w:rPr>
                <w:spacing w:val="-5"/>
              </w:rPr>
              <w:t>1.17%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6"/>
        </w:trPr>
        <w:tc>
          <w:tcPr>
            <w:tcW w:w="1178" w:type="dxa"/>
            <w:vAlign w:val="top"/>
          </w:tcPr>
          <w:p>
            <w:pPr>
              <w:pStyle w:val="TableText"/>
              <w:spacing w:before="95" w:line="182" w:lineRule="auto"/>
              <w:ind w:left="538"/>
            </w:pPr>
            <w:r>
              <w:t>C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3" w:line="183" w:lineRule="auto"/>
              <w:ind w:left="978"/>
            </w:pPr>
            <w:r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4" w:line="182" w:lineRule="auto"/>
              <w:ind w:left="641"/>
            </w:pPr>
            <w:r>
              <w:rPr>
                <w:spacing w:val="-2"/>
              </w:rPr>
              <w:t>0.04%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4" w:line="182" w:lineRule="auto"/>
              <w:ind w:left="966"/>
            </w:pPr>
            <w:r>
              <w:t>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4" w:line="182" w:lineRule="auto"/>
              <w:ind w:left="645"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3" w:line="183" w:lineRule="auto"/>
              <w:ind w:left="998"/>
            </w:pPr>
            <w:r>
              <w:t>1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4" w:line="182" w:lineRule="auto"/>
              <w:ind w:left="645"/>
            </w:pPr>
            <w:r>
              <w:rPr>
                <w:spacing w:val="-2"/>
              </w:rPr>
              <w:t>0.04%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17"/>
        </w:trPr>
        <w:tc>
          <w:tcPr>
            <w:tcW w:w="1178" w:type="dxa"/>
            <w:vAlign w:val="top"/>
          </w:tcPr>
          <w:p>
            <w:pPr>
              <w:pStyle w:val="TableText"/>
              <w:spacing w:before="96" w:line="181" w:lineRule="auto"/>
              <w:ind w:left="535"/>
            </w:pPr>
            <w:r>
              <w:t>D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5" w:line="182" w:lineRule="auto"/>
              <w:ind w:left="964"/>
            </w:pPr>
            <w:r>
              <w:t>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5" w:line="182" w:lineRule="auto"/>
              <w:ind w:left="641"/>
            </w:pPr>
            <w:r>
              <w:rPr>
                <w:spacing w:val="-2"/>
              </w:rPr>
              <w:t>0.00%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5" w:line="182" w:lineRule="auto"/>
              <w:ind w:left="966"/>
            </w:pPr>
            <w:r>
              <w:t>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5" w:line="182" w:lineRule="auto"/>
              <w:ind w:left="645"/>
            </w:pPr>
            <w:r>
              <w:rPr>
                <w:spacing w:val="-2"/>
              </w:rPr>
              <w:t>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5" w:line="182" w:lineRule="auto"/>
              <w:ind w:left="984"/>
            </w:pPr>
            <w:r>
              <w:t>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5" w:line="182" w:lineRule="auto"/>
              <w:ind w:left="645"/>
            </w:pPr>
            <w:r>
              <w:rPr>
                <w:spacing w:val="-2"/>
              </w:rPr>
              <w:t>0.00%</w:t>
            </w:r>
          </w:p>
        </w:tc>
      </w:tr>
      <w:tr>
        <w:tblPrEx>
          <w:tblW w:w="8528" w:type="dxa"/>
          <w:tblInd w:w="2" w:type="dxa"/>
          <w:tblLayout w:type="fixed"/>
        </w:tblPrEx>
        <w:trPr>
          <w:trHeight w:val="324"/>
        </w:trPr>
        <w:tc>
          <w:tcPr>
            <w:tcW w:w="1178" w:type="dxa"/>
            <w:vAlign w:val="top"/>
          </w:tcPr>
          <w:p>
            <w:pPr>
              <w:pStyle w:val="TableText"/>
              <w:spacing w:before="56" w:line="222" w:lineRule="auto"/>
              <w:ind w:left="396"/>
            </w:pPr>
            <w:r>
              <w:rPr>
                <w:spacing w:val="-5"/>
              </w:rPr>
              <w:t>合计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5" w:line="182" w:lineRule="auto"/>
              <w:ind w:left="650"/>
            </w:pPr>
            <w:r>
              <w:rPr>
                <w:spacing w:val="-2"/>
              </w:rPr>
              <w:t>2350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4" w:line="183" w:lineRule="auto"/>
              <w:ind w:left="446"/>
            </w:pPr>
            <w:r>
              <w:rPr>
                <w:spacing w:val="-3"/>
              </w:rPr>
              <w:t>100.00%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spacing w:before="95" w:line="182" w:lineRule="auto"/>
              <w:ind w:left="652"/>
            </w:pPr>
            <w:r>
              <w:rPr>
                <w:spacing w:val="-2"/>
              </w:rPr>
              <w:t>2564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94" w:line="183" w:lineRule="auto"/>
              <w:ind w:left="450"/>
            </w:pPr>
            <w:r>
              <w:rPr>
                <w:spacing w:val="-3"/>
              </w:rPr>
              <w:t>100.00%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spacing w:before="95" w:line="182" w:lineRule="auto"/>
              <w:ind w:left="671"/>
            </w:pPr>
            <w:r>
              <w:rPr>
                <w:spacing w:val="-2"/>
              </w:rPr>
              <w:t>2734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spacing w:before="94" w:line="183" w:lineRule="auto"/>
              <w:ind w:left="450"/>
            </w:pPr>
            <w:r>
              <w:rPr>
                <w:spacing w:val="-3"/>
              </w:rPr>
              <w:t>100.00%</w:t>
            </w:r>
          </w:p>
        </w:tc>
      </w:tr>
    </w:tbl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BodyText"/>
        <w:spacing w:before="100" w:line="225" w:lineRule="auto"/>
        <w:ind w:left="791"/>
      </w:pPr>
      <w:r>
        <w:rPr>
          <w:spacing w:val="5"/>
        </w:rPr>
        <w:t>（三）关键议题披露不断深化</w:t>
      </w:r>
    </w:p>
    <w:p>
      <w:pPr>
        <w:pStyle w:val="BodyText"/>
        <w:spacing w:before="180" w:line="334" w:lineRule="auto"/>
        <w:ind w:left="135" w:right="115" w:firstLine="638"/>
        <w:jc w:val="both"/>
      </w:pPr>
      <w:r>
        <w:rPr>
          <w:spacing w:val="22"/>
        </w:rPr>
        <w:t>从深市上市公司披露的具体的关键可持续发展议题来</w:t>
      </w:r>
      <w:r>
        <w:rPr>
          <w:spacing w:val="1"/>
        </w:rPr>
        <w:t xml:space="preserve"> </w:t>
      </w:r>
      <w:r>
        <w:rPr>
          <w:spacing w:val="8"/>
        </w:rPr>
        <w:t>看，近两年深市上市公司各项可持续发展议题的披露数量和</w:t>
      </w:r>
    </w:p>
    <w:p>
      <w:pPr>
        <w:pStyle w:val="BodyText"/>
        <w:spacing w:before="1" w:line="224" w:lineRule="auto"/>
        <w:ind w:left="188"/>
      </w:pPr>
      <w:r>
        <w:rPr>
          <w:spacing w:val="1"/>
        </w:rPr>
        <w:t>占比总体上均呈现上升趋势。</w:t>
      </w:r>
    </w:p>
    <w:p>
      <w:pPr>
        <w:pStyle w:val="BodyText"/>
        <w:spacing w:before="175" w:line="334" w:lineRule="auto"/>
        <w:ind w:left="132" w:right="111" w:firstLine="644"/>
        <w:jc w:val="both"/>
        <w:sectPr>
          <w:footerReference w:type="default" r:id="rId10"/>
          <w:pgSz w:w="11907" w:h="16839"/>
          <w:pgMar w:top="1431" w:right="1685" w:bottom="1845" w:left="1687" w:header="0" w:footer="1684" w:gutter="0"/>
          <w:pgNumType w:start="7"/>
          <w:cols w:space="708"/>
        </w:sectPr>
      </w:pPr>
      <w:r>
        <w:rPr>
          <w:spacing w:val="-16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环境方面，</w:t>
      </w:r>
      <w:r>
        <w:rPr>
          <w:spacing w:val="76"/>
        </w:rPr>
        <w:t xml:space="preserve"> </w:t>
      </w:r>
      <w:r>
        <w:rPr>
          <w:spacing w:val="-16"/>
        </w:rPr>
        <w:t>关于应对气候变化，</w:t>
      </w:r>
      <w:r>
        <w:rPr>
          <w:spacing w:val="-16"/>
        </w:rPr>
        <w:t xml:space="preserve"> </w:t>
      </w:r>
      <w:r>
        <w:rPr>
          <w:spacing w:val="-16"/>
        </w:rPr>
        <w:t>2022</w:t>
      </w:r>
      <w:r>
        <w:rPr>
          <w:spacing w:val="-47"/>
        </w:rPr>
        <w:t xml:space="preserve"> </w:t>
      </w:r>
      <w:r>
        <w:rPr>
          <w:spacing w:val="-16"/>
        </w:rPr>
        <w:t>年度，</w:t>
      </w:r>
      <w:r>
        <w:rPr>
          <w:spacing w:val="-16"/>
        </w:rPr>
        <w:t xml:space="preserve"> </w:t>
      </w:r>
      <w:r>
        <w:rPr>
          <w:spacing w:val="-16"/>
        </w:rPr>
        <w:t>披露应对气</w:t>
      </w:r>
      <w:r>
        <w:t xml:space="preserve"> </w:t>
      </w:r>
      <w:r>
        <w:rPr>
          <w:spacing w:val="21"/>
        </w:rPr>
        <w:t>候变化的转型计划和温室气体排放总量的深市上市公司分</w:t>
      </w:r>
      <w:r>
        <w:rPr>
          <w:spacing w:val="5"/>
        </w:rPr>
        <w:t xml:space="preserve"> </w:t>
      </w:r>
      <w:r>
        <w:rPr>
          <w:spacing w:val="-1"/>
        </w:rPr>
        <w:t>别有约</w:t>
      </w:r>
      <w:r>
        <w:rPr>
          <w:spacing w:val="-59"/>
        </w:rPr>
        <w:t xml:space="preserve"> </w:t>
      </w:r>
      <w:r>
        <w:rPr>
          <w:spacing w:val="-1"/>
        </w:rPr>
        <w:t>6.0%、8.73%，</w:t>
      </w:r>
      <w:r>
        <w:rPr>
          <w:spacing w:val="-89"/>
        </w:rPr>
        <w:t xml:space="preserve"> </w:t>
      </w:r>
      <w:r>
        <w:rPr>
          <w:spacing w:val="-1"/>
        </w:rPr>
        <w:t>同比均接近翻倍；</w:t>
      </w:r>
      <w:r>
        <w:rPr>
          <w:spacing w:val="-1"/>
        </w:rPr>
        <w:t xml:space="preserve"> </w:t>
      </w:r>
      <w:r>
        <w:rPr>
          <w:spacing w:val="-1"/>
        </w:rPr>
        <w:t>约</w:t>
      </w:r>
      <w:r>
        <w:rPr>
          <w:spacing w:val="-57"/>
        </w:rPr>
        <w:t xml:space="preserve"> </w:t>
      </w:r>
      <w:r>
        <w:rPr>
          <w:spacing w:val="-1"/>
        </w:rPr>
        <w:t>34.74%的深市上</w:t>
      </w:r>
      <w:r>
        <w:t xml:space="preserve"> </w:t>
      </w:r>
      <w:r>
        <w:t>市公司披露了减少温室气体排放的措施，</w:t>
      </w:r>
      <w:r>
        <w:rPr>
          <w:spacing w:val="69"/>
        </w:rPr>
        <w:t xml:space="preserve"> </w:t>
      </w:r>
      <w:r>
        <w:t>同比提高</w:t>
      </w:r>
      <w:r>
        <w:t xml:space="preserve"> </w:t>
      </w:r>
      <w:r>
        <w:t>9.37</w:t>
      </w:r>
      <w:r>
        <w:t xml:space="preserve"> </w:t>
      </w:r>
      <w:r>
        <w:t>个</w:t>
      </w:r>
      <w:r>
        <w:t xml:space="preserve"> </w:t>
      </w:r>
      <w:r>
        <w:t>百分点。关于污染物、废弃物防治，2022</w:t>
      </w:r>
      <w:r>
        <w:rPr>
          <w:spacing w:val="-49"/>
        </w:rPr>
        <w:t xml:space="preserve"> </w:t>
      </w:r>
      <w:r>
        <w:t>年度，</w:t>
      </w:r>
      <w:r>
        <w:rPr>
          <w:spacing w:val="-33"/>
        </w:rPr>
        <w:t xml:space="preserve"> </w:t>
      </w:r>
      <w:r>
        <w:t>披露防治污</w:t>
      </w:r>
      <w:r>
        <w:t xml:space="preserve"> </w:t>
      </w:r>
      <w:r>
        <w:rPr>
          <w:spacing w:val="8"/>
        </w:rPr>
        <w:t>染设施的建设和运行情况、污染物排放信息、废弃物排放信</w:t>
      </w:r>
      <w:r>
        <w:rPr>
          <w:spacing w:val="13"/>
        </w:rPr>
        <w:t xml:space="preserve"> </w:t>
      </w:r>
    </w:p>
    <w:p>
      <w:pPr>
        <w:pStyle w:val="BodyText"/>
        <w:spacing w:before="175" w:line="334" w:lineRule="auto"/>
        <w:ind w:left="132" w:right="111" w:firstLine="644"/>
        <w:jc w:val="both"/>
      </w:pPr>
      <w:r>
        <w:rPr>
          <w:spacing w:val="5"/>
        </w:rPr>
        <w:t>息的深市上市公司占比分别为</w:t>
      </w:r>
      <w:r>
        <w:rPr>
          <w:spacing w:val="5"/>
        </w:rPr>
        <w:t xml:space="preserve"> </w:t>
      </w:r>
      <w:r>
        <w:rPr>
          <w:spacing w:val="5"/>
        </w:rPr>
        <w:t>44.82%、36.94%、8.</w:t>
      </w:r>
      <w:r>
        <w:rPr>
          <w:spacing w:val="4"/>
        </w:rPr>
        <w:t>62%，同</w:t>
      </w:r>
      <w:r>
        <w:t xml:space="preserve"> </w:t>
      </w:r>
      <w:r>
        <w:rPr>
          <w:spacing w:val="2"/>
        </w:rPr>
        <w:t>比分别提升</w:t>
      </w:r>
      <w:r>
        <w:rPr>
          <w:spacing w:val="2"/>
        </w:rPr>
        <w:t xml:space="preserve"> </w:t>
      </w:r>
      <w:r>
        <w:rPr>
          <w:spacing w:val="2"/>
        </w:rPr>
        <w:t>4.19、2.41、3.30</w:t>
      </w:r>
      <w:r>
        <w:rPr>
          <w:spacing w:val="2"/>
        </w:rPr>
        <w:t xml:space="preserve"> </w:t>
      </w:r>
      <w:r>
        <w:rPr>
          <w:spacing w:val="2"/>
        </w:rPr>
        <w:t>个百分点，</w:t>
      </w:r>
      <w:r>
        <w:rPr>
          <w:spacing w:val="2"/>
        </w:rPr>
        <w:t xml:space="preserve"> </w:t>
      </w:r>
      <w:r>
        <w:rPr>
          <w:spacing w:val="2"/>
        </w:rPr>
        <w:t>排污单位履行污</w:t>
      </w:r>
      <w:r>
        <w:t xml:space="preserve"> </w:t>
      </w:r>
      <w:r>
        <w:rPr>
          <w:spacing w:val="21"/>
        </w:rPr>
        <w:t>染物信息披露义务及其他上市公司主动披露相关信息的积</w:t>
      </w:r>
    </w:p>
    <w:p>
      <w:pPr>
        <w:pStyle w:val="BodyText"/>
        <w:spacing w:before="1" w:line="224" w:lineRule="auto"/>
        <w:ind w:left="132"/>
      </w:pPr>
      <w:r>
        <w:rPr>
          <w:spacing w:val="1"/>
        </w:rPr>
        <w:t>极性进一步提高。资源利用方面，</w:t>
      </w:r>
      <w:r>
        <w:rPr>
          <w:spacing w:val="43"/>
        </w:rPr>
        <w:t xml:space="preserve"> </w:t>
      </w:r>
      <w:r>
        <w:rPr>
          <w:spacing w:val="1"/>
        </w:rPr>
        <w:t>2022</w:t>
      </w:r>
      <w:r>
        <w:rPr>
          <w:spacing w:val="1"/>
        </w:rPr>
        <w:t xml:space="preserve"> </w:t>
      </w:r>
      <w:r>
        <w:rPr>
          <w:spacing w:val="1"/>
        </w:rPr>
        <w:t>年度，约</w:t>
      </w:r>
      <w:r>
        <w:rPr>
          <w:spacing w:val="1"/>
        </w:rPr>
        <w:t xml:space="preserve"> </w:t>
      </w:r>
      <w:r>
        <w:rPr>
          <w:spacing w:val="1"/>
        </w:rPr>
        <w:t>4</w:t>
      </w:r>
      <w:r>
        <w:t>0.70%的</w:t>
      </w:r>
    </w:p>
    <w:p>
      <w:pPr>
        <w:spacing w:line="224" w:lineRule="auto"/>
        <w:sectPr>
          <w:footerReference w:type="default" r:id="rId11"/>
          <w:type w:val="nextPage"/>
          <w:pgSz w:w="11907" w:h="16839"/>
          <w:pgMar w:top="1431" w:right="1685" w:bottom="1845" w:left="1687" w:header="0" w:footer="1684" w:gutter="0"/>
          <w:pgNumType w:start="8"/>
          <w:cols w:space="708"/>
          <w:titlePg w:val="0"/>
        </w:sectPr>
      </w:pPr>
    </w:p>
    <w:p>
      <w:pPr>
        <w:pStyle w:val="BodyText"/>
        <w:spacing w:before="182" w:line="334" w:lineRule="auto"/>
        <w:ind w:left="29" w:right="16" w:firstLine="8"/>
      </w:pPr>
      <w:r>
        <w:rPr>
          <w:spacing w:val="20"/>
        </w:rPr>
        <w:t>深市上市公司披露了为实现循环经济而实施的具体措施，</w:t>
      </w:r>
      <w:r>
        <w:rPr>
          <w:spacing w:val="5"/>
        </w:rPr>
        <w:t xml:space="preserve"> </w:t>
      </w:r>
      <w:r>
        <w:rPr>
          <w:spacing w:val="7"/>
        </w:rPr>
        <w:t>29.21%、15.26%的深市上市公司披露了能源、水资源节约目</w:t>
      </w:r>
    </w:p>
    <w:p>
      <w:pPr>
        <w:pStyle w:val="BodyText"/>
        <w:spacing w:before="1" w:line="224" w:lineRule="auto"/>
        <w:ind w:left="34"/>
      </w:pPr>
      <w:r>
        <w:rPr>
          <w:spacing w:val="7"/>
        </w:rPr>
        <w:t>标及具体措施，同比均有明显提高。</w:t>
      </w:r>
    </w:p>
    <w:p>
      <w:pPr>
        <w:pStyle w:val="BodyText"/>
        <w:spacing w:before="171" w:line="334" w:lineRule="auto"/>
        <w:ind w:left="33" w:right="13" w:firstLine="645"/>
      </w:pPr>
      <w:r>
        <w:rPr>
          <w:spacing w:val="18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社会责任方面，</w:t>
      </w:r>
      <w:r>
        <w:rPr>
          <w:spacing w:val="-53"/>
        </w:rPr>
        <w:t xml:space="preserve"> </w:t>
      </w:r>
      <w:r>
        <w:rPr>
          <w:spacing w:val="18"/>
        </w:rPr>
        <w:t>关于员工健康与发展，</w:t>
      </w:r>
      <w:r>
        <w:rPr>
          <w:spacing w:val="-80"/>
        </w:rPr>
        <w:t xml:space="preserve"> </w:t>
      </w:r>
      <w:r>
        <w:rPr>
          <w:spacing w:val="18"/>
        </w:rPr>
        <w:t>2022</w:t>
      </w:r>
      <w:r>
        <w:rPr>
          <w:spacing w:val="57"/>
        </w:rPr>
        <w:t xml:space="preserve"> </w:t>
      </w:r>
      <w:r>
        <w:rPr>
          <w:spacing w:val="18"/>
        </w:rPr>
        <w:t>年度约</w:t>
      </w:r>
      <w:r>
        <w:t xml:space="preserve"> </w:t>
      </w:r>
      <w:r>
        <w:rPr>
          <w:spacing w:val="8"/>
        </w:rPr>
        <w:t>73.88%的深市上市公司披露了保障员工健康</w:t>
      </w:r>
      <w:r>
        <w:rPr>
          <w:spacing w:val="7"/>
        </w:rPr>
        <w:t>与安全的措施，</w:t>
      </w:r>
      <w:r>
        <w:t xml:space="preserve"> </w:t>
      </w:r>
      <w:r>
        <w:rPr>
          <w:spacing w:val="5"/>
        </w:rPr>
        <w:t>同比提升</w:t>
      </w:r>
      <w:r>
        <w:rPr>
          <w:spacing w:val="-33"/>
        </w:rPr>
        <w:t xml:space="preserve"> </w:t>
      </w:r>
      <w:r>
        <w:rPr>
          <w:spacing w:val="5"/>
        </w:rPr>
        <w:t>11.78</w:t>
      </w:r>
      <w:r>
        <w:rPr>
          <w:spacing w:val="-53"/>
        </w:rPr>
        <w:t xml:space="preserve"> </w:t>
      </w:r>
      <w:r>
        <w:rPr>
          <w:spacing w:val="5"/>
        </w:rPr>
        <w:t>个百分点，91.52%的深市上市公司披露了员</w:t>
      </w:r>
      <w:r>
        <w:t xml:space="preserve"> </w:t>
      </w:r>
      <w:r>
        <w:rPr>
          <w:spacing w:val="8"/>
        </w:rPr>
        <w:t>工职业发展与培训的情况，在较高披露比例的前提下同比继</w:t>
      </w:r>
      <w:r>
        <w:rPr>
          <w:spacing w:val="17"/>
        </w:rPr>
        <w:t xml:space="preserve"> </w:t>
      </w:r>
      <w:r>
        <w:rPr>
          <w:spacing w:val="2"/>
        </w:rPr>
        <w:t>续提升。客户服务方面，</w:t>
      </w:r>
      <w:r>
        <w:rPr>
          <w:spacing w:val="2"/>
        </w:rPr>
        <w:t xml:space="preserve"> </w:t>
      </w:r>
      <w:r>
        <w:rPr>
          <w:spacing w:val="2"/>
        </w:rPr>
        <w:t>2022</w:t>
      </w:r>
      <w:r>
        <w:rPr>
          <w:spacing w:val="2"/>
        </w:rPr>
        <w:t xml:space="preserve"> </w:t>
      </w:r>
      <w:r>
        <w:rPr>
          <w:spacing w:val="2"/>
        </w:rPr>
        <w:t>年度分别有</w:t>
      </w:r>
      <w:r>
        <w:rPr>
          <w:spacing w:val="2"/>
        </w:rPr>
        <w:t xml:space="preserve"> </w:t>
      </w:r>
      <w:r>
        <w:rPr>
          <w:spacing w:val="2"/>
        </w:rPr>
        <w:t>54.33%、12.0</w:t>
      </w:r>
      <w:r>
        <w:rPr>
          <w:spacing w:val="1"/>
        </w:rPr>
        <w:t>7%</w:t>
      </w:r>
      <w:r>
        <w:t xml:space="preserve"> </w:t>
      </w:r>
      <w:r>
        <w:rPr>
          <w:spacing w:val="8"/>
        </w:rPr>
        <w:t>的深市上市公司披露了产品及服务安全与质量、数据安全与</w:t>
      </w:r>
      <w:r>
        <w:rPr>
          <w:spacing w:val="17"/>
        </w:rPr>
        <w:t xml:space="preserve"> </w:t>
      </w:r>
      <w:r>
        <w:rPr>
          <w:spacing w:val="3"/>
        </w:rPr>
        <w:t>客户隐私保护的相关内容，</w:t>
      </w:r>
      <w:r>
        <w:rPr>
          <w:spacing w:val="-85"/>
        </w:rPr>
        <w:t xml:space="preserve"> </w:t>
      </w:r>
      <w:r>
        <w:rPr>
          <w:spacing w:val="3"/>
        </w:rPr>
        <w:t>同比分别提升</w:t>
      </w:r>
      <w:r>
        <w:rPr>
          <w:spacing w:val="-39"/>
        </w:rPr>
        <w:t xml:space="preserve"> </w:t>
      </w:r>
      <w:r>
        <w:rPr>
          <w:spacing w:val="3"/>
        </w:rPr>
        <w:t>15.86、4.61</w:t>
      </w:r>
      <w:r>
        <w:rPr>
          <w:spacing w:val="-51"/>
        </w:rPr>
        <w:t xml:space="preserve"> </w:t>
      </w:r>
      <w:r>
        <w:rPr>
          <w:spacing w:val="3"/>
        </w:rPr>
        <w:t>个百</w:t>
      </w:r>
      <w:r>
        <w:t xml:space="preserve"> </w:t>
      </w:r>
      <w:r>
        <w:rPr>
          <w:spacing w:val="2"/>
        </w:rPr>
        <w:t>分点，</w:t>
      </w:r>
      <w:r>
        <w:rPr>
          <w:spacing w:val="2"/>
        </w:rPr>
        <w:t xml:space="preserve"> </w:t>
      </w:r>
      <w:r>
        <w:rPr>
          <w:spacing w:val="2"/>
        </w:rPr>
        <w:t>上市公司对客户隐私的重视程度明显提高。公益慈善</w:t>
      </w:r>
      <w:r>
        <w:rPr>
          <w:spacing w:val="13"/>
        </w:rPr>
        <w:t xml:space="preserve"> </w:t>
      </w:r>
      <w:r>
        <w:rPr>
          <w:spacing w:val="8"/>
        </w:rPr>
        <w:t>及服务乡村振兴方面，深市上市公司</w:t>
      </w:r>
      <w:r>
        <w:rPr>
          <w:spacing w:val="8"/>
        </w:rPr>
        <w:t xml:space="preserve"> </w:t>
      </w:r>
      <w:r>
        <w:rPr>
          <w:spacing w:val="8"/>
        </w:rPr>
        <w:t>2022</w:t>
      </w:r>
      <w:r>
        <w:rPr>
          <w:spacing w:val="8"/>
        </w:rPr>
        <w:t xml:space="preserve"> </w:t>
      </w:r>
      <w:r>
        <w:rPr>
          <w:spacing w:val="8"/>
        </w:rPr>
        <w:t>年</w:t>
      </w:r>
      <w:r>
        <w:rPr>
          <w:spacing w:val="7"/>
        </w:rPr>
        <w:t>度公益慈善活</w:t>
      </w:r>
      <w:r>
        <w:t xml:space="preserve"> </w:t>
      </w:r>
      <w:r>
        <w:rPr>
          <w:spacing w:val="8"/>
        </w:rPr>
        <w:t>动等社会贡献的披露比例略有提升，服务乡村振兴的披露比</w:t>
      </w:r>
      <w:r>
        <w:rPr>
          <w:spacing w:val="17"/>
        </w:rPr>
        <w:t xml:space="preserve"> </w:t>
      </w:r>
      <w:r>
        <w:rPr>
          <w:spacing w:val="6"/>
        </w:rPr>
        <w:t>例有所下降，这主要与我国已打赢脱贫攻坚战有关。另外，</w:t>
      </w:r>
      <w:r>
        <w:rPr>
          <w:spacing w:val="10"/>
        </w:rPr>
        <w:t xml:space="preserve"> </w:t>
      </w:r>
      <w:r>
        <w:rPr>
          <w:spacing w:val="2"/>
        </w:rPr>
        <w:t>当前世界政治、经济环境下，</w:t>
      </w:r>
      <w:r>
        <w:rPr>
          <w:spacing w:val="2"/>
        </w:rPr>
        <w:t xml:space="preserve"> </w:t>
      </w:r>
      <w:r>
        <w:rPr>
          <w:spacing w:val="2"/>
        </w:rPr>
        <w:t>深市上市公司愈发重视供应链</w:t>
      </w:r>
      <w:r>
        <w:rPr>
          <w:spacing w:val="13"/>
        </w:rPr>
        <w:t xml:space="preserve"> </w:t>
      </w:r>
      <w:r>
        <w:rPr>
          <w:spacing w:val="1"/>
        </w:rPr>
        <w:t>安全稳定，2022</w:t>
      </w:r>
      <w:r>
        <w:rPr>
          <w:spacing w:val="-48"/>
        </w:rPr>
        <w:t xml:space="preserve"> </w:t>
      </w:r>
      <w:r>
        <w:rPr>
          <w:spacing w:val="1"/>
        </w:rPr>
        <w:t>年度，</w:t>
      </w:r>
      <w:r>
        <w:rPr>
          <w:spacing w:val="-55"/>
        </w:rPr>
        <w:t xml:space="preserve"> </w:t>
      </w:r>
      <w:r>
        <w:rPr>
          <w:spacing w:val="1"/>
        </w:rPr>
        <w:t>超四分之一的公</w:t>
      </w:r>
      <w:r>
        <w:t>司披露了加强供应链</w:t>
      </w:r>
      <w:r>
        <w:t xml:space="preserve"> </w:t>
      </w:r>
      <w:r>
        <w:rPr>
          <w:spacing w:val="2"/>
        </w:rPr>
        <w:t>风险管理、保障供应链安全稳定的相关内容，</w:t>
      </w:r>
      <w:r>
        <w:rPr>
          <w:spacing w:val="2"/>
        </w:rPr>
        <w:t xml:space="preserve"> </w:t>
      </w:r>
      <w:r>
        <w:rPr>
          <w:spacing w:val="2"/>
        </w:rPr>
        <w:t>同比提高了近</w:t>
      </w:r>
    </w:p>
    <w:p>
      <w:pPr>
        <w:pStyle w:val="BodyText"/>
        <w:spacing w:before="1" w:line="224" w:lineRule="auto"/>
        <w:ind w:left="28"/>
      </w:pPr>
      <w:r>
        <w:rPr>
          <w:spacing w:val="1"/>
        </w:rPr>
        <w:t>6</w:t>
      </w:r>
      <w:r>
        <w:rPr>
          <w:spacing w:val="-52"/>
        </w:rPr>
        <w:t xml:space="preserve"> </w:t>
      </w:r>
      <w:r>
        <w:rPr>
          <w:spacing w:val="1"/>
        </w:rPr>
        <w:t>个百分点。</w:t>
      </w:r>
    </w:p>
    <w:p>
      <w:pPr>
        <w:pStyle w:val="BodyText"/>
        <w:spacing w:before="179" w:line="334" w:lineRule="auto"/>
        <w:ind w:left="32" w:right="13" w:firstLine="651"/>
        <w:sectPr>
          <w:footerReference w:type="default" r:id="rId12"/>
          <w:pgSz w:w="11907" w:h="16839"/>
          <w:pgMar w:top="1431" w:right="1785" w:bottom="1842" w:left="1785" w:header="0" w:footer="1684" w:gutter="0"/>
          <w:pgNumType w:start="9"/>
          <w:cols w:space="708"/>
        </w:sectPr>
      </w:pPr>
      <w:r>
        <w:rPr>
          <w:spacing w:val="-2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治理方面，</w:t>
      </w:r>
      <w:r>
        <w:rPr>
          <w:spacing w:val="101"/>
        </w:rPr>
        <w:t xml:space="preserve"> </w:t>
      </w:r>
      <w:r>
        <w:rPr>
          <w:spacing w:val="-2"/>
        </w:rPr>
        <w:t>2022</w:t>
      </w:r>
      <w:r>
        <w:rPr>
          <w:spacing w:val="-2"/>
        </w:rPr>
        <w:t xml:space="preserve"> </w:t>
      </w:r>
      <w:r>
        <w:rPr>
          <w:spacing w:val="-2"/>
        </w:rPr>
        <w:t>年度约</w:t>
      </w:r>
      <w:r>
        <w:rPr>
          <w:spacing w:val="-2"/>
        </w:rPr>
        <w:t xml:space="preserve"> </w:t>
      </w:r>
      <w:r>
        <w:rPr>
          <w:spacing w:val="-2"/>
        </w:rPr>
        <w:t>22.75%的深市上市公司披露了</w:t>
      </w:r>
      <w:r>
        <w:t xml:space="preserve"> </w:t>
      </w:r>
      <w:r>
        <w:rPr>
          <w:spacing w:val="6"/>
        </w:rPr>
        <w:t>可持续发展相关治理机制，同比提升</w:t>
      </w:r>
      <w:r>
        <w:rPr>
          <w:spacing w:val="60"/>
        </w:rPr>
        <w:t xml:space="preserve"> </w:t>
      </w:r>
      <w:r>
        <w:rPr>
          <w:spacing w:val="6"/>
        </w:rPr>
        <w:t>5.61</w:t>
      </w:r>
      <w:r>
        <w:rPr>
          <w:spacing w:val="6"/>
        </w:rPr>
        <w:t xml:space="preserve"> </w:t>
      </w:r>
      <w:r>
        <w:rPr>
          <w:spacing w:val="6"/>
        </w:rPr>
        <w:t>个百分点，上市</w:t>
      </w:r>
      <w:r>
        <w:t xml:space="preserve"> </w:t>
      </w:r>
      <w:r>
        <w:rPr>
          <w:spacing w:val="16"/>
        </w:rPr>
        <w:t>公司对可持续发展（</w:t>
      </w:r>
      <w:r>
        <w:t>ESG</w:t>
      </w:r>
      <w:r>
        <w:rPr>
          <w:spacing w:val="16"/>
        </w:rPr>
        <w:t>）管理的重视程度进一步提升；约</w:t>
      </w:r>
      <w:r>
        <w:t xml:space="preserve"> </w:t>
      </w:r>
      <w:r>
        <w:rPr>
          <w:spacing w:val="8"/>
        </w:rPr>
        <w:t>32.01%的深市上市公司披露了反腐败、反贿赂</w:t>
      </w:r>
      <w:r>
        <w:rPr>
          <w:spacing w:val="7"/>
        </w:rPr>
        <w:t>、阳光采购等</w:t>
      </w:r>
      <w:r>
        <w:t xml:space="preserve"> </w:t>
      </w:r>
      <w:r>
        <w:rPr>
          <w:spacing w:val="8"/>
        </w:rPr>
        <w:t>防范商业贿赂与不正当竞争的相关措施及实施情况，同比提</w:t>
      </w:r>
    </w:p>
    <w:p>
      <w:pPr>
        <w:pStyle w:val="BodyText"/>
        <w:spacing w:line="224" w:lineRule="auto"/>
        <w:ind w:left="40"/>
      </w:pPr>
      <w:r>
        <w:t>升</w:t>
      </w:r>
      <w:r>
        <w:rPr>
          <w:spacing w:val="-54"/>
        </w:rPr>
        <w:t xml:space="preserve"> </w:t>
      </w:r>
      <w:r>
        <w:t>7.74</w:t>
      </w:r>
      <w:r>
        <w:rPr>
          <w:spacing w:val="-55"/>
        </w:rPr>
        <w:t xml:space="preserve"> </w:t>
      </w:r>
      <w:r>
        <w:t>个百分点，</w:t>
      </w:r>
      <w:r>
        <w:t xml:space="preserve"> </w:t>
      </w:r>
      <w:r>
        <w:t>上市公司持续促进</w:t>
      </w:r>
      <w:r>
        <w:rPr>
          <w:spacing w:val="-1"/>
        </w:rPr>
        <w:t>营商环境优化。</w:t>
      </w:r>
    </w:p>
    <w:p>
      <w:pPr>
        <w:spacing w:line="224" w:lineRule="auto"/>
        <w:sectPr>
          <w:footerReference w:type="default" r:id="rId13"/>
          <w:type w:val="nextPage"/>
          <w:pgSz w:w="11907" w:h="16839"/>
          <w:pgMar w:top="1431" w:right="1785" w:bottom="1842" w:left="1785" w:header="0" w:footer="1684" w:gutter="0"/>
          <w:pgNumType w:start="10"/>
          <w:cols w:space="708"/>
          <w:titlePg w:val="0"/>
        </w:sectPr>
      </w:pPr>
    </w:p>
    <w:p>
      <w:pPr>
        <w:pStyle w:val="BodyText"/>
        <w:spacing w:before="216" w:line="220" w:lineRule="auto"/>
        <w:ind w:left="1533"/>
        <w:rPr>
          <w:sz w:val="28"/>
          <w:szCs w:val="28"/>
        </w:rPr>
      </w:pPr>
      <w:r>
        <w:rPr>
          <w:spacing w:val="-1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spacing w:val="-43"/>
          <w:sz w:val="28"/>
          <w:szCs w:val="28"/>
        </w:rPr>
        <w:t xml:space="preserve"> </w:t>
      </w:r>
      <w:r>
        <w:rPr>
          <w:spacing w:val="-1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  <w14:textOutline w14:w="5094">
            <w14:solidFill>
              <w14:srgbClr w14:val="000000"/>
            </w14:solidFill>
            <w14:prstDash w14:val="solid"/>
            <w14:miter w14:lim="10"/>
          </w14:textOutline>
        </w:rPr>
        <w:t>近两年深市上市公司可持续发展信息披露情况</w:t>
      </w:r>
    </w:p>
    <w:p>
      <w:pPr>
        <w:spacing w:line="17" w:lineRule="exact"/>
      </w:pPr>
    </w:p>
    <w:tbl>
      <w:tblPr>
        <w:tblStyle w:val="TableNormal1"/>
        <w:tblW w:w="94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123"/>
        <w:gridCol w:w="3558"/>
        <w:gridCol w:w="1183"/>
        <w:gridCol w:w="1182"/>
        <w:gridCol w:w="1183"/>
        <w:gridCol w:w="1187"/>
      </w:tblGrid>
      <w:tr>
        <w:tblPrEx>
          <w:tblW w:w="9416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21"/>
        </w:trPr>
        <w:tc>
          <w:tcPr>
            <w:tcW w:w="468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19" w:line="221" w:lineRule="auto"/>
              <w:ind w:left="1937"/>
            </w:pP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主要议题</w:t>
            </w:r>
          </w:p>
        </w:tc>
        <w:tc>
          <w:tcPr>
            <w:tcW w:w="2365" w:type="dxa"/>
            <w:gridSpan w:val="2"/>
            <w:vAlign w:val="top"/>
          </w:tcPr>
          <w:p>
            <w:pPr>
              <w:pStyle w:val="TableText"/>
              <w:spacing w:before="57" w:line="221" w:lineRule="auto"/>
              <w:ind w:left="741"/>
            </w:pP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2021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年度</w:t>
            </w:r>
          </w:p>
        </w:tc>
        <w:tc>
          <w:tcPr>
            <w:tcW w:w="2370" w:type="dxa"/>
            <w:gridSpan w:val="2"/>
            <w:vAlign w:val="top"/>
          </w:tcPr>
          <w:p>
            <w:pPr>
              <w:pStyle w:val="TableText"/>
              <w:spacing w:before="57" w:line="221" w:lineRule="auto"/>
              <w:ind w:left="743"/>
            </w:pP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2022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年度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9"/>
        </w:trPr>
        <w:tc>
          <w:tcPr>
            <w:tcW w:w="4681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53" w:line="221" w:lineRule="auto"/>
              <w:ind w:left="182"/>
            </w:pPr>
            <w:r>
              <w:rPr>
                <w:spacing w:val="-2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披露家数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53" w:line="222" w:lineRule="auto"/>
              <w:ind w:left="427"/>
            </w:pPr>
            <w:r>
              <w:rPr>
                <w:spacing w:val="-12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占比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53" w:line="221" w:lineRule="auto"/>
              <w:ind w:left="184"/>
            </w:pPr>
            <w:r>
              <w:rPr>
                <w:spacing w:val="-2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披露家数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53" w:line="222" w:lineRule="auto"/>
              <w:ind w:left="429"/>
            </w:pPr>
            <w:r>
              <w:rPr>
                <w:spacing w:val="-12"/>
                <w14:textOutline w14:w="3831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占比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21" w:lineRule="auto"/>
              <w:ind w:left="122"/>
            </w:pPr>
            <w:r>
              <w:rPr>
                <w:spacing w:val="-3"/>
              </w:rPr>
              <w:t>环境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1" w:line="221" w:lineRule="auto"/>
              <w:ind w:left="117"/>
            </w:pPr>
            <w:r>
              <w:rPr>
                <w:spacing w:val="-1"/>
              </w:rPr>
              <w:t>应对气候变化的转型计划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0" w:line="182" w:lineRule="auto"/>
              <w:ind w:left="870"/>
            </w:pPr>
            <w:r>
              <w:rPr>
                <w:spacing w:val="-2"/>
              </w:rPr>
              <w:t>89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89" w:line="183" w:lineRule="auto"/>
              <w:ind w:left="559"/>
            </w:pPr>
            <w:r>
              <w:rPr>
                <w:spacing w:val="-2"/>
              </w:rPr>
              <w:t>3.16%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88" w:line="183" w:lineRule="auto"/>
              <w:ind w:left="783"/>
            </w:pPr>
            <w:r>
              <w:rPr>
                <w:spacing w:val="-5"/>
              </w:rPr>
              <w:t>169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0" w:line="182" w:lineRule="auto"/>
              <w:ind w:left="558"/>
            </w:pPr>
            <w:r>
              <w:rPr>
                <w:spacing w:val="-2"/>
              </w:rPr>
              <w:t>6.00%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2" w:line="222" w:lineRule="auto"/>
              <w:ind w:left="120"/>
            </w:pPr>
            <w:r>
              <w:rPr>
                <w:spacing w:val="-2"/>
              </w:rPr>
              <w:t>温室气体排放总量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89" w:line="183" w:lineRule="auto"/>
              <w:ind w:left="781"/>
            </w:pPr>
            <w:r>
              <w:rPr>
                <w:spacing w:val="-5"/>
              </w:rPr>
              <w:t>124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0" w:line="182" w:lineRule="auto"/>
              <w:ind w:left="554"/>
            </w:pPr>
            <w:r>
              <w:rPr>
                <w:spacing w:val="-1"/>
              </w:rPr>
              <w:t>4.40%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0" w:line="182" w:lineRule="auto"/>
              <w:ind w:left="769"/>
            </w:pPr>
            <w:r>
              <w:rPr>
                <w:spacing w:val="-2"/>
              </w:rPr>
              <w:t>246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0" w:line="182" w:lineRule="auto"/>
              <w:ind w:left="557"/>
            </w:pPr>
            <w:r>
              <w:rPr>
                <w:spacing w:val="-2"/>
              </w:rPr>
              <w:t>8.73%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3" w:line="221" w:lineRule="auto"/>
              <w:ind w:left="119"/>
            </w:pPr>
            <w:r>
              <w:rPr>
                <w:spacing w:val="-2"/>
              </w:rPr>
              <w:t>减少温室气体排放的措施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0" w:line="183" w:lineRule="auto"/>
              <w:ind w:left="771"/>
            </w:pPr>
            <w:r>
              <w:rPr>
                <w:spacing w:val="-3"/>
              </w:rPr>
              <w:t>715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1" w:line="182" w:lineRule="auto"/>
              <w:ind w:left="451"/>
            </w:pPr>
            <w:r>
              <w:rPr>
                <w:spacing w:val="-2"/>
              </w:rPr>
              <w:t>25.37%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1" w:line="182" w:lineRule="auto"/>
              <w:ind w:left="768"/>
            </w:pPr>
            <w:r>
              <w:rPr>
                <w:spacing w:val="-2"/>
              </w:rPr>
              <w:t>979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1" w:line="182" w:lineRule="auto"/>
              <w:ind w:left="455"/>
            </w:pPr>
            <w:r>
              <w:rPr>
                <w:spacing w:val="-2"/>
              </w:rPr>
              <w:t>34.74%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2" w:line="221" w:lineRule="auto"/>
              <w:ind w:left="121"/>
            </w:pPr>
            <w:r>
              <w:rPr>
                <w:spacing w:val="-3"/>
              </w:rPr>
              <w:t>污染物排放信息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1" w:line="182" w:lineRule="auto"/>
              <w:ind w:left="766"/>
            </w:pPr>
            <w:r>
              <w:rPr>
                <w:spacing w:val="-2"/>
              </w:rPr>
              <w:t>973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1" w:line="182" w:lineRule="auto"/>
              <w:ind w:left="453"/>
            </w:pPr>
            <w:r>
              <w:rPr>
                <w:spacing w:val="-2"/>
              </w:rPr>
              <w:t>34.53%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0" w:line="183" w:lineRule="auto"/>
              <w:ind w:left="677"/>
            </w:pPr>
            <w:r>
              <w:rPr>
                <w:spacing w:val="-4"/>
              </w:rPr>
              <w:t>1041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1" w:line="182" w:lineRule="auto"/>
              <w:ind w:left="455"/>
            </w:pPr>
            <w:r>
              <w:rPr>
                <w:spacing w:val="-2"/>
              </w:rPr>
              <w:t>36.94%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3" w:line="221" w:lineRule="auto"/>
              <w:ind w:left="120"/>
            </w:pPr>
            <w:r>
              <w:rPr>
                <w:spacing w:val="-2"/>
              </w:rPr>
              <w:t>废弃物排放信息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1" w:line="183" w:lineRule="auto"/>
              <w:ind w:left="781"/>
            </w:pPr>
            <w:r>
              <w:rPr>
                <w:spacing w:val="-5"/>
              </w:rPr>
              <w:t>150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2" w:line="182" w:lineRule="auto"/>
              <w:ind w:left="559"/>
            </w:pPr>
            <w:r>
              <w:rPr>
                <w:spacing w:val="-2"/>
              </w:rPr>
              <w:t>5.32%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2" w:line="182" w:lineRule="auto"/>
              <w:ind w:left="769"/>
            </w:pPr>
            <w:r>
              <w:rPr>
                <w:spacing w:val="-2"/>
              </w:rPr>
              <w:t>243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2" w:line="182" w:lineRule="auto"/>
              <w:ind w:left="557"/>
            </w:pPr>
            <w:r>
              <w:rPr>
                <w:spacing w:val="-2"/>
              </w:rPr>
              <w:t>8.62%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9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7" w:line="221" w:lineRule="auto"/>
              <w:ind w:left="131"/>
            </w:pPr>
            <w:r>
              <w:rPr>
                <w:spacing w:val="-2"/>
              </w:rPr>
              <w:t>防治污染设施的建设和运行情况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3" w:lineRule="auto"/>
              <w:ind w:left="675"/>
            </w:pPr>
            <w:r>
              <w:rPr>
                <w:spacing w:val="-4"/>
              </w:rPr>
              <w:t>1145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5" w:line="182" w:lineRule="auto"/>
              <w:ind w:left="448"/>
            </w:pPr>
            <w:r>
              <w:rPr>
                <w:spacing w:val="-1"/>
              </w:rPr>
              <w:t>40.63%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3" w:lineRule="auto"/>
              <w:ind w:left="677"/>
            </w:pPr>
            <w:r>
              <w:rPr>
                <w:spacing w:val="-4"/>
              </w:rPr>
              <w:t>1263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5" w:line="182" w:lineRule="auto"/>
              <w:ind w:left="450"/>
            </w:pPr>
            <w:r>
              <w:rPr>
                <w:spacing w:val="-1"/>
              </w:rPr>
              <w:t>44.82%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4" w:line="221" w:lineRule="auto"/>
              <w:ind w:left="125"/>
            </w:pPr>
            <w:r>
              <w:rPr>
                <w:spacing w:val="-2"/>
              </w:rPr>
              <w:t>为实现循环经济而实施的具体措施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3" w:line="182" w:lineRule="auto"/>
              <w:ind w:left="766"/>
            </w:pPr>
            <w:r>
              <w:rPr>
                <w:spacing w:val="-2"/>
              </w:rPr>
              <w:t>860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3" w:line="182" w:lineRule="auto"/>
              <w:ind w:left="453"/>
            </w:pPr>
            <w:r>
              <w:rPr>
                <w:spacing w:val="-2"/>
              </w:rPr>
              <w:t>30.52%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1" w:line="183" w:lineRule="auto"/>
              <w:ind w:left="677"/>
            </w:pPr>
            <w:r>
              <w:rPr>
                <w:spacing w:val="-4"/>
              </w:rPr>
              <w:t>1147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3" w:line="182" w:lineRule="auto"/>
              <w:ind w:left="450"/>
            </w:pPr>
            <w:r>
              <w:rPr>
                <w:spacing w:val="-1"/>
              </w:rPr>
              <w:t>40.70%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4" w:line="221" w:lineRule="auto"/>
              <w:ind w:left="130"/>
            </w:pPr>
            <w:r>
              <w:rPr>
                <w:spacing w:val="-3"/>
              </w:rPr>
              <w:t>能源节约目标及具体措施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3" w:line="182" w:lineRule="auto"/>
              <w:ind w:left="770"/>
            </w:pPr>
            <w:r>
              <w:rPr>
                <w:spacing w:val="-3"/>
              </w:rPr>
              <w:t>596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2" w:line="183" w:lineRule="auto"/>
              <w:ind w:left="451"/>
            </w:pPr>
            <w:r>
              <w:rPr>
                <w:spacing w:val="-2"/>
              </w:rPr>
              <w:t>21.15%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3" w:line="182" w:lineRule="auto"/>
              <w:ind w:left="768"/>
            </w:pPr>
            <w:r>
              <w:rPr>
                <w:spacing w:val="-2"/>
              </w:rPr>
              <w:t>823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2" w:line="183" w:lineRule="auto"/>
              <w:ind w:left="453"/>
            </w:pPr>
            <w:r>
              <w:rPr>
                <w:spacing w:val="-2"/>
              </w:rPr>
              <w:t>29.21%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7"/>
        </w:trPr>
        <w:tc>
          <w:tcPr>
            <w:tcW w:w="112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5" w:line="221" w:lineRule="auto"/>
              <w:ind w:left="116"/>
            </w:pPr>
            <w:r>
              <w:rPr>
                <w:spacing w:val="-1"/>
              </w:rPr>
              <w:t>水资源节约目标及具体措施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2" w:lineRule="auto"/>
              <w:ind w:left="768"/>
            </w:pPr>
            <w:r>
              <w:rPr>
                <w:spacing w:val="-2"/>
              </w:rPr>
              <w:t>268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3" w:line="183" w:lineRule="auto"/>
              <w:ind w:left="555"/>
            </w:pPr>
            <w:r>
              <w:rPr>
                <w:spacing w:val="-2"/>
              </w:rPr>
              <w:t>9.51%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2" w:lineRule="auto"/>
              <w:ind w:left="766"/>
            </w:pPr>
            <w:r>
              <w:rPr>
                <w:spacing w:val="-2"/>
              </w:rPr>
              <w:t>430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3" w:line="183" w:lineRule="auto"/>
              <w:ind w:left="467"/>
            </w:pPr>
            <w:r>
              <w:rPr>
                <w:spacing w:val="-4"/>
              </w:rPr>
              <w:t>15.26%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7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9" w:line="220" w:lineRule="auto"/>
              <w:ind w:left="153"/>
            </w:pPr>
            <w:r>
              <w:rPr>
                <w:spacing w:val="-3"/>
              </w:rPr>
              <w:t>社会责任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5" w:line="221" w:lineRule="auto"/>
              <w:ind w:left="118"/>
            </w:pPr>
            <w:r>
              <w:rPr>
                <w:spacing w:val="-1"/>
              </w:rPr>
              <w:t>保障员工健康与安全的措施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3" w:line="183" w:lineRule="auto"/>
              <w:ind w:left="675"/>
            </w:pPr>
            <w:r>
              <w:rPr>
                <w:spacing w:val="-4"/>
              </w:rPr>
              <w:t>1750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3" w:line="183" w:lineRule="auto"/>
              <w:ind w:left="451"/>
            </w:pPr>
            <w:r>
              <w:rPr>
                <w:spacing w:val="-1"/>
              </w:rPr>
              <w:t>62.10%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2" w:lineRule="auto"/>
              <w:ind w:left="664"/>
            </w:pPr>
            <w:r>
              <w:rPr>
                <w:spacing w:val="-2"/>
              </w:rPr>
              <w:t>2082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4" w:line="182" w:lineRule="auto"/>
              <w:ind w:left="456"/>
            </w:pPr>
            <w:r>
              <w:rPr>
                <w:spacing w:val="-2"/>
              </w:rPr>
              <w:t>73.88%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7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5" w:line="221" w:lineRule="auto"/>
              <w:ind w:left="134"/>
            </w:pPr>
            <w:r>
              <w:rPr>
                <w:spacing w:val="-3"/>
              </w:rPr>
              <w:t>员工职业发展与培训的情况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2" w:lineRule="auto"/>
              <w:ind w:left="662"/>
            </w:pPr>
            <w:r>
              <w:rPr>
                <w:spacing w:val="-2"/>
              </w:rPr>
              <w:t>2546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4" w:line="182" w:lineRule="auto"/>
              <w:ind w:left="450"/>
            </w:pPr>
            <w:r>
              <w:rPr>
                <w:spacing w:val="-1"/>
              </w:rPr>
              <w:t>90.35%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2" w:lineRule="auto"/>
              <w:ind w:left="664"/>
            </w:pPr>
            <w:r>
              <w:rPr>
                <w:spacing w:val="-2"/>
              </w:rPr>
              <w:t>2579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3" w:line="183" w:lineRule="auto"/>
              <w:ind w:left="452"/>
            </w:pPr>
            <w:r>
              <w:rPr>
                <w:spacing w:val="-1"/>
              </w:rPr>
              <w:t>91.52%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631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8" w:line="247" w:lineRule="auto"/>
              <w:ind w:left="121" w:right="103" w:hanging="5"/>
            </w:pPr>
            <w:r>
              <w:rPr>
                <w:spacing w:val="-2"/>
              </w:rPr>
              <w:t>加强供应链风险管理、保障供应链安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全稳定的情况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252" w:line="182" w:lineRule="auto"/>
              <w:ind w:left="770"/>
            </w:pPr>
            <w:r>
              <w:rPr>
                <w:spacing w:val="-3"/>
              </w:rPr>
              <w:t>565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252" w:line="182" w:lineRule="auto"/>
              <w:ind w:left="451"/>
            </w:pPr>
            <w:r>
              <w:rPr>
                <w:spacing w:val="-2"/>
              </w:rPr>
              <w:t>20.05%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250" w:line="183" w:lineRule="auto"/>
              <w:ind w:left="772"/>
            </w:pPr>
            <w:r>
              <w:rPr>
                <w:spacing w:val="-3"/>
              </w:rPr>
              <w:t>731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252" w:line="182" w:lineRule="auto"/>
              <w:ind w:left="453"/>
            </w:pPr>
            <w:r>
              <w:rPr>
                <w:spacing w:val="-2"/>
              </w:rPr>
              <w:t>25.94%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5" w:line="220" w:lineRule="auto"/>
              <w:ind w:left="119"/>
            </w:pPr>
            <w:r>
              <w:rPr>
                <w:spacing w:val="-2"/>
              </w:rPr>
              <w:t>产品及服务安全与质量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2" w:line="183" w:lineRule="auto"/>
              <w:ind w:left="675"/>
            </w:pPr>
            <w:r>
              <w:rPr>
                <w:spacing w:val="-4"/>
              </w:rPr>
              <w:t>1084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3" w:line="182" w:lineRule="auto"/>
              <w:ind w:left="453"/>
            </w:pPr>
            <w:r>
              <w:rPr>
                <w:spacing w:val="-2"/>
              </w:rPr>
              <w:t>38.47%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2" w:line="183" w:lineRule="auto"/>
              <w:ind w:left="677"/>
            </w:pPr>
            <w:r>
              <w:rPr>
                <w:spacing w:val="-4"/>
              </w:rPr>
              <w:t>1531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3" w:line="182" w:lineRule="auto"/>
              <w:ind w:left="455"/>
            </w:pPr>
            <w:r>
              <w:rPr>
                <w:spacing w:val="-2"/>
              </w:rPr>
              <w:t>54.33%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5" w:line="220" w:lineRule="auto"/>
              <w:ind w:left="116"/>
            </w:pPr>
            <w:r>
              <w:rPr>
                <w:spacing w:val="-1"/>
              </w:rPr>
              <w:t>数据安全与客户隐私保护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2" w:lineRule="auto"/>
              <w:ind w:left="870"/>
            </w:pPr>
            <w:r>
              <w:rPr>
                <w:spacing w:val="-2"/>
              </w:rPr>
              <w:t>69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4" w:line="182" w:lineRule="auto"/>
              <w:ind w:left="557"/>
            </w:pPr>
            <w:r>
              <w:rPr>
                <w:spacing w:val="-2"/>
              </w:rPr>
              <w:t>2.45%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3" w:line="183" w:lineRule="auto"/>
              <w:ind w:left="783"/>
            </w:pPr>
            <w:r>
              <w:rPr>
                <w:spacing w:val="-5"/>
              </w:rPr>
              <w:t>120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4" w:line="182" w:lineRule="auto"/>
              <w:ind w:left="556"/>
            </w:pPr>
            <w:r>
              <w:rPr>
                <w:spacing w:val="-1"/>
              </w:rPr>
              <w:t>4.26%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6" w:line="219" w:lineRule="auto"/>
              <w:ind w:left="121"/>
            </w:pPr>
            <w:r>
              <w:rPr>
                <w:spacing w:val="-2"/>
              </w:rPr>
              <w:t>公益慈善活动等社会贡献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3" w:line="183" w:lineRule="auto"/>
              <w:ind w:left="662"/>
            </w:pPr>
            <w:r>
              <w:rPr>
                <w:spacing w:val="-2"/>
              </w:rPr>
              <w:t>2361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4" w:line="182" w:lineRule="auto"/>
              <w:ind w:left="450"/>
            </w:pPr>
            <w:r>
              <w:rPr>
                <w:spacing w:val="-1"/>
              </w:rPr>
              <w:t>83.78%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2" w:lineRule="auto"/>
              <w:ind w:left="664"/>
            </w:pPr>
            <w:r>
              <w:rPr>
                <w:spacing w:val="-2"/>
              </w:rPr>
              <w:t>2432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4" w:line="182" w:lineRule="auto"/>
              <w:ind w:left="452"/>
            </w:pPr>
            <w:r>
              <w:rPr>
                <w:spacing w:val="-1"/>
              </w:rPr>
              <w:t>86.30%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6"/>
        </w:trPr>
        <w:tc>
          <w:tcPr>
            <w:tcW w:w="112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6" w:line="219" w:lineRule="auto"/>
              <w:ind w:left="116"/>
            </w:pPr>
            <w:r>
              <w:rPr>
                <w:spacing w:val="-2"/>
              </w:rPr>
              <w:t>服务乡村振兴的情况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5" w:line="182" w:lineRule="auto"/>
              <w:ind w:left="766"/>
            </w:pPr>
            <w:r>
              <w:rPr>
                <w:spacing w:val="-2"/>
              </w:rPr>
              <w:t>826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4" w:line="183" w:lineRule="auto"/>
              <w:ind w:left="451"/>
            </w:pPr>
            <w:r>
              <w:rPr>
                <w:spacing w:val="-2"/>
              </w:rPr>
              <w:t>29.31%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3" w:lineRule="auto"/>
              <w:ind w:left="772"/>
            </w:pPr>
            <w:r>
              <w:rPr>
                <w:spacing w:val="-3"/>
              </w:rPr>
              <w:t>713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5" w:line="182" w:lineRule="auto"/>
              <w:ind w:left="453"/>
            </w:pPr>
            <w:r>
              <w:rPr>
                <w:spacing w:val="-2"/>
              </w:rPr>
              <w:t>25.30%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17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20" w:line="226" w:lineRule="auto"/>
              <w:ind w:left="367"/>
            </w:pPr>
            <w:r>
              <w:rPr>
                <w:spacing w:val="-4"/>
              </w:rPr>
              <w:t>治理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7" w:line="219" w:lineRule="auto"/>
              <w:ind w:left="120"/>
            </w:pPr>
            <w:r>
              <w:rPr>
                <w:spacing w:val="-2"/>
              </w:rPr>
              <w:t>可持续发展相关治理机制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6" w:line="182" w:lineRule="auto"/>
              <w:ind w:left="765"/>
            </w:pPr>
            <w:r>
              <w:rPr>
                <w:spacing w:val="-2"/>
              </w:rPr>
              <w:t>483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5" w:line="183" w:lineRule="auto"/>
              <w:ind w:left="465"/>
            </w:pPr>
            <w:r>
              <w:rPr>
                <w:spacing w:val="-4"/>
              </w:rPr>
              <w:t>17.14%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4" w:line="183" w:lineRule="auto"/>
              <w:ind w:left="769"/>
            </w:pPr>
            <w:r>
              <w:rPr>
                <w:spacing w:val="-2"/>
              </w:rPr>
              <w:t>641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6" w:line="182" w:lineRule="auto"/>
              <w:ind w:left="453"/>
            </w:pPr>
            <w:r>
              <w:rPr>
                <w:spacing w:val="-2"/>
              </w:rPr>
              <w:t>22.75%</w:t>
            </w:r>
          </w:p>
        </w:tc>
      </w:tr>
      <w:tr>
        <w:tblPrEx>
          <w:tblW w:w="9416" w:type="dxa"/>
          <w:tblInd w:w="2" w:type="dxa"/>
          <w:tblLayout w:type="fixed"/>
        </w:tblPrEx>
        <w:trPr>
          <w:trHeight w:val="324"/>
        </w:trPr>
        <w:tc>
          <w:tcPr>
            <w:tcW w:w="112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>
            <w:pPr>
              <w:pStyle w:val="TableText"/>
              <w:spacing w:before="59" w:line="221" w:lineRule="auto"/>
              <w:ind w:left="131"/>
            </w:pPr>
            <w:r>
              <w:rPr>
                <w:spacing w:val="-2"/>
              </w:rPr>
              <w:t>防范商业贿赂与不正当竞争的措施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8" w:line="182" w:lineRule="auto"/>
              <w:ind w:left="767"/>
            </w:pPr>
            <w:r>
              <w:rPr>
                <w:spacing w:val="-2"/>
              </w:rPr>
              <w:t>684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spacing w:before="98" w:line="182" w:lineRule="auto"/>
              <w:ind w:left="451"/>
            </w:pPr>
            <w:r>
              <w:rPr>
                <w:spacing w:val="-2"/>
              </w:rPr>
              <w:t>24.27%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spacing w:before="98" w:line="182" w:lineRule="auto"/>
              <w:ind w:left="768"/>
            </w:pPr>
            <w:r>
              <w:rPr>
                <w:spacing w:val="-2"/>
              </w:rPr>
              <w:t>902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spacing w:before="97" w:line="183" w:lineRule="auto"/>
              <w:ind w:left="455"/>
            </w:pPr>
            <w:r>
              <w:rPr>
                <w:spacing w:val="-2"/>
              </w:rPr>
              <w:t>32.01%</w:t>
            </w:r>
          </w:p>
        </w:tc>
      </w:tr>
    </w:tbl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BodyText"/>
        <w:spacing w:before="101" w:line="559" w:lineRule="exact"/>
        <w:ind w:left="1215"/>
      </w:pPr>
      <w:r>
        <w:rPr>
          <w:spacing w:val="4"/>
          <w:position w:val="18"/>
        </w:rPr>
        <w:t>二、2022</w:t>
      </w:r>
      <w:r>
        <w:rPr>
          <w:spacing w:val="-53"/>
          <w:position w:val="18"/>
        </w:rPr>
        <w:t xml:space="preserve"> </w:t>
      </w:r>
      <w:r>
        <w:rPr>
          <w:spacing w:val="4"/>
          <w:position w:val="18"/>
        </w:rPr>
        <w:t>年度深市上市公司可持续发展信息披露优秀案</w:t>
      </w:r>
    </w:p>
    <w:p>
      <w:pPr>
        <w:pStyle w:val="BodyText"/>
        <w:spacing w:line="226" w:lineRule="auto"/>
        <w:ind w:left="567"/>
      </w:pPr>
      <w:r>
        <w:t>例</w:t>
      </w: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https://d.book118.com/638032111037006025</w:t>
        </w:r>
      </w:hyperlink>
    </w:p>
    <w:p>
      <w:pPr>
        <w:pStyle w:val="BodyText"/>
        <w:spacing w:line="226" w:lineRule="auto"/>
        <w:ind w:left="567"/>
      </w:pPr>
    </w:p>
    <w:sectPr>
      <w:footerReference w:type="default" r:id="rId15"/>
      <w:pgSz w:w="11907" w:h="16839"/>
      <w:pgMar w:top="1431" w:right="1241" w:bottom="1845" w:left="1243" w:header="0" w:footer="1685" w:gutter="0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2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1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85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2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0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0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0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0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40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40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1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NSimSun" w:eastAsia="NSimSun" w:hAnsi="NSimSun" w:cs="NSimSun"/>
      <w:sz w:val="31"/>
      <w:szCs w:val="3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NSimSun" w:eastAsia="NSimSun" w:hAnsi="NSimSun" w:cs="NSimSun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hyperlink" Target="https://d.book118.com/638032111037006025" TargetMode="External" /><Relationship Id="rId15" Type="http://schemas.openxmlformats.org/officeDocument/2006/relationships/footer" Target="footer1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2024-01-11T17:42:51Z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2024-01-11T17:50:20Z</vt:filetime>
  </property>
  <property fmtid="{D5CDD505-2E9C-101B-9397-08002B2CF9AE}" pid="3" name="CRO">
    <vt:lpwstr>wqlLaW5nc29mdCBQREYgdG8gV1BTIDkw</vt:lpwstr>
  </property>
</Properties>
</file>