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E1068" w:rsidP="00CE1068" w14:paraId="0703EEB9" w14:textId="77777777">
      <w:pPr>
        <w:spacing w:before="48" w:beforeLines="20" w:after="360" w:afterLines="150" w:line="360" w:lineRule="auto"/>
        <w:jc w:val="center"/>
        <w:rPr>
          <w:rFonts w:ascii="华文中宋" w:eastAsia="华文中宋" w:hAnsi="华文中宋"/>
          <w:b/>
          <w:sz w:val="30"/>
        </w:rPr>
      </w:pPr>
      <w:r w:rsidRPr="00CE1068">
        <w:rPr>
          <w:rFonts w:ascii="华文中宋" w:eastAsia="华文中宋" w:hAnsi="华文中宋"/>
          <w:b/>
          <w:sz w:val="30"/>
        </w:rPr>
        <w:t>2023</w:t>
      </w:r>
      <w:r w:rsidRPr="00CE1068">
        <w:rPr>
          <w:rFonts w:ascii="华文中宋" w:eastAsia="华文中宋" w:hAnsi="华文中宋"/>
          <w:b/>
          <w:sz w:val="30"/>
        </w:rPr>
        <w:t>湖南长沙市退役军人事务局所属事业单位选调</w:t>
      </w:r>
      <w:r w:rsidRPr="00CE1068">
        <w:rPr>
          <w:rFonts w:ascii="华文中宋" w:eastAsia="华文中宋" w:hAnsi="华文中宋"/>
          <w:b/>
          <w:sz w:val="30"/>
        </w:rPr>
        <w:t>1</w:t>
      </w:r>
      <w:r w:rsidRPr="00CE1068">
        <w:rPr>
          <w:rFonts w:ascii="华文中宋" w:eastAsia="华文中宋" w:hAnsi="华文中宋"/>
          <w:b/>
          <w:sz w:val="30"/>
        </w:rPr>
        <w:t>人笔试备考题库及答案解析</w:t>
      </w:r>
    </w:p>
    <w:p w:rsidR="00A77B3E" w14:paraId="3CE9DA9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273B336" w14:textId="77777777">
      <w:pPr>
        <w:spacing w:after="260" w:line="360" w:lineRule="auto"/>
      </w:pPr>
      <w:r>
        <w:rPr>
          <w:rFonts w:ascii="微软雅黑" w:eastAsia="微软雅黑" w:cs="微软雅黑"/>
        </w:rPr>
        <w:t>一、选择题</w:t>
      </w:r>
    </w:p>
    <w:p w:rsidR="0030475A" w14:paraId="5BAF0F15" w14:textId="77777777">
      <w:pPr>
        <w:pStyle w:val="NormalWeb"/>
        <w:widowControl/>
        <w:spacing w:beforeAutospacing="0" w:after="260" w:afterAutospacing="0" w:line="360" w:lineRule="auto"/>
      </w:pPr>
      <w:r w:rsidRPr="0030475A">
        <w:rPr>
          <w:rFonts w:ascii="微软雅黑" w:eastAsia="微软雅黑" w:cs="微软雅黑"/>
          <w:color w:val="0000FF"/>
          <w:szCs w:val="14"/>
        </w:rPr>
        <w:t>1</w:t>
      </w:r>
      <w:r w:rsidRPr="0030475A">
        <w:rPr>
          <w:rFonts w:ascii="微软雅黑" w:eastAsia="微软雅黑" w:cs="微软雅黑"/>
          <w:color w:val="0000FF"/>
          <w:szCs w:val="14"/>
        </w:rPr>
        <w:t>．</w:t>
      </w:r>
      <w:r w:rsidRPr="0030475A">
        <w:rPr>
          <w:rFonts w:ascii="微软雅黑" w:eastAsia="微软雅黑" w:cs="微软雅黑"/>
          <w:szCs w:val="14"/>
        </w:rPr>
        <w:t>同一种社会制度总的量变过程中的质变，不改变社会制度的根本性质的现象是</w:t>
      </w:r>
      <w:r w:rsidRPr="0030475A">
        <w:rPr>
          <w:rFonts w:ascii="微软雅黑" w:eastAsia="微软雅黑" w:cs="微软雅黑"/>
          <w:szCs w:val="14"/>
        </w:rPr>
        <w:t>()</w:t>
      </w:r>
      <w:r w:rsidRPr="0030475A">
        <w:rPr>
          <w:rFonts w:ascii="微软雅黑" w:eastAsia="微软雅黑" w:cs="微软雅黑"/>
          <w:szCs w:val="14"/>
        </w:rPr>
        <w:t>。</w:t>
      </w:r>
    </w:p>
    <w:p w:rsidR="0030475A" w14:paraId="65E28B31"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、阶级斗争</w:t>
      </w:r>
    </w:p>
    <w:p w:rsidR="0030475A" w14:paraId="3F02CC97"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、社会革命</w:t>
      </w:r>
    </w:p>
    <w:p w:rsidR="0030475A" w14:paraId="696F8502"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、社会改革</w:t>
      </w:r>
    </w:p>
    <w:p w:rsidR="0030475A" w14:paraId="764E9ADB"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、暴力革命</w:t>
      </w:r>
    </w:p>
    <w:p w:rsidR="0030475A" w14:paraId="4097AA6F"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15724D4D"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本题考查的知识点为社会革命和社会改革的区分。社会革命是社会制度的根本质变，是用新的社会形态代替旧的社会形态</w:t>
      </w:r>
      <w:r w:rsidRPr="0030475A">
        <w:rPr>
          <w:rFonts w:ascii="微软雅黑" w:eastAsia="微软雅黑" w:cs="微软雅黑"/>
          <w:szCs w:val="14"/>
        </w:rPr>
        <w:t>;</w:t>
      </w:r>
      <w:r w:rsidRPr="0030475A">
        <w:rPr>
          <w:rFonts w:ascii="微软雅黑" w:eastAsia="微软雅黑" w:cs="微软雅黑"/>
          <w:szCs w:val="14"/>
        </w:rPr>
        <w:t>社会改革是同一社会制度</w:t>
      </w:r>
      <w:r w:rsidRPr="0030475A">
        <w:rPr>
          <w:rFonts w:ascii="微软雅黑" w:eastAsia="微软雅黑" w:cs="微软雅黑"/>
          <w:szCs w:val="14"/>
        </w:rPr>
        <w:t>(</w:t>
      </w:r>
      <w:r w:rsidRPr="0030475A">
        <w:rPr>
          <w:rFonts w:ascii="微软雅黑" w:eastAsia="微软雅黑" w:cs="微软雅黑"/>
          <w:szCs w:val="14"/>
        </w:rPr>
        <w:t>社会形态</w:t>
      </w:r>
      <w:r w:rsidRPr="0030475A">
        <w:rPr>
          <w:rFonts w:ascii="微软雅黑" w:eastAsia="微软雅黑" w:cs="微软雅黑"/>
          <w:szCs w:val="14"/>
        </w:rPr>
        <w:t>)</w:t>
      </w:r>
      <w:r w:rsidRPr="0030475A">
        <w:rPr>
          <w:rFonts w:ascii="微软雅黑" w:eastAsia="微软雅黑" w:cs="微软雅黑"/>
          <w:szCs w:val="14"/>
        </w:rPr>
        <w:t>总的量变过程中的部分质变，不改变社会制度的根本性质。二者的区分在于是否改变社会制度的根本性质。选项</w:t>
      </w:r>
      <w:r w:rsidRPr="0030475A">
        <w:rPr>
          <w:rFonts w:ascii="微软雅黑" w:eastAsia="微软雅黑" w:cs="微软雅黑"/>
          <w:szCs w:val="14"/>
        </w:rPr>
        <w:t>A</w:t>
      </w:r>
      <w:r w:rsidRPr="0030475A">
        <w:rPr>
          <w:rFonts w:ascii="微软雅黑" w:eastAsia="微软雅黑" w:cs="微软雅黑"/>
          <w:szCs w:val="14"/>
        </w:rPr>
        <w:t>、</w:t>
      </w:r>
      <w:r w:rsidRPr="0030475A">
        <w:rPr>
          <w:rFonts w:ascii="微软雅黑" w:eastAsia="微软雅黑" w:cs="微软雅黑"/>
          <w:szCs w:val="14"/>
        </w:rPr>
        <w:t>D</w:t>
      </w:r>
      <w:r w:rsidRPr="0030475A">
        <w:rPr>
          <w:rFonts w:ascii="微软雅黑" w:eastAsia="微软雅黑" w:cs="微软雅黑"/>
          <w:szCs w:val="14"/>
        </w:rPr>
        <w:t>为无关干扰项，应排除。故选</w:t>
      </w:r>
      <w:r w:rsidRPr="0030475A">
        <w:rPr>
          <w:rFonts w:ascii="微软雅黑" w:eastAsia="微软雅黑" w:cs="微软雅黑"/>
          <w:szCs w:val="14"/>
        </w:rPr>
        <w:t>C</w:t>
      </w:r>
      <w:r w:rsidRPr="0030475A">
        <w:rPr>
          <w:rFonts w:ascii="微软雅黑" w:eastAsia="微软雅黑" w:cs="微软雅黑"/>
          <w:szCs w:val="14"/>
        </w:rPr>
        <w:t>。</w:t>
      </w:r>
    </w:p>
    <w:p w:rsidR="0030475A" w14:paraId="5D0C48CE" w14:textId="77777777">
      <w:pPr>
        <w:pStyle w:val="NormalWeb"/>
        <w:widowControl/>
        <w:spacing w:beforeAutospacing="0" w:after="260" w:afterAutospacing="0" w:line="360" w:lineRule="auto"/>
      </w:pPr>
      <w:r w:rsidRPr="0030475A">
        <w:rPr>
          <w:rFonts w:ascii="微软雅黑" w:eastAsia="微软雅黑" w:cs="微软雅黑"/>
          <w:color w:val="0000FF"/>
          <w:szCs w:val="14"/>
        </w:rPr>
        <w:t>2</w:t>
      </w:r>
      <w:r w:rsidRPr="0030475A">
        <w:rPr>
          <w:rFonts w:ascii="微软雅黑" w:eastAsia="微软雅黑" w:cs="微软雅黑"/>
          <w:color w:val="0000FF"/>
          <w:szCs w:val="14"/>
        </w:rPr>
        <w:t>．</w:t>
      </w:r>
      <w:r w:rsidRPr="0030475A">
        <w:rPr>
          <w:rFonts w:ascii="微软雅黑" w:eastAsia="微软雅黑" w:cs="微软雅黑"/>
          <w:szCs w:val="14"/>
        </w:rPr>
        <w:t>判断一台显示器优劣必须注意的一些问题中，下面的指标不在判断之列的是</w:t>
      </w:r>
      <w:r w:rsidRPr="0030475A">
        <w:rPr>
          <w:rFonts w:ascii="微软雅黑" w:eastAsia="微软雅黑" w:cs="微软雅黑"/>
          <w:szCs w:val="14"/>
        </w:rPr>
        <w:t>()</w:t>
      </w:r>
      <w:r w:rsidRPr="0030475A">
        <w:rPr>
          <w:rFonts w:ascii="微软雅黑" w:eastAsia="微软雅黑" w:cs="微软雅黑"/>
          <w:szCs w:val="14"/>
        </w:rPr>
        <w:t>。</w:t>
      </w:r>
    </w:p>
    <w:p w:rsidR="0030475A" w14:paraId="3B51EBC4"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、水波纹</w:t>
      </w:r>
    </w:p>
    <w:p w:rsidR="0030475A" w14:paraId="50CE8B6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0475A">
        <w:rPr>
          <w:rFonts w:ascii="微软雅黑" w:eastAsia="微软雅黑" w:cs="微软雅黑"/>
          <w:szCs w:val="14"/>
        </w:rPr>
        <w:t>B</w:t>
      </w:r>
      <w:r w:rsidRPr="0030475A">
        <w:rPr>
          <w:rFonts w:ascii="微软雅黑" w:eastAsia="微软雅黑" w:cs="微软雅黑"/>
          <w:szCs w:val="14"/>
        </w:rPr>
        <w:t>、会聚</w:t>
      </w:r>
    </w:p>
    <w:p w:rsidR="0030475A" w14:paraId="1EC5E587"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、色彩均匀性</w:t>
      </w:r>
    </w:p>
    <w:p w:rsidR="0030475A" w14:paraId="290324FD"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、手感</w:t>
      </w:r>
    </w:p>
    <w:p w:rsidR="0030475A" w14:paraId="78AED98B"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66DCAF51"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手感不是判断一台显示器优劣的指标。故选</w:t>
      </w:r>
      <w:r w:rsidRPr="0030475A">
        <w:rPr>
          <w:rFonts w:ascii="微软雅黑" w:eastAsia="微软雅黑" w:cs="微软雅黑"/>
          <w:szCs w:val="14"/>
        </w:rPr>
        <w:t>D</w:t>
      </w:r>
      <w:r w:rsidRPr="0030475A">
        <w:rPr>
          <w:rFonts w:ascii="微软雅黑" w:eastAsia="微软雅黑" w:cs="微软雅黑"/>
          <w:szCs w:val="14"/>
        </w:rPr>
        <w:t>。</w:t>
      </w:r>
    </w:p>
    <w:p w:rsidR="0030475A" w14:paraId="3B3EA026" w14:textId="77777777">
      <w:pPr>
        <w:pStyle w:val="NormalWeb"/>
        <w:widowControl/>
        <w:spacing w:beforeAutospacing="0" w:after="260" w:afterAutospacing="0" w:line="360" w:lineRule="auto"/>
      </w:pPr>
      <w:r w:rsidRPr="0030475A">
        <w:rPr>
          <w:rFonts w:ascii="微软雅黑" w:eastAsia="微软雅黑" w:cs="微软雅黑"/>
          <w:color w:val="0000FF"/>
          <w:szCs w:val="14"/>
        </w:rPr>
        <w:t>3</w:t>
      </w:r>
      <w:r w:rsidRPr="0030475A">
        <w:rPr>
          <w:rFonts w:ascii="微软雅黑" w:eastAsia="微软雅黑" w:cs="微软雅黑"/>
          <w:color w:val="0000FF"/>
          <w:szCs w:val="14"/>
        </w:rPr>
        <w:t>．</w:t>
      </w:r>
      <w:r w:rsidRPr="0030475A">
        <w:rPr>
          <w:rFonts w:ascii="微软雅黑" w:eastAsia="微软雅黑" w:cs="微软雅黑"/>
          <w:szCs w:val="14"/>
        </w:rPr>
        <w:t>保护计算机知识产权的目的是</w:t>
      </w:r>
      <w:r w:rsidRPr="0030475A">
        <w:rPr>
          <w:rFonts w:ascii="微软雅黑" w:eastAsia="微软雅黑" w:cs="微软雅黑"/>
          <w:szCs w:val="14"/>
        </w:rPr>
        <w:t>()</w:t>
      </w:r>
      <w:r w:rsidRPr="0030475A">
        <w:rPr>
          <w:rFonts w:ascii="微软雅黑" w:eastAsia="微软雅黑" w:cs="微软雅黑"/>
          <w:szCs w:val="14"/>
        </w:rPr>
        <w:t>。</w:t>
      </w:r>
    </w:p>
    <w:p w:rsidR="0030475A" w14:paraId="6C92B6F5"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、为了鼓励软件开发和交流</w:t>
      </w:r>
    </w:p>
    <w:p w:rsidR="0030475A" w14:paraId="5381B716"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、促进计算机应用的健康发展</w:t>
      </w:r>
    </w:p>
    <w:p w:rsidR="0030475A" w14:paraId="325997FE"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、引起人们和社会的重视</w:t>
      </w:r>
    </w:p>
    <w:p w:rsidR="0030475A" w14:paraId="3228AC50"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、以上皆是</w:t>
      </w:r>
    </w:p>
    <w:p w:rsidR="0030475A" w14:paraId="5D674603"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5DF5CFD5"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以上三项都是计算机知识产权保护的目的。故选</w:t>
      </w:r>
      <w:r w:rsidRPr="0030475A">
        <w:rPr>
          <w:rFonts w:ascii="微软雅黑" w:eastAsia="微软雅黑" w:cs="微软雅黑"/>
          <w:szCs w:val="14"/>
        </w:rPr>
        <w:t>D</w:t>
      </w:r>
      <w:r w:rsidRPr="0030475A">
        <w:rPr>
          <w:rFonts w:ascii="微软雅黑" w:eastAsia="微软雅黑" w:cs="微软雅黑"/>
          <w:szCs w:val="14"/>
        </w:rPr>
        <w:t>。</w:t>
      </w:r>
    </w:p>
    <w:p w:rsidR="0030475A" w14:paraId="3A330A0D" w14:textId="77777777">
      <w:pPr>
        <w:pStyle w:val="NormalWeb"/>
        <w:widowControl/>
        <w:spacing w:beforeAutospacing="0" w:after="260" w:afterAutospacing="0" w:line="360" w:lineRule="auto"/>
      </w:pPr>
      <w:r w:rsidRPr="0030475A">
        <w:rPr>
          <w:rFonts w:ascii="微软雅黑" w:eastAsia="微软雅黑" w:cs="微软雅黑"/>
          <w:color w:val="0000FF"/>
          <w:szCs w:val="14"/>
        </w:rPr>
        <w:t>4</w:t>
      </w:r>
      <w:r w:rsidRPr="0030475A">
        <w:rPr>
          <w:rFonts w:ascii="微软雅黑" w:eastAsia="微软雅黑" w:cs="微软雅黑"/>
          <w:color w:val="0000FF"/>
          <w:szCs w:val="14"/>
        </w:rPr>
        <w:t>．</w:t>
      </w:r>
      <w:r w:rsidRPr="0030475A">
        <w:rPr>
          <w:rFonts w:ascii="微软雅黑" w:eastAsia="微软雅黑" w:cs="微软雅黑"/>
          <w:szCs w:val="14"/>
        </w:rPr>
        <w:t>为了减少计算机病毒对计算机系统的破坏，应</w:t>
      </w:r>
      <w:r w:rsidRPr="0030475A">
        <w:rPr>
          <w:rFonts w:ascii="微软雅黑" w:eastAsia="微软雅黑" w:cs="微软雅黑"/>
          <w:szCs w:val="14"/>
        </w:rPr>
        <w:t>()</w:t>
      </w:r>
      <w:r w:rsidRPr="0030475A">
        <w:rPr>
          <w:rFonts w:ascii="微软雅黑" w:eastAsia="微软雅黑" w:cs="微软雅黑"/>
          <w:szCs w:val="14"/>
        </w:rPr>
        <w:t>。</w:t>
      </w:r>
    </w:p>
    <w:p w:rsidR="0030475A" w14:paraId="53156F3C"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、不运行来历不明的软件</w:t>
      </w:r>
    </w:p>
    <w:p w:rsidR="0030475A" w14:paraId="78593AD1"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、尽可能用软盘启动计算机</w:t>
      </w:r>
    </w:p>
    <w:p w:rsidR="0030475A" w14:paraId="123264F5"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、把用户程序和数据写到系统盘上</w:t>
      </w:r>
    </w:p>
    <w:p w:rsidR="0030475A" w14:paraId="3257B663"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、使用来历不明的光盘</w:t>
      </w:r>
    </w:p>
    <w:p w:rsidR="0030475A" w14:paraId="69FCD452"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0475A">
        <w:rPr>
          <w:rFonts w:ascii="微软雅黑" w:eastAsia="微软雅黑" w:cs="微软雅黑"/>
          <w:color w:val="228B22"/>
          <w:szCs w:val="14"/>
        </w:rPr>
        <w:t>答案：</w:t>
      </w:r>
      <w:r w:rsidRPr="0030475A">
        <w:rPr>
          <w:rFonts w:ascii="微软雅黑" w:eastAsia="微软雅黑" w:cs="微软雅黑"/>
          <w:szCs w:val="14"/>
        </w:rPr>
        <w:t>A</w:t>
      </w:r>
    </w:p>
    <w:p w:rsidR="0030475A" w14:paraId="236A3E42"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不运行来历不明的软件可以减少计算机病毒对计算机系统的破坏。故选</w:t>
      </w:r>
      <w:r w:rsidRPr="0030475A">
        <w:rPr>
          <w:rFonts w:ascii="微软雅黑" w:eastAsia="微软雅黑" w:cs="微软雅黑"/>
          <w:szCs w:val="14"/>
        </w:rPr>
        <w:t>A</w:t>
      </w:r>
      <w:r w:rsidRPr="0030475A">
        <w:rPr>
          <w:rFonts w:ascii="微软雅黑" w:eastAsia="微软雅黑" w:cs="微软雅黑"/>
          <w:szCs w:val="14"/>
        </w:rPr>
        <w:t>。</w:t>
      </w:r>
    </w:p>
    <w:p w:rsidR="0030475A" w14:paraId="3DE3361B" w14:textId="77777777">
      <w:pPr>
        <w:pStyle w:val="NormalWeb"/>
        <w:widowControl/>
        <w:spacing w:beforeAutospacing="0" w:after="260" w:afterAutospacing="0" w:line="360" w:lineRule="auto"/>
      </w:pPr>
      <w:r w:rsidRPr="0030475A">
        <w:rPr>
          <w:rFonts w:ascii="微软雅黑" w:eastAsia="微软雅黑" w:cs="微软雅黑"/>
          <w:color w:val="0000FF"/>
          <w:szCs w:val="14"/>
        </w:rPr>
        <w:t>5</w:t>
      </w:r>
      <w:r w:rsidRPr="0030475A">
        <w:rPr>
          <w:rFonts w:ascii="微软雅黑" w:eastAsia="微软雅黑" w:cs="微软雅黑"/>
          <w:color w:val="0000FF"/>
          <w:szCs w:val="14"/>
        </w:rPr>
        <w:t>．</w:t>
      </w:r>
      <w:r w:rsidRPr="0030475A">
        <w:rPr>
          <w:rFonts w:ascii="微软雅黑" w:eastAsia="微软雅黑" w:cs="微软雅黑"/>
          <w:szCs w:val="14"/>
        </w:rPr>
        <w:t>根据管理的不同层次，可将管理活动划分为</w:t>
      </w:r>
      <w:r w:rsidRPr="0030475A">
        <w:rPr>
          <w:rFonts w:ascii="微软雅黑" w:eastAsia="微软雅黑" w:cs="微软雅黑"/>
          <w:szCs w:val="14"/>
        </w:rPr>
        <w:t>()</w:t>
      </w:r>
      <w:r w:rsidRPr="0030475A">
        <w:rPr>
          <w:rFonts w:ascii="微软雅黑" w:eastAsia="微软雅黑" w:cs="微软雅黑"/>
          <w:szCs w:val="14"/>
        </w:rPr>
        <w:t>。</w:t>
      </w:r>
    </w:p>
    <w:p w:rsidR="0030475A" w14:paraId="509F7243"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、公共管理和企业管理</w:t>
      </w:r>
    </w:p>
    <w:p w:rsidR="0030475A" w14:paraId="0FEF66FC"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、目标管理、过程管理和结果管理</w:t>
      </w:r>
    </w:p>
    <w:p w:rsidR="0030475A" w14:paraId="6E4E8193"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、人本管理和非人本管理</w:t>
      </w:r>
    </w:p>
    <w:p w:rsidR="0030475A" w14:paraId="54CDCECD"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、宏观管理和微观管理</w:t>
      </w:r>
    </w:p>
    <w:p w:rsidR="0030475A" w14:paraId="7683659C"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29DE1B64"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根据公共领域和非公共领域管理活动可分为公共管理和企业管理</w:t>
      </w:r>
      <w:r w:rsidRPr="0030475A">
        <w:rPr>
          <w:rFonts w:ascii="微软雅黑" w:eastAsia="微软雅黑" w:cs="微软雅黑"/>
          <w:szCs w:val="14"/>
        </w:rPr>
        <w:t>;</w:t>
      </w:r>
      <w:r w:rsidRPr="0030475A">
        <w:rPr>
          <w:rFonts w:ascii="微软雅黑" w:eastAsia="微软雅黑" w:cs="微软雅黑"/>
          <w:szCs w:val="14"/>
        </w:rPr>
        <w:t>根据对管理过程中不同环节的重视和运用管理活动可分为目标管理、过程管理和结果管理</w:t>
      </w:r>
      <w:r w:rsidRPr="0030475A">
        <w:rPr>
          <w:rFonts w:ascii="微软雅黑" w:eastAsia="微软雅黑" w:cs="微软雅黑"/>
          <w:szCs w:val="14"/>
        </w:rPr>
        <w:t>;</w:t>
      </w:r>
      <w:r w:rsidRPr="0030475A">
        <w:rPr>
          <w:rFonts w:ascii="微软雅黑" w:eastAsia="微软雅黑" w:cs="微软雅黑"/>
          <w:szCs w:val="14"/>
        </w:rPr>
        <w:t>根据管理者对被管理者的态度管理活动可分为人本管理和非人本管理</w:t>
      </w:r>
      <w:r w:rsidRPr="0030475A">
        <w:rPr>
          <w:rFonts w:ascii="微软雅黑" w:eastAsia="微软雅黑" w:cs="微软雅黑"/>
          <w:szCs w:val="14"/>
        </w:rPr>
        <w:t>;</w:t>
      </w:r>
      <w:r w:rsidRPr="0030475A">
        <w:rPr>
          <w:rFonts w:ascii="微软雅黑" w:eastAsia="微软雅黑" w:cs="微软雅黑"/>
          <w:szCs w:val="14"/>
        </w:rPr>
        <w:t>根据管理的不同层次管理活动可分为宏观管理和微观管理。故选</w:t>
      </w:r>
      <w:r w:rsidRPr="0030475A">
        <w:rPr>
          <w:rFonts w:ascii="微软雅黑" w:eastAsia="微软雅黑" w:cs="微软雅黑"/>
          <w:szCs w:val="14"/>
        </w:rPr>
        <w:t>D</w:t>
      </w:r>
      <w:r w:rsidRPr="0030475A">
        <w:rPr>
          <w:rFonts w:ascii="微软雅黑" w:eastAsia="微软雅黑" w:cs="微软雅黑"/>
          <w:szCs w:val="14"/>
        </w:rPr>
        <w:t>。</w:t>
      </w:r>
    </w:p>
    <w:p w:rsidR="0030475A" w14:paraId="48CD9FC6" w14:textId="77777777">
      <w:pPr>
        <w:pStyle w:val="NormalWeb"/>
        <w:widowControl/>
        <w:spacing w:beforeAutospacing="0" w:after="260" w:afterAutospacing="0" w:line="360" w:lineRule="auto"/>
      </w:pPr>
      <w:r w:rsidRPr="0030475A">
        <w:rPr>
          <w:rFonts w:ascii="微软雅黑" w:eastAsia="微软雅黑" w:cs="微软雅黑"/>
          <w:color w:val="0000FF"/>
          <w:szCs w:val="14"/>
        </w:rPr>
        <w:t>6</w:t>
      </w:r>
      <w:r w:rsidRPr="0030475A">
        <w:rPr>
          <w:rFonts w:ascii="微软雅黑" w:eastAsia="微软雅黑" w:cs="微软雅黑"/>
          <w:color w:val="0000FF"/>
          <w:szCs w:val="14"/>
        </w:rPr>
        <w:t>．</w:t>
      </w:r>
      <w:r w:rsidRPr="0030475A">
        <w:rPr>
          <w:rFonts w:ascii="微软雅黑" w:eastAsia="微软雅黑" w:cs="微软雅黑"/>
          <w:szCs w:val="14"/>
        </w:rPr>
        <w:t>“</w:t>
      </w:r>
      <w:r w:rsidRPr="0030475A">
        <w:rPr>
          <w:rFonts w:ascii="微软雅黑" w:eastAsia="微软雅黑" w:cs="微软雅黑"/>
          <w:szCs w:val="14"/>
        </w:rPr>
        <w:t>构成中国的内聚性的又一重要因素是，存在着一种可追溯到数千年前古老的商朝的书面语。</w:t>
      </w:r>
      <w:r w:rsidRPr="0030475A">
        <w:rPr>
          <w:rFonts w:ascii="微软雅黑" w:eastAsia="微软雅黑" w:cs="微软雅黑"/>
          <w:szCs w:val="14"/>
        </w:rPr>
        <w:t>”“</w:t>
      </w:r>
      <w:r w:rsidRPr="0030475A">
        <w:rPr>
          <w:rFonts w:ascii="微软雅黑" w:eastAsia="微软雅黑" w:cs="微软雅黑"/>
          <w:szCs w:val="14"/>
        </w:rPr>
        <w:t>商朝的书面语</w:t>
      </w:r>
      <w:r w:rsidRPr="0030475A">
        <w:rPr>
          <w:rFonts w:ascii="微软雅黑" w:eastAsia="微软雅黑" w:cs="微软雅黑"/>
          <w:szCs w:val="14"/>
        </w:rPr>
        <w:t>”</w:t>
      </w:r>
      <w:r w:rsidRPr="0030475A">
        <w:rPr>
          <w:rFonts w:ascii="微软雅黑" w:eastAsia="微软雅黑" w:cs="微软雅黑"/>
          <w:szCs w:val="14"/>
        </w:rPr>
        <w:t>指的是</w:t>
      </w:r>
      <w:r w:rsidRPr="0030475A">
        <w:rPr>
          <w:rFonts w:ascii="微软雅黑" w:eastAsia="微软雅黑" w:cs="微软雅黑"/>
          <w:szCs w:val="14"/>
        </w:rPr>
        <w:t>()</w:t>
      </w:r>
      <w:r w:rsidRPr="0030475A">
        <w:rPr>
          <w:rFonts w:ascii="微软雅黑" w:eastAsia="微软雅黑" w:cs="微软雅黑"/>
          <w:szCs w:val="14"/>
        </w:rPr>
        <w:t>。</w:t>
      </w:r>
    </w:p>
    <w:p w:rsidR="0030475A" w14:paraId="13773D9C"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、甲骨文</w:t>
      </w:r>
    </w:p>
    <w:p w:rsidR="0030475A" w14:paraId="60833282"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、金文</w:t>
      </w:r>
    </w:p>
    <w:p w:rsidR="0030475A" w14:paraId="24357ED8"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、小篆</w:t>
      </w:r>
    </w:p>
    <w:p w:rsidR="0030475A" w14:paraId="334FE13D"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、隶书</w:t>
      </w:r>
    </w:p>
    <w:p w:rsidR="0030475A" w14:paraId="1A80A08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A</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https://d.book118.com/638047014044006032</w:t>
        </w:r>
      </w:hyperlink>
    </w:p>
    <w:p w:rsidR="0030475A">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rsidP="00683DD2" w14:paraId="19CC35D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1068" w14:paraId="1E5454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rsidP="00683DD2" w14:paraId="4A39FC07" w14:textId="2FC1803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E1068" w14:paraId="1E05178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paraId="654A48E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106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rsidP="00683DD2" w14:textId="2FC1803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E10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106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rsidP="00683DD2" w14:textId="2FC1803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E10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paraId="3B85AD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paraId="567DB44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paraId="6074D11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10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0475A"/>
    <w:rsid w:val="00683DD2"/>
    <w:rsid w:val="00A77B3E"/>
    <w:rsid w:val="00CA2A55"/>
    <w:rsid w:val="00CE10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0773EE2"/>
  <w15:docId w15:val="{F6103E6B-1B86-4A4C-83AD-33EA21A1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0475A"/>
    <w:pPr>
      <w:widowControl w:val="0"/>
      <w:spacing w:beforeAutospacing="1" w:afterAutospacing="1"/>
    </w:pPr>
    <w:rPr>
      <w:rFonts w:ascii="Calibri" w:eastAsia="宋体" w:hAnsi="Calibri"/>
    </w:rPr>
  </w:style>
  <w:style w:type="paragraph" w:styleId="Header">
    <w:name w:val="header"/>
    <w:basedOn w:val="Normal"/>
    <w:link w:val="a"/>
    <w:rsid w:val="00CE106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E1068"/>
    <w:rPr>
      <w:sz w:val="18"/>
      <w:szCs w:val="18"/>
    </w:rPr>
  </w:style>
  <w:style w:type="paragraph" w:styleId="Footer">
    <w:name w:val="footer"/>
    <w:basedOn w:val="Normal"/>
    <w:link w:val="a0"/>
    <w:rsid w:val="00CE1068"/>
    <w:pPr>
      <w:tabs>
        <w:tab w:val="center" w:pos="4153"/>
        <w:tab w:val="right" w:pos="8306"/>
      </w:tabs>
      <w:snapToGrid w:val="0"/>
    </w:pPr>
    <w:rPr>
      <w:sz w:val="18"/>
      <w:szCs w:val="18"/>
    </w:rPr>
  </w:style>
  <w:style w:type="character" w:customStyle="1" w:styleId="a0">
    <w:name w:val="页脚 字符"/>
    <w:basedOn w:val="DefaultParagraphFont"/>
    <w:link w:val="Footer"/>
    <w:rsid w:val="00CE1068"/>
    <w:rPr>
      <w:sz w:val="18"/>
      <w:szCs w:val="18"/>
    </w:rPr>
  </w:style>
  <w:style w:type="character" w:styleId="PageNumber">
    <w:name w:val="page number"/>
    <w:basedOn w:val="DefaultParagraphFont"/>
    <w:rsid w:val="00CE1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3804701404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2975</Words>
  <Characters>16963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2024-01-29T10:30:00Z</dcterms:created>
  <dcterms:modified xsi:type="dcterms:W3CDTF">2024-01-29T10:30:00Z</dcterms:modified>
</cp:coreProperties>
</file>