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60" w:after="260" w:line="240" w:lineRule="auto"/>
        <w:jc w:val="both"/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spacing w:before="60" w:after="260" w:line="240" w:lineRule="auto"/>
        <w:jc w:val="both"/>
        <w:rPr>
          <w:rFonts w:ascii="微软雅黑" w:eastAsia="微软雅黑" w:hAnsi="微软雅黑" w:cs="微软雅黑" w:hint="default"/>
          <w:b/>
          <w:bCs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ascii="微软雅黑" w:eastAsia="微软雅黑" w:hAnsi="微软雅黑" w:cs="微软雅黑" w:hint="eastAsia"/>
          <w:b/>
          <w:bCs/>
          <w:color w:val="000000" w:themeColor="text1"/>
          <w:sz w:val="52"/>
          <w:szCs w:val="52"/>
          <w:lang w:val="en-US" w:eastAsia="zh-CN"/>
          <w14:textFill>
            <w14:solidFill>
              <w14:schemeClr w14:val="tx1"/>
            </w14:solidFill>
          </w14:textFill>
        </w:rPr>
        <w:t>2024年扫描电镜行业分析报告及未来五到十年行业发展趋势报告</w:t>
      </w:r>
    </w:p>
    <w:p>
      <w:pPr>
        <w:sectPr>
          <w:pgSz w:w="11906" w:h="16838"/>
          <w:pgMar w:top="1134" w:right="1474" w:bottom="1134" w:left="1474" w:header="851" w:footer="992" w:gutter="0"/>
          <w:cols w:num="1" w:space="425"/>
          <w:docGrid w:type="lines" w:linePitch="312" w:charSpace="0"/>
        </w:sectPr>
      </w:pPr>
    </w:p>
    <w:p>
      <w:pPr>
        <w:pStyle w:val="TOC1"/>
        <w:tabs>
          <w:tab w:val="right" w:leader="dot" w:pos="8958"/>
        </w:tabs>
      </w:pPr>
      <w:r>
        <w:fldChar w:fldCharType="begin"/>
      </w:r>
      <w:r>
        <w:instrText xml:space="preserve">TOC \o "1-3" \h \u </w:instrText>
      </w:r>
      <w:r>
        <w:fldChar w:fldCharType="separate"/>
      </w:r>
      <w:hyperlink w:anchor="_Toc31416" w:history="1">
        <w:r>
          <w:rPr>
            <w:rFonts w:eastAsia="微软雅黑" w:hint="eastAsia"/>
            <w:snapToGrid/>
            <w:lang w:val="en-US" w:eastAsia="en-US"/>
          </w:rPr>
          <w:t>一、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行业发展状况及市场分析</w:t>
        </w:r>
        <w:r>
          <w:tab/>
        </w:r>
        <w:r>
          <w:fldChar w:fldCharType="begin"/>
        </w:r>
        <w:r>
          <w:instrText xml:space="preserve"> PAGEREF _Toc31416 \h </w:instrText>
        </w:r>
        <w:r>
          <w:fldChar w:fldCharType="separate"/>
        </w:r>
        <w:r>
          <w:t>4</w:t>
        </w:r>
        <w:r>
          <w:fldChar w:fldCharType="end"/>
        </w:r>
      </w:hyperlink>
      <w:r>
        <w:fldChar w:fldCharType="end"/>
      </w:r>
    </w:p>
    <w:p>
      <w:pPr>
        <w:pStyle w:val="TOC2"/>
        <w:tabs>
          <w:tab w:val="right" w:leader="dot" w:pos="8958"/>
        </w:tabs>
      </w:pPr>
      <w:hyperlink w:anchor="_Toc26804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行业市场行业驱动因素分析</w:t>
        </w:r>
        <w:r>
          <w:tab/>
        </w:r>
        <w:r>
          <w:fldChar w:fldCharType="begin"/>
        </w:r>
        <w:r>
          <w:instrText xml:space="preserve"> PAGEREF _Toc26804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027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行业结构分析</w:t>
        </w:r>
        <w:r>
          <w:tab/>
        </w:r>
        <w:r>
          <w:fldChar w:fldCharType="begin"/>
        </w:r>
        <w:r>
          <w:instrText xml:space="preserve"> PAGEREF _Toc20278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446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行业各因素(PEST)分析</w:t>
        </w:r>
        <w:r>
          <w:tab/>
        </w:r>
        <w:r>
          <w:fldChar w:fldCharType="begin"/>
        </w:r>
        <w:r>
          <w:instrText xml:space="preserve"> PAGEREF _Toc8446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6060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_Toc6060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298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_Toc15298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751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_Toc4751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9354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_Toc29354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3495" w:history="1">
        <w:r>
          <w:rPr>
            <w:rFonts w:eastAsia="微软雅黑" w:hint="eastAsia"/>
            <w:snapToGrid/>
            <w:lang w:val="en-US" w:eastAsia="zh-CN"/>
          </w:rPr>
          <w:t>(四)、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行业市场规模分析</w:t>
        </w:r>
        <w:r>
          <w:tab/>
        </w:r>
        <w:r>
          <w:fldChar w:fldCharType="begin"/>
        </w:r>
        <w:r>
          <w:instrText xml:space="preserve"> PAGEREF _Toc23495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8023" w:history="1">
        <w:r>
          <w:rPr>
            <w:rFonts w:eastAsia="微软雅黑" w:hint="eastAsia"/>
            <w:snapToGrid/>
            <w:lang w:val="en-US" w:eastAsia="zh-CN"/>
          </w:rPr>
          <w:t>(五)、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行业特征分析</w:t>
        </w:r>
        <w:r>
          <w:tab/>
        </w:r>
        <w:r>
          <w:fldChar w:fldCharType="begin"/>
        </w:r>
        <w:r>
          <w:instrText xml:space="preserve"> PAGEREF _Toc8023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012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行业相关政策体系不健全</w:t>
        </w:r>
        <w:r>
          <w:tab/>
        </w:r>
        <w:r>
          <w:fldChar w:fldCharType="begin"/>
        </w:r>
        <w:r>
          <w:instrText xml:space="preserve"> PAGEREF _Toc18012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8893" w:history="1">
        <w:r>
          <w:rPr>
            <w:rFonts w:eastAsia="微软雅黑" w:hint="eastAsia"/>
            <w:snapToGrid/>
            <w:lang w:val="en-US" w:eastAsia="en-US"/>
          </w:rPr>
          <w:t>二、2024-2029年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行业市场运行趋势及存在问题分析</w:t>
        </w:r>
        <w:r>
          <w:tab/>
        </w:r>
        <w:r>
          <w:fldChar w:fldCharType="begin"/>
        </w:r>
        <w:r>
          <w:instrText xml:space="preserve"> PAGEREF _Toc28893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50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行业市场运行动态分析</w:t>
        </w:r>
        <w:r>
          <w:tab/>
        </w:r>
        <w:r>
          <w:fldChar w:fldCharType="begin"/>
        </w:r>
        <w:r>
          <w:instrText xml:space="preserve"> PAGEREF _Toc29850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186" w:history="1">
        <w:r>
          <w:rPr>
            <w:rFonts w:eastAsia="微软雅黑" w:hint="eastAsia"/>
            <w:snapToGrid/>
            <w:lang w:val="en-US" w:eastAsia="zh-CN"/>
          </w:rPr>
          <w:t>(二)、现阶段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_Toc31186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0834" w:history="1">
        <w:r>
          <w:rPr>
            <w:rFonts w:eastAsia="微软雅黑" w:hint="eastAsia"/>
            <w:snapToGrid/>
            <w:lang w:val="en-US" w:eastAsia="zh-CN"/>
          </w:rPr>
          <w:t>(三)、现阶段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行业存在的问题</w:t>
        </w:r>
        <w:r>
          <w:tab/>
        </w:r>
        <w:r>
          <w:fldChar w:fldCharType="begin"/>
        </w:r>
        <w:r>
          <w:instrText xml:space="preserve"> PAGEREF _Toc10834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20" w:history="1">
        <w:r>
          <w:rPr>
            <w:rFonts w:eastAsia="微软雅黑" w:hint="eastAsia"/>
            <w:snapToGrid/>
            <w:lang w:val="en-US" w:eastAsia="zh-CN"/>
          </w:rPr>
          <w:t>(四)、规范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行业的发展</w:t>
        </w:r>
        <w:r>
          <w:tab/>
        </w:r>
        <w:r>
          <w:fldChar w:fldCharType="begin"/>
        </w:r>
        <w:r>
          <w:instrText xml:space="preserve"> PAGEREF _Toc17420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9215" w:history="1">
        <w:r>
          <w:rPr>
            <w:rFonts w:eastAsia="微软雅黑" w:hint="eastAsia"/>
            <w:snapToGrid/>
            <w:lang w:val="en-US" w:eastAsia="en-US"/>
          </w:rPr>
          <w:t>三、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产业投资分析</w:t>
        </w:r>
        <w:r>
          <w:tab/>
        </w:r>
        <w:r>
          <w:fldChar w:fldCharType="begin"/>
        </w:r>
        <w:r>
          <w:instrText xml:space="preserve"> PAGEREF _Toc29215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212" w:history="1">
        <w:r>
          <w:rPr>
            <w:rFonts w:eastAsia="微软雅黑" w:hint="eastAsia"/>
            <w:snapToGrid/>
            <w:lang w:val="en-US" w:eastAsia="en-US"/>
          </w:rPr>
          <w:t>(一)、中国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行业技术投资趋势分析</w:t>
        </w:r>
        <w:r>
          <w:tab/>
        </w:r>
        <w:r>
          <w:fldChar w:fldCharType="begin"/>
        </w:r>
        <w:r>
          <w:instrText xml:space="preserve"> PAGEREF _Toc16212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3785" w:history="1">
        <w:r>
          <w:rPr>
            <w:rFonts w:eastAsia="微软雅黑" w:hint="eastAsia"/>
            <w:snapToGrid/>
            <w:lang w:val="en-US" w:eastAsia="zh-CN"/>
          </w:rPr>
          <w:t>(二)、大项目招商时代已过,精准招商愈发时兴</w:t>
        </w:r>
        <w:r>
          <w:tab/>
        </w:r>
        <w:r>
          <w:fldChar w:fldCharType="begin"/>
        </w:r>
        <w:r>
          <w:instrText xml:space="preserve"> PAGEREF _Toc13785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085" w:history="1">
        <w:r>
          <w:rPr>
            <w:rFonts w:eastAsia="微软雅黑" w:hint="eastAsia"/>
            <w:snapToGrid/>
            <w:lang w:val="en-US" w:eastAsia="zh-CN"/>
          </w:rPr>
          <w:t>(三)、中国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行业投资风险</w:t>
        </w:r>
        <w:r>
          <w:tab/>
        </w:r>
        <w:r>
          <w:fldChar w:fldCharType="begin"/>
        </w:r>
        <w:r>
          <w:instrText xml:space="preserve"> PAGEREF _Toc19085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64" w:history="1">
        <w:r>
          <w:rPr>
            <w:rFonts w:eastAsia="微软雅黑" w:hint="eastAsia"/>
            <w:snapToGrid/>
            <w:lang w:val="en-US" w:eastAsia="zh-CN"/>
          </w:rPr>
          <w:t>(四)、中国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行业投资收益</w:t>
        </w:r>
        <w:r>
          <w:tab/>
        </w:r>
        <w:r>
          <w:fldChar w:fldCharType="begin"/>
        </w:r>
        <w:r>
          <w:instrText xml:space="preserve"> PAGEREF _Toc11164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1274" w:history="1">
        <w:r>
          <w:rPr>
            <w:rFonts w:eastAsia="微软雅黑" w:hint="eastAsia"/>
            <w:snapToGrid/>
            <w:lang w:val="en-US" w:eastAsia="en-US"/>
          </w:rPr>
          <w:t>四、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行业企业战略选择</w:t>
        </w:r>
        <w:r>
          <w:tab/>
        </w:r>
        <w:r>
          <w:fldChar w:fldCharType="begin"/>
        </w:r>
        <w:r>
          <w:instrText xml:space="preserve"> PAGEREF _Toc21274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7423" w:history="1">
        <w:r>
          <w:rPr>
            <w:rFonts w:eastAsia="微软雅黑" w:hint="eastAsia"/>
            <w:snapToGrid/>
            <w:lang w:val="en-US" w:eastAsia="zh-CN"/>
          </w:rPr>
          <w:t>(一)、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行业SWOT分析</w:t>
        </w:r>
        <w:r>
          <w:tab/>
        </w:r>
        <w:r>
          <w:fldChar w:fldCharType="begin"/>
        </w:r>
        <w:r>
          <w:instrText xml:space="preserve"> PAGEREF _Toc17423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364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行业企业战略确定</w:t>
        </w:r>
        <w:r>
          <w:tab/>
        </w:r>
        <w:r>
          <w:fldChar w:fldCharType="begin"/>
        </w:r>
        <w:r>
          <w:instrText xml:space="preserve"> PAGEREF _Toc9364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7594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行业PEST分析</w:t>
        </w:r>
        <w:r>
          <w:tab/>
        </w:r>
        <w:r>
          <w:fldChar w:fldCharType="begin"/>
        </w:r>
        <w:r>
          <w:instrText xml:space="preserve"> PAGEREF _Toc27594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4874" w:history="1">
        <w:r>
          <w:rPr>
            <w:rFonts w:eastAsia="微软雅黑" w:hint="eastAsia"/>
            <w:snapToGrid/>
            <w:lang w:val="en-US" w:eastAsia="zh-CN"/>
          </w:rPr>
          <w:t>1、政策因素</w:t>
        </w:r>
        <w:r>
          <w:tab/>
        </w:r>
        <w:r>
          <w:fldChar w:fldCharType="begin"/>
        </w:r>
        <w:r>
          <w:instrText xml:space="preserve"> PAGEREF _Toc4874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6656" w:history="1">
        <w:r>
          <w:rPr>
            <w:rFonts w:eastAsia="微软雅黑" w:hint="eastAsia"/>
            <w:snapToGrid/>
            <w:lang w:val="en-US" w:eastAsia="zh-CN"/>
          </w:rPr>
          <w:t>2、经济因素</w:t>
        </w:r>
        <w:r>
          <w:tab/>
        </w:r>
        <w:r>
          <w:fldChar w:fldCharType="begin"/>
        </w:r>
        <w:r>
          <w:instrText xml:space="preserve"> PAGEREF _Toc16656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5456" w:history="1">
        <w:r>
          <w:rPr>
            <w:rFonts w:eastAsia="微软雅黑" w:hint="eastAsia"/>
            <w:snapToGrid/>
            <w:lang w:val="en-US" w:eastAsia="zh-CN"/>
          </w:rPr>
          <w:t>3、社会因素</w:t>
        </w:r>
        <w:r>
          <w:tab/>
        </w:r>
        <w:r>
          <w:fldChar w:fldCharType="begin"/>
        </w:r>
        <w:r>
          <w:instrText xml:space="preserve"> PAGEREF _Toc15456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0295" w:history="1">
        <w:r>
          <w:rPr>
            <w:rFonts w:eastAsia="微软雅黑" w:hint="eastAsia"/>
            <w:snapToGrid/>
            <w:lang w:val="en-US" w:eastAsia="zh-CN"/>
          </w:rPr>
          <w:t>4、技术因素</w:t>
        </w:r>
        <w:r>
          <w:tab/>
        </w:r>
        <w:r>
          <w:fldChar w:fldCharType="begin"/>
        </w:r>
        <w:r>
          <w:instrText xml:space="preserve"> PAGEREF _Toc10295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6779" w:history="1">
        <w:r>
          <w:rPr>
            <w:rFonts w:eastAsia="微软雅黑" w:hint="eastAsia"/>
            <w:snapToGrid/>
            <w:lang w:val="en-US" w:eastAsia="en-US"/>
          </w:rPr>
          <w:t>五、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行业成功突围策略</w:t>
        </w:r>
        <w:r>
          <w:tab/>
        </w:r>
        <w:r>
          <w:fldChar w:fldCharType="begin"/>
        </w:r>
        <w:r>
          <w:instrText xml:space="preserve"> PAGEREF _Toc16779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477" w:history="1">
        <w:r>
          <w:rPr>
            <w:rFonts w:eastAsia="微软雅黑" w:hint="eastAsia"/>
            <w:snapToGrid/>
            <w:lang w:val="en-US" w:eastAsia="en-US"/>
          </w:rPr>
          <w:t>(一)、寻找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行业准差异化消费者兴趣诉求点</w:t>
        </w:r>
        <w:r>
          <w:tab/>
        </w:r>
        <w:r>
          <w:fldChar w:fldCharType="begin"/>
        </w:r>
        <w:r>
          <w:instrText xml:space="preserve"> PAGEREF _Toc15477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86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行业精准定位与无声消费教育</w:t>
        </w:r>
        <w:r>
          <w:tab/>
        </w:r>
        <w:r>
          <w:fldChar w:fldCharType="begin"/>
        </w:r>
        <w:r>
          <w:instrText xml:space="preserve"> PAGEREF _Toc7862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409" w:history="1">
        <w:r>
          <w:rPr>
            <w:rFonts w:eastAsia="微软雅黑" w:hint="eastAsia"/>
            <w:snapToGrid/>
            <w:lang w:val="en-US" w:eastAsia="zh-CN"/>
          </w:rPr>
          <w:t>(三)、从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行业硬文广告传播到深度合作</w:t>
        </w:r>
        <w:r>
          <w:tab/>
        </w:r>
        <w:r>
          <w:fldChar w:fldCharType="begin"/>
        </w:r>
        <w:r>
          <w:instrText xml:space="preserve"> PAGEREF _Toc18409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6794" w:history="1">
        <w:r>
          <w:rPr>
            <w:rFonts w:eastAsia="微软雅黑" w:hint="eastAsia"/>
            <w:snapToGrid/>
            <w:lang w:val="en-US" w:eastAsia="zh-CN"/>
          </w:rPr>
          <w:t>(四)、公益营销竞争激烈</w:t>
        </w:r>
        <w:r>
          <w:tab/>
        </w:r>
        <w:r>
          <w:fldChar w:fldCharType="begin"/>
        </w:r>
        <w:r>
          <w:instrText xml:space="preserve"> PAGEREF _Toc16794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  <w:sectPr>
          <w:footerReference w:type="default" r:id="rId4"/>
          <w:pgSz w:w="11906" w:h="16838"/>
          <w:pgMar w:top="1134" w:right="1474" w:bottom="1134" w:left="1474" w:header="708" w:footer="708" w:gutter="0"/>
          <w:pgNumType w:start="2"/>
          <w:cols w:num="1" w:sep="1" w:space="708"/>
          <w:vAlign w:val="top"/>
          <w:titlePg w:val="0"/>
          <w:docGrid w:linePitch="360" w:charSpace="0"/>
        </w:sectPr>
      </w:pPr>
      <w:hyperlink w:anchor="_Toc1306" w:history="1">
        <w:r>
          <w:rPr>
            <w:rFonts w:eastAsia="微软雅黑" w:hint="eastAsia"/>
            <w:snapToGrid/>
            <w:lang w:val="en-US" w:eastAsia="zh-CN"/>
          </w:rPr>
          <w:t>(五)、电子商务提升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行业广告效果</w:t>
        </w:r>
        <w:r>
          <w:tab/>
        </w:r>
        <w:r>
          <w:fldChar w:fldCharType="begin"/>
        </w:r>
        <w:r>
          <w:instrText xml:space="preserve"> PAGEREF _Toc1306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23" w:history="1">
        <w:r>
          <w:rPr>
            <w:rFonts w:eastAsia="微软雅黑" w:hint="eastAsia"/>
            <w:snapToGrid/>
            <w:lang w:val="en-US" w:eastAsia="zh-CN"/>
          </w:rPr>
          <w:t>(六)、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行业渠道以多种形式传播</w:t>
        </w:r>
        <w:r>
          <w:tab/>
        </w:r>
        <w:r>
          <w:fldChar w:fldCharType="begin"/>
        </w:r>
        <w:r>
          <w:instrText xml:space="preserve"> PAGEREF _Toc14223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84" w:history="1">
        <w:r>
          <w:rPr>
            <w:rFonts w:eastAsia="微软雅黑" w:hint="eastAsia"/>
            <w:snapToGrid/>
            <w:lang w:val="en-US" w:eastAsia="zh-CN"/>
          </w:rPr>
          <w:t>(七)、强调市场细分，深耕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产业</w:t>
        </w:r>
        <w:r>
          <w:tab/>
        </w:r>
        <w:r>
          <w:fldChar w:fldCharType="begin"/>
        </w:r>
        <w:r>
          <w:instrText xml:space="preserve"> PAGEREF _Toc15684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22811" w:history="1">
        <w:r>
          <w:rPr>
            <w:rFonts w:eastAsia="微软雅黑" w:hint="eastAsia"/>
            <w:snapToGrid/>
            <w:lang w:val="en-US" w:eastAsia="en-US"/>
          </w:rPr>
          <w:t>六、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行业企业差异化突破战略</w:t>
        </w:r>
        <w:r>
          <w:tab/>
        </w:r>
        <w:r>
          <w:fldChar w:fldCharType="begin"/>
        </w:r>
        <w:r>
          <w:instrText xml:space="preserve"> PAGEREF _Toc22811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2837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行业产品差异化获取“商机”</w:t>
        </w:r>
        <w:r>
          <w:tab/>
        </w:r>
        <w:r>
          <w:fldChar w:fldCharType="begin"/>
        </w:r>
        <w:r>
          <w:instrText xml:space="preserve"> PAGEREF _Toc12837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8190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行业市场分化赢得“商机”</w:t>
        </w:r>
        <w:r>
          <w:tab/>
        </w:r>
        <w:r>
          <w:fldChar w:fldCharType="begin"/>
        </w:r>
        <w:r>
          <w:instrText xml:space="preserve"> PAGEREF _Toc18190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0510" w:history="1">
        <w:r>
          <w:rPr>
            <w:rFonts w:eastAsia="微软雅黑" w:hint="eastAsia"/>
            <w:snapToGrid/>
            <w:lang w:val="en-US" w:eastAsia="zh-CN"/>
          </w:rPr>
          <w:t>(三)、以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行业服务差异化“抓住”商机</w:t>
        </w:r>
        <w:r>
          <w:tab/>
        </w:r>
        <w:r>
          <w:fldChar w:fldCharType="begin"/>
        </w:r>
        <w:r>
          <w:instrText xml:space="preserve"> PAGEREF _Toc30510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12" w:history="1">
        <w:r>
          <w:rPr>
            <w:rFonts w:eastAsia="微软雅黑" w:hint="eastAsia"/>
            <w:snapToGrid/>
            <w:lang w:val="en-US" w:eastAsia="zh-CN"/>
          </w:rPr>
          <w:t>(四)、用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行业客户差异化“抓住”商机</w:t>
        </w:r>
        <w:r>
          <w:tab/>
        </w:r>
        <w:r>
          <w:fldChar w:fldCharType="begin"/>
        </w:r>
        <w:r>
          <w:instrText xml:space="preserve"> PAGEREF _Toc28012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683" w:history="1">
        <w:r>
          <w:rPr>
            <w:rFonts w:eastAsia="微软雅黑" w:hint="eastAsia"/>
            <w:snapToGrid/>
            <w:lang w:val="en-US" w:eastAsia="zh-CN"/>
          </w:rPr>
          <w:t>(五)、以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行业渠道差异化“争取”商机</w:t>
        </w:r>
        <w:r>
          <w:tab/>
        </w:r>
        <w:r>
          <w:fldChar w:fldCharType="begin"/>
        </w:r>
        <w:r>
          <w:instrText xml:space="preserve"> PAGEREF _Toc15683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8884" w:history="1">
        <w:r>
          <w:rPr>
            <w:rFonts w:eastAsia="微软雅黑" w:hint="eastAsia"/>
            <w:snapToGrid/>
            <w:lang w:val="en-US" w:eastAsia="en-US"/>
          </w:rPr>
          <w:t>七、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行业财务状况分析</w:t>
        </w:r>
        <w:r>
          <w:tab/>
        </w:r>
        <w:r>
          <w:fldChar w:fldCharType="begin"/>
        </w:r>
        <w:r>
          <w:instrText xml:space="preserve"> PAGEREF _Toc8884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016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行业近三年财务数据及指标分析</w:t>
        </w:r>
        <w:r>
          <w:tab/>
        </w:r>
        <w:r>
          <w:fldChar w:fldCharType="begin"/>
        </w:r>
        <w:r>
          <w:instrText xml:space="preserve"> PAGEREF _Toc28016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8224" w:history="1">
        <w:r>
          <w:rPr>
            <w:rFonts w:eastAsia="微软雅黑" w:hint="eastAsia"/>
            <w:snapToGrid/>
            <w:lang w:val="en-US" w:eastAsia="zh-CN"/>
          </w:rPr>
          <w:t>(二)、现金流对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行业的影响</w:t>
        </w:r>
        <w:r>
          <w:tab/>
        </w:r>
        <w:r>
          <w:fldChar w:fldCharType="begin"/>
        </w:r>
        <w:r>
          <w:instrText xml:space="preserve"> PAGEREF _Toc28224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4661" w:history="1">
        <w:r>
          <w:rPr>
            <w:rFonts w:eastAsia="微软雅黑" w:hint="eastAsia"/>
            <w:snapToGrid/>
            <w:lang w:val="en-US" w:eastAsia="en-US"/>
          </w:rPr>
          <w:t>八、2024-2029年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行业企业市场突破具体策略</w:t>
        </w:r>
        <w:r>
          <w:tab/>
        </w:r>
        <w:r>
          <w:fldChar w:fldCharType="begin"/>
        </w:r>
        <w:r>
          <w:instrText xml:space="preserve"> PAGEREF _Toc4661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5847" w:history="1">
        <w:r>
          <w:rPr>
            <w:rFonts w:eastAsia="微软雅黑" w:hint="eastAsia"/>
            <w:snapToGrid/>
            <w:lang w:val="en-US" w:eastAsia="en-US"/>
          </w:rPr>
          <w:t>(一)、密切关注竞争对手的策略，提高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行业产品在行业内的竞争力</w:t>
        </w:r>
        <w:r>
          <w:tab/>
        </w:r>
        <w:r>
          <w:fldChar w:fldCharType="begin"/>
        </w:r>
        <w:r>
          <w:instrText xml:space="preserve"> PAGEREF _Toc5847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9551" w:history="1">
        <w:r>
          <w:rPr>
            <w:rFonts w:eastAsia="微软雅黑" w:hint="eastAsia"/>
            <w:snapToGrid/>
            <w:lang w:val="en-US" w:eastAsia="zh-CN"/>
          </w:rPr>
          <w:t>(二)、使用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行业市场渗透策略，不断开发新客户</w:t>
        </w:r>
        <w:r>
          <w:tab/>
        </w:r>
        <w:r>
          <w:fldChar w:fldCharType="begin"/>
        </w:r>
        <w:r>
          <w:instrText xml:space="preserve"> PAGEREF _Toc19551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5259" w:history="1">
        <w:r>
          <w:rPr>
            <w:rFonts w:eastAsia="微软雅黑" w:hint="eastAsia"/>
            <w:snapToGrid/>
            <w:lang w:val="en-US" w:eastAsia="zh-CN"/>
          </w:rPr>
          <w:t>(三)、实施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行业市场发展战略，不断开拓各类市场创新源</w:t>
        </w:r>
        <w:r>
          <w:tab/>
        </w:r>
        <w:r>
          <w:fldChar w:fldCharType="begin"/>
        </w:r>
        <w:r>
          <w:instrText xml:space="preserve"> PAGEREF _Toc25259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4220" w:history="1">
        <w:r>
          <w:rPr>
            <w:rFonts w:eastAsia="微软雅黑" w:hint="eastAsia"/>
            <w:snapToGrid/>
            <w:lang w:val="en-US" w:eastAsia="zh-CN"/>
          </w:rPr>
          <w:t>(四)、不断提高产品质量，建立覆盖完善的服务体系</w:t>
        </w:r>
        <w:r>
          <w:tab/>
        </w:r>
        <w:r>
          <w:fldChar w:fldCharType="begin"/>
        </w:r>
        <w:r>
          <w:instrText xml:space="preserve"> PAGEREF _Toc14220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824" w:history="1">
        <w:r>
          <w:rPr>
            <w:rFonts w:eastAsia="微软雅黑" w:hint="eastAsia"/>
            <w:snapToGrid/>
            <w:lang w:val="en-US" w:eastAsia="zh-CN"/>
          </w:rPr>
          <w:t>(五)、实施线上线下融合，深化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行业国内外市场拓展</w:t>
        </w:r>
        <w:r>
          <w:tab/>
        </w:r>
        <w:r>
          <w:fldChar w:fldCharType="begin"/>
        </w:r>
        <w:r>
          <w:instrText xml:space="preserve"> PAGEREF _Toc31824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957" w:history="1">
        <w:r>
          <w:rPr>
            <w:rFonts w:eastAsia="微软雅黑" w:hint="eastAsia"/>
            <w:snapToGrid/>
            <w:lang w:val="en-US" w:eastAsia="zh-CN"/>
          </w:rPr>
          <w:t>(六)、在市场开发中结合渗透和其他策略</w:t>
        </w:r>
        <w:r>
          <w:tab/>
        </w:r>
        <w:r>
          <w:fldChar w:fldCharType="begin"/>
        </w:r>
        <w:r>
          <w:instrText xml:space="preserve"> PAGEREF _Toc957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9577" w:history="1">
        <w:r>
          <w:rPr>
            <w:rFonts w:eastAsia="微软雅黑" w:hint="eastAsia"/>
            <w:snapToGrid/>
            <w:lang w:val="en-US" w:eastAsia="en-US"/>
          </w:rPr>
          <w:t>九、关于未来5-10年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行业发展机遇与挑战的建议</w:t>
        </w:r>
        <w:r>
          <w:tab/>
        </w:r>
        <w:r>
          <w:fldChar w:fldCharType="begin"/>
        </w:r>
        <w:r>
          <w:instrText xml:space="preserve"> PAGEREF _Toc19577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872" w:history="1">
        <w:r>
          <w:rPr>
            <w:rFonts w:eastAsia="微软雅黑" w:hint="eastAsia"/>
            <w:snapToGrid/>
            <w:lang w:val="en-US" w:eastAsia="en-US"/>
          </w:rPr>
          <w:t>(一)、2024-2029年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行业发展趋势展望</w:t>
        </w:r>
        <w:r>
          <w:tab/>
        </w:r>
        <w:r>
          <w:fldChar w:fldCharType="begin"/>
        </w:r>
        <w:r>
          <w:instrText xml:space="preserve"> PAGEREF _Toc29872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2133" w:history="1">
        <w:r>
          <w:rPr>
            <w:rFonts w:eastAsia="微软雅黑" w:hint="eastAsia"/>
            <w:snapToGrid/>
            <w:lang w:val="en-US" w:eastAsia="zh-CN"/>
          </w:rPr>
          <w:t>(二)、2024-2029年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行业宏观政策指导的机遇</w:t>
        </w:r>
        <w:r>
          <w:tab/>
        </w:r>
        <w:r>
          <w:fldChar w:fldCharType="begin"/>
        </w:r>
        <w:r>
          <w:instrText xml:space="preserve"> PAGEREF _Toc22133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5578" w:history="1">
        <w:r>
          <w:rPr>
            <w:rFonts w:eastAsia="微软雅黑" w:hint="eastAsia"/>
            <w:snapToGrid/>
            <w:lang w:val="en-US" w:eastAsia="zh-CN"/>
          </w:rPr>
          <w:t>(三)、2024-2029年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产业结构调整的机遇</w:t>
        </w:r>
        <w:r>
          <w:tab/>
        </w:r>
        <w:r>
          <w:fldChar w:fldCharType="begin"/>
        </w:r>
        <w:r>
          <w:instrText xml:space="preserve"> PAGEREF _Toc15578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1956" w:history="1">
        <w:r>
          <w:rPr>
            <w:rFonts w:eastAsia="微软雅黑" w:hint="eastAsia"/>
            <w:snapToGrid/>
            <w:lang w:val="en-US" w:eastAsia="zh-CN"/>
          </w:rPr>
          <w:t>(四)、2024-2029年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行业面临的挑战与对策</w:t>
        </w:r>
        <w:r>
          <w:tab/>
        </w:r>
        <w:r>
          <w:fldChar w:fldCharType="begin"/>
        </w:r>
        <w:r>
          <w:instrText xml:space="preserve"> PAGEREF _Toc21956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6439" w:history="1">
        <w:r>
          <w:rPr>
            <w:rFonts w:eastAsia="微软雅黑" w:hint="eastAsia"/>
            <w:snapToGrid/>
            <w:lang w:val="en-US" w:eastAsia="en-US"/>
          </w:rPr>
          <w:t>十、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行业突破瓶颈的挑战分析</w:t>
        </w:r>
        <w:r>
          <w:tab/>
        </w:r>
        <w:r>
          <w:fldChar w:fldCharType="begin"/>
        </w:r>
        <w:r>
          <w:instrText xml:space="preserve"> PAGEREF _Toc6439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399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行业发展特点分析</w:t>
        </w:r>
        <w:r>
          <w:tab/>
        </w:r>
        <w:r>
          <w:fldChar w:fldCharType="begin"/>
        </w:r>
        <w:r>
          <w:instrText xml:space="preserve"> PAGEREF _Toc3399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742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行业的市场渠道挑战</w:t>
        </w:r>
        <w:r>
          <w:tab/>
        </w:r>
        <w:r>
          <w:fldChar w:fldCharType="begin"/>
        </w:r>
        <w:r>
          <w:instrText xml:space="preserve"> PAGEREF _Toc31742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31942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行业5-10年创新发展的挑战点</w:t>
        </w:r>
        <w:r>
          <w:tab/>
        </w:r>
        <w:r>
          <w:fldChar w:fldCharType="begin"/>
        </w:r>
        <w:r>
          <w:instrText xml:space="preserve"> PAGEREF _Toc31942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8708" w:history="1">
        <w:r>
          <w:rPr>
            <w:rFonts w:eastAsia="微软雅黑" w:hint="eastAsia"/>
            <w:snapToGrid/>
            <w:lang w:val="en-US" w:eastAsia="en-US"/>
          </w:rPr>
          <w:t>十一、关于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行业发展战略规划的建议</w:t>
        </w:r>
        <w:r>
          <w:tab/>
        </w:r>
        <w:r>
          <w:fldChar w:fldCharType="begin"/>
        </w:r>
        <w:r>
          <w:instrText xml:space="preserve"> PAGEREF _Toc18708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6124" w:history="1">
        <w:r>
          <w:rPr>
            <w:rFonts w:eastAsia="微软雅黑" w:hint="eastAsia"/>
            <w:snapToGrid/>
            <w:lang w:val="en-US" w:eastAsia="en-US"/>
          </w:rPr>
          <w:t>(一)、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行业战略规划简介</w:t>
        </w:r>
        <w:r>
          <w:tab/>
        </w:r>
        <w:r>
          <w:fldChar w:fldCharType="begin"/>
        </w:r>
        <w:r>
          <w:instrText xml:space="preserve"> PAGEREF _Toc6124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28939" w:history="1">
        <w:r>
          <w:rPr>
            <w:rFonts w:eastAsia="微软雅黑" w:hint="eastAsia"/>
            <w:snapToGrid/>
            <w:lang w:val="en-US" w:eastAsia="zh-CN"/>
          </w:rPr>
          <w:t>1、行业的社会化</w:t>
        </w:r>
        <w:r>
          <w:tab/>
        </w:r>
        <w:r>
          <w:fldChar w:fldCharType="begin"/>
        </w:r>
        <w:r>
          <w:instrText xml:space="preserve"> PAGEREF _Toc28939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3"/>
        <w:tabs>
          <w:tab w:val="right" w:leader="dot" w:pos="8958"/>
        </w:tabs>
      </w:pPr>
      <w:hyperlink w:anchor="_Toc12779" w:history="1">
        <w:r>
          <w:rPr>
            <w:rFonts w:eastAsia="微软雅黑" w:hint="eastAsia"/>
            <w:snapToGrid/>
            <w:lang w:val="en-US" w:eastAsia="zh-CN"/>
          </w:rPr>
          <w:t>2、行业的规模化</w:t>
        </w:r>
        <w:r>
          <w:tab/>
        </w:r>
        <w:r>
          <w:fldChar w:fldCharType="begin"/>
        </w:r>
        <w:r>
          <w:instrText xml:space="preserve"> PAGEREF _Toc12779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29438" w:history="1">
        <w:r>
          <w:rPr>
            <w:rFonts w:eastAsia="微软雅黑" w:hint="eastAsia"/>
            <w:snapToGrid/>
            <w:lang w:val="en-US" w:eastAsia="zh-CN"/>
          </w:rPr>
          <w:t>(二)、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行业的市场应用方向</w:t>
        </w:r>
        <w:r>
          <w:tab/>
        </w:r>
        <w:r>
          <w:fldChar w:fldCharType="begin"/>
        </w:r>
        <w:r>
          <w:instrText xml:space="preserve"> PAGEREF _Toc29438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11103" w:history="1">
        <w:r>
          <w:rPr>
            <w:rFonts w:eastAsia="微软雅黑" w:hint="eastAsia"/>
            <w:snapToGrid/>
            <w:lang w:val="en-US" w:eastAsia="zh-CN"/>
          </w:rPr>
          <w:t>(三)、</w:t>
        </w:r>
        <w:r>
          <w:rPr>
            <w:rFonts w:eastAsia="微软雅黑" w:hint="eastAsia"/>
            <w:snapToGrid/>
            <w:lang w:val="en-US" w:eastAsia="zh-CN"/>
          </w:rPr>
          <w:t>扫描电镜</w:t>
        </w:r>
        <w:r>
          <w:rPr>
            <w:rFonts w:eastAsia="微软雅黑" w:hint="eastAsia"/>
            <w:snapToGrid/>
            <w:lang w:val="en-US" w:eastAsia="zh-CN"/>
          </w:rPr>
          <w:t>行业的发展重点</w:t>
        </w:r>
        <w:r>
          <w:tab/>
        </w:r>
        <w:r>
          <w:fldChar w:fldCharType="begin"/>
        </w:r>
        <w:r>
          <w:instrText xml:space="preserve"> PAGEREF _Toc11103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958"/>
        </w:tabs>
      </w:pPr>
      <w:hyperlink w:anchor="_Toc15199" w:history="1">
        <w:r>
          <w:rPr>
            <w:rFonts w:eastAsia="微软雅黑" w:hint="eastAsia"/>
            <w:snapToGrid/>
            <w:lang w:val="en-US" w:eastAsia="en-US"/>
          </w:rPr>
          <w:t>十二、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行业未来发展机会</w:t>
        </w:r>
        <w:r>
          <w:tab/>
        </w:r>
        <w:r>
          <w:fldChar w:fldCharType="begin"/>
        </w:r>
        <w:r>
          <w:instrText xml:space="preserve"> PAGEREF _Toc15199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958"/>
        </w:tabs>
      </w:pPr>
      <w:hyperlink w:anchor="_Toc7210" w:history="1">
        <w:r>
          <w:rPr>
            <w:rFonts w:eastAsia="微软雅黑" w:hint="eastAsia"/>
            <w:snapToGrid/>
            <w:lang w:val="en-US" w:eastAsia="en-US"/>
          </w:rPr>
          <w:t>(一)、在</w:t>
        </w:r>
        <w:r>
          <w:rPr>
            <w:rFonts w:eastAsia="微软雅黑" w:hint="eastAsia"/>
            <w:snapToGrid/>
            <w:lang w:val="en-US" w:eastAsia="en-US"/>
          </w:rPr>
          <w:t>扫描电镜</w:t>
        </w:r>
        <w:r>
          <w:rPr>
            <w:rFonts w:eastAsia="微软雅黑" w:hint="eastAsia"/>
            <w:snapToGrid/>
            <w:lang w:val="en-US" w:eastAsia="en-US"/>
          </w:rPr>
          <w:t>行业中通过产品差异化获得商机</w:t>
        </w:r>
        <w:r>
          <w:tab/>
        </w:r>
        <w:r>
          <w:fldChar w:fldCharType="begin"/>
        </w:r>
        <w:r>
          <w:instrText xml:space="preserve"> PAGEREF _Toc7210 \h </w:instrText>
        </w:r>
        <w:r>
          <w:fldChar w:fldCharType="separate"/>
        </w:r>
        <w:r>
          <w:t>30</w:t>
        </w:r>
        <w:r>
          <w:fldChar w:fldCharType="end"/>
        </w:r>
      </w:hyperlink>
      <w:r>
        <w:br/>
      </w:r>
      <w: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https://d.book118.com/638054125070006024</w:t>
        </w:r>
      </w:hyperlink>
    </w:p>
    <w:p>
      <w:pPr>
        <w:pStyle w:val="TOC2"/>
        <w:tabs>
          <w:tab w:val="right" w:leader="dot" w:pos="8958"/>
        </w:tabs>
      </w:pPr>
    </w:p>
    <w:sectPr>
      <w:footerReference w:type="default" r:id="rId6"/>
      <w:type w:val="nextPage"/>
      <w:pgSz w:w="11906" w:h="16838"/>
      <w:pgMar w:top="1134" w:right="1474" w:bottom="1134" w:left="1474" w:header="708" w:footer="708" w:gutter="0"/>
      <w:pgNumType w:start="3"/>
      <w:cols w:num="1" w:sep="1" w:space="708"/>
      <w:vAlign w:val="top"/>
      <w:titlePg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Normal0"/>
      <w:jc w:val="center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3</w:t>
    </w:r>
    <w:r>
      <w:rPr>
        <w:sz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182124A"/>
    <w:rsid w:val="06E24289"/>
    <w:rsid w:val="11CF29B4"/>
    <w:rsid w:val="12947766"/>
    <w:rsid w:val="22051117"/>
    <w:rsid w:val="2C662CED"/>
    <w:rsid w:val="2ED30C2E"/>
    <w:rsid w:val="419848E4"/>
    <w:rsid w:val="470B3DF4"/>
    <w:rsid w:val="515E59ED"/>
    <w:rsid w:val="65A46E2F"/>
    <w:rsid w:val="71EB0F45"/>
    <w:rsid w:val="7D8D6C79"/>
  </w:rsids>
  <w:docVars>
    <w:docVar w:name="commondata" w:val="eyJoZGlkIjoiODkzZjBjOTFhODcyNGUzNzA2YTQ4ZTJjNjI5M2JiODg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ascii="Times New Roman" w:hAnsi="Times New Roman" w:eastAsiaTheme="minorEastAsia" w:cs="Times New Roman"/>
      <w:sz w:val="24"/>
      <w:szCs w:val="24"/>
      <w:lang w:val="en-US" w:eastAsia="zh-CN" w:bidi="ar-SA"/>
    </w:rPr>
  </w:style>
  <w:style w:type="paragraph" w:styleId="Heading1">
    <w:name w:val="heading 1"/>
    <w:basedOn w:val="Title"/>
    <w:next w:val="Normal0"/>
    <w:autoRedefine/>
    <w:qFormat/>
    <w:pPr>
      <w:keepNext/>
      <w:keepLines/>
      <w:snapToGrid w:val="0"/>
      <w:spacing w:before="340" w:beforeLines="0" w:beforeAutospacing="0" w:after="330" w:afterLines="0" w:afterAutospacing="0" w:line="624" w:lineRule="auto"/>
      <w:jc w:val="left"/>
      <w:outlineLvl w:val="0"/>
    </w:pPr>
    <w:rPr>
      <w:rFonts w:ascii="Times New Roman" w:eastAsia="微软雅黑" w:hAnsi="Times New Roman" w:cs="Times New Roman"/>
      <w:b w:val="0"/>
      <w:color w:val="000000"/>
      <w:kern w:val="44"/>
      <w:sz w:val="36"/>
      <w:lang w:eastAsia="en-US"/>
      <w14:textFill>
        <w14:solidFill>
          <w14:schemeClr w14:val="tx1"/>
        </w14:solidFill>
      </w14:textFill>
    </w:rPr>
  </w:style>
  <w:style w:type="paragraph" w:styleId="Heading2">
    <w:name w:val="heading 2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  <w:lang w:eastAsia="en-US"/>
    </w:rPr>
  </w:style>
  <w:style w:type="paragraph" w:styleId="Heading3">
    <w:name w:val="heading 3"/>
    <w:basedOn w:val="Normal"/>
    <w:next w:val="Normal0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eastAsia="等线"/>
      <w:b/>
      <w:sz w:val="32"/>
      <w:lang w:eastAsia="en-US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Normal_0"/>
    <w:qFormat/>
    <w:rPr>
      <w:rFonts w:ascii="Times New Roman" w:eastAsia="等线" w:hAnsi="Times New Roman" w:cs="Times New Roman"/>
      <w:sz w:val="24"/>
      <w:szCs w:val="24"/>
      <w:lang w:val="en-US" w:eastAsia="en-US" w:bidi="ar-SA"/>
    </w:rPr>
  </w:style>
  <w:style w:type="paragraph" w:styleId="TOC1">
    <w:name w:val="toc 1"/>
    <w:basedOn w:val="Normal"/>
    <w:next w:val="Normal0"/>
    <w:rPr>
      <w:rFonts w:eastAsia="等线"/>
      <w:lang w:eastAsia="en-US"/>
    </w:rPr>
  </w:style>
  <w:style w:type="paragraph" w:styleId="TOC2">
    <w:name w:val="toc 2"/>
    <w:basedOn w:val="Normal"/>
    <w:next w:val="Normal0"/>
    <w:pPr>
      <w:ind w:left="420" w:leftChars="200"/>
    </w:pPr>
    <w:rPr>
      <w:rFonts w:eastAsia="等线"/>
      <w:lang w:eastAsia="en-US"/>
    </w:rPr>
  </w:style>
  <w:style w:type="paragraph" w:styleId="TOC3">
    <w:name w:val="toc 3"/>
    <w:basedOn w:val="Normal"/>
    <w:next w:val="Normal0"/>
    <w:pPr>
      <w:ind w:left="840" w:leftChars="400"/>
    </w:pPr>
    <w:rPr>
      <w:rFonts w:eastAsia="等线"/>
      <w:lang w:eastAsia="en-US"/>
    </w:rPr>
  </w:style>
  <w:style w:type="paragraph" w:styleId="Title">
    <w:name w:val="Title"/>
    <w:basedOn w:val="Normal"/>
    <w:autoRedefine/>
    <w:qFormat/>
    <w:pPr>
      <w:spacing w:before="240" w:beforeLines="0" w:beforeAutospacing="0" w:after="60" w:afterLines="0" w:afterAutospacing="0"/>
      <w:jc w:val="center"/>
      <w:outlineLvl w:val="0"/>
    </w:pPr>
    <w:rPr>
      <w:rFonts w:ascii="Arial" w:eastAsia="等线" w:hAnsi="Arial"/>
      <w:b/>
      <w:sz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yperlink" Target="https://d.book118.com/638054125070006024" TargetMode="Externa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hanxinru</dc:creator>
  <cp:lastModifiedBy>本色</cp:lastModifiedBy>
  <cp:revision>0</cp:revision>
  <dcterms:created xsi:type="dcterms:W3CDTF">2022-03-08T13:56:00Z</dcterms:created>
  <dcterms:modified xsi:type="dcterms:W3CDTF">2023-02-21T13:13:27Z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3982D1B992A044889A6B184E4F7A4BA7</vt:lpwstr>
  </property>
  <property fmtid="{D5CDD505-2E9C-101B-9397-08002B2CF9AE}" pid="3" name="KSOProductBuildVer">
    <vt:lpwstr>2052-11.1.0.13012</vt:lpwstr>
  </property>
</Properties>
</file>