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化肥项目规划设计方案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15" w:history="1">
        <w:r>
          <w:rPr>
            <w:rFonts w:ascii="仿宋" w:eastAsia="仿宋" w:hAnsi="仿宋" w:cs="仿宋" w:hint="eastAsia"/>
            <w:lang w:eastAsia="zh-CN"/>
          </w:rPr>
          <w:t>前言</w:t>
        </w:r>
        <w:r>
          <w:tab/>
        </w:r>
        <w:r>
          <w:fldChar w:fldCharType="begin"/>
        </w:r>
        <w:r>
          <w:instrText xml:space="preserve"> PAGEREF _Toc9615 \h </w:instrText>
        </w:r>
        <w:r>
          <w:fldChar w:fldCharType="separate"/>
        </w:r>
        <w:r>
          <w:t>3</w:t>
        </w:r>
        <w:r>
          <w:fldChar w:fldCharType="end"/>
        </w:r>
      </w:hyperlink>
    </w:p>
    <w:p>
      <w:pPr>
        <w:pStyle w:val="TOC1"/>
        <w:tabs>
          <w:tab w:val="right" w:leader="dot" w:pos="8306"/>
        </w:tabs>
      </w:pPr>
      <w:hyperlink w:anchor="_Toc7283" w:history="1">
        <w:r>
          <w:rPr>
            <w:rFonts w:ascii="仿宋" w:eastAsia="仿宋" w:hAnsi="仿宋" w:cs="仿宋" w:hint="eastAsia"/>
            <w:lang w:eastAsia="zh-CN"/>
          </w:rPr>
          <w:t>一、市场分析、调研</w:t>
        </w:r>
        <w:r>
          <w:tab/>
        </w:r>
        <w:r>
          <w:fldChar w:fldCharType="begin"/>
        </w:r>
        <w:r>
          <w:instrText xml:space="preserve"> PAGEREF _Toc7283 \h </w:instrText>
        </w:r>
        <w:r>
          <w:fldChar w:fldCharType="separate"/>
        </w:r>
        <w:r>
          <w:t>3</w:t>
        </w:r>
        <w:r>
          <w:fldChar w:fldCharType="end"/>
        </w:r>
      </w:hyperlink>
    </w:p>
    <w:p>
      <w:pPr>
        <w:pStyle w:val="TOC2"/>
        <w:tabs>
          <w:tab w:val="right" w:leader="dot" w:pos="8306"/>
        </w:tabs>
      </w:pPr>
      <w:hyperlink w:anchor="_Toc29420" w:history="1">
        <w:r>
          <w:rPr>
            <w:rFonts w:ascii="仿宋" w:eastAsia="仿宋" w:hAnsi="仿宋" w:cs="仿宋" w:hint="eastAsia"/>
            <w:lang w:eastAsia="zh-CN"/>
          </w:rPr>
          <w:t>(一)、化肥行业分析</w:t>
        </w:r>
        <w:r>
          <w:tab/>
        </w:r>
        <w:r>
          <w:fldChar w:fldCharType="begin"/>
        </w:r>
        <w:r>
          <w:instrText xml:space="preserve"> PAGEREF _Toc29420 \h </w:instrText>
        </w:r>
        <w:r>
          <w:fldChar w:fldCharType="separate"/>
        </w:r>
        <w:r>
          <w:t>3</w:t>
        </w:r>
        <w:r>
          <w:fldChar w:fldCharType="end"/>
        </w:r>
      </w:hyperlink>
    </w:p>
    <w:p>
      <w:pPr>
        <w:pStyle w:val="TOC2"/>
        <w:tabs>
          <w:tab w:val="right" w:leader="dot" w:pos="8306"/>
        </w:tabs>
      </w:pPr>
      <w:hyperlink w:anchor="_Toc26047" w:history="1">
        <w:r>
          <w:rPr>
            <w:rFonts w:ascii="仿宋" w:eastAsia="仿宋" w:hAnsi="仿宋" w:cs="仿宋" w:hint="eastAsia"/>
            <w:lang w:eastAsia="zh-CN"/>
          </w:rPr>
          <w:t>(二)、化肥市场分析预测</w:t>
        </w:r>
        <w:r>
          <w:tab/>
        </w:r>
        <w:r>
          <w:fldChar w:fldCharType="begin"/>
        </w:r>
        <w:r>
          <w:instrText xml:space="preserve"> PAGEREF _Toc26047 \h </w:instrText>
        </w:r>
        <w:r>
          <w:fldChar w:fldCharType="separate"/>
        </w:r>
        <w:r>
          <w:t>4</w:t>
        </w:r>
        <w:r>
          <w:fldChar w:fldCharType="end"/>
        </w:r>
      </w:hyperlink>
    </w:p>
    <w:p>
      <w:pPr>
        <w:pStyle w:val="TOC1"/>
        <w:tabs>
          <w:tab w:val="right" w:leader="dot" w:pos="8306"/>
        </w:tabs>
      </w:pPr>
      <w:hyperlink w:anchor="_Toc29568" w:history="1">
        <w:r>
          <w:rPr>
            <w:rFonts w:ascii="仿宋" w:eastAsia="仿宋" w:hAnsi="仿宋" w:cs="仿宋" w:hint="eastAsia"/>
            <w:lang w:eastAsia="zh-CN"/>
          </w:rPr>
          <w:t>二、化肥项目危机管理</w:t>
        </w:r>
        <w:r>
          <w:tab/>
        </w:r>
        <w:r>
          <w:fldChar w:fldCharType="begin"/>
        </w:r>
        <w:r>
          <w:instrText xml:space="preserve"> PAGEREF _Toc29568 \h </w:instrText>
        </w:r>
        <w:r>
          <w:fldChar w:fldCharType="separate"/>
        </w:r>
        <w:r>
          <w:t>4</w:t>
        </w:r>
        <w:r>
          <w:fldChar w:fldCharType="end"/>
        </w:r>
      </w:hyperlink>
    </w:p>
    <w:p>
      <w:pPr>
        <w:pStyle w:val="TOC2"/>
        <w:tabs>
          <w:tab w:val="right" w:leader="dot" w:pos="8306"/>
        </w:tabs>
      </w:pPr>
      <w:hyperlink w:anchor="_Toc31942" w:history="1">
        <w:r>
          <w:rPr>
            <w:rFonts w:ascii="仿宋" w:eastAsia="仿宋" w:hAnsi="仿宋" w:cs="仿宋" w:hint="eastAsia"/>
            <w:lang w:eastAsia="zh-CN"/>
          </w:rPr>
          <w:t>(一)、危机预警与识别</w:t>
        </w:r>
        <w:r>
          <w:tab/>
        </w:r>
        <w:r>
          <w:fldChar w:fldCharType="begin"/>
        </w:r>
        <w:r>
          <w:instrText xml:space="preserve"> PAGEREF _Toc31942 \h </w:instrText>
        </w:r>
        <w:r>
          <w:fldChar w:fldCharType="separate"/>
        </w:r>
        <w:r>
          <w:t>4</w:t>
        </w:r>
        <w:r>
          <w:fldChar w:fldCharType="end"/>
        </w:r>
      </w:hyperlink>
    </w:p>
    <w:p>
      <w:pPr>
        <w:pStyle w:val="TOC2"/>
        <w:tabs>
          <w:tab w:val="right" w:leader="dot" w:pos="8306"/>
        </w:tabs>
      </w:pPr>
      <w:hyperlink w:anchor="_Toc22983" w:history="1">
        <w:r>
          <w:rPr>
            <w:rFonts w:ascii="仿宋" w:eastAsia="仿宋" w:hAnsi="仿宋" w:cs="仿宋" w:hint="eastAsia"/>
            <w:lang w:eastAsia="zh-CN"/>
          </w:rPr>
          <w:t>(二)、危机应对与恢复</w:t>
        </w:r>
        <w:r>
          <w:tab/>
        </w:r>
        <w:r>
          <w:fldChar w:fldCharType="begin"/>
        </w:r>
        <w:r>
          <w:instrText xml:space="preserve"> PAGEREF _Toc22983 \h </w:instrText>
        </w:r>
        <w:r>
          <w:fldChar w:fldCharType="separate"/>
        </w:r>
        <w:r>
          <w:t>5</w:t>
        </w:r>
        <w:r>
          <w:fldChar w:fldCharType="end"/>
        </w:r>
      </w:hyperlink>
    </w:p>
    <w:p>
      <w:pPr>
        <w:pStyle w:val="TOC1"/>
        <w:tabs>
          <w:tab w:val="right" w:leader="dot" w:pos="8306"/>
        </w:tabs>
      </w:pPr>
      <w:hyperlink w:anchor="_Toc26361" w:history="1">
        <w:r>
          <w:rPr>
            <w:rFonts w:ascii="仿宋" w:eastAsia="仿宋" w:hAnsi="仿宋" w:cs="仿宋" w:hint="eastAsia"/>
            <w:lang w:eastAsia="zh-CN"/>
          </w:rPr>
          <w:t>三、化肥项目建设单位说明</w:t>
        </w:r>
        <w:r>
          <w:tab/>
        </w:r>
        <w:r>
          <w:fldChar w:fldCharType="begin"/>
        </w:r>
        <w:r>
          <w:instrText xml:space="preserve"> PAGEREF _Toc26361 \h </w:instrText>
        </w:r>
        <w:r>
          <w:fldChar w:fldCharType="separate"/>
        </w:r>
        <w:r>
          <w:t>7</w:t>
        </w:r>
        <w:r>
          <w:fldChar w:fldCharType="end"/>
        </w:r>
      </w:hyperlink>
    </w:p>
    <w:p>
      <w:pPr>
        <w:pStyle w:val="TOC2"/>
        <w:tabs>
          <w:tab w:val="right" w:leader="dot" w:pos="8306"/>
        </w:tabs>
      </w:pPr>
      <w:hyperlink w:anchor="_Toc26293" w:history="1">
        <w:r>
          <w:rPr>
            <w:rFonts w:ascii="仿宋" w:eastAsia="仿宋" w:hAnsi="仿宋" w:cs="仿宋" w:hint="eastAsia"/>
            <w:lang w:eastAsia="zh-CN"/>
          </w:rPr>
          <w:t>(一)、化肥项目承办单位基本情况</w:t>
        </w:r>
        <w:r>
          <w:tab/>
        </w:r>
        <w:r>
          <w:fldChar w:fldCharType="begin"/>
        </w:r>
        <w:r>
          <w:instrText xml:space="preserve"> PAGEREF _Toc26293 \h </w:instrText>
        </w:r>
        <w:r>
          <w:fldChar w:fldCharType="separate"/>
        </w:r>
        <w:r>
          <w:t>7</w:t>
        </w:r>
        <w:r>
          <w:fldChar w:fldCharType="end"/>
        </w:r>
      </w:hyperlink>
    </w:p>
    <w:p>
      <w:pPr>
        <w:pStyle w:val="TOC2"/>
        <w:tabs>
          <w:tab w:val="right" w:leader="dot" w:pos="8306"/>
        </w:tabs>
      </w:pPr>
      <w:hyperlink w:anchor="_Toc30134" w:history="1">
        <w:r>
          <w:rPr>
            <w:rFonts w:ascii="仿宋" w:eastAsia="仿宋" w:hAnsi="仿宋" w:cs="仿宋" w:hint="eastAsia"/>
            <w:lang w:eastAsia="zh-CN"/>
          </w:rPr>
          <w:t>(二)、公司经济效益分析</w:t>
        </w:r>
        <w:r>
          <w:tab/>
        </w:r>
        <w:r>
          <w:fldChar w:fldCharType="begin"/>
        </w:r>
        <w:r>
          <w:instrText xml:space="preserve"> PAGEREF _Toc30134 \h </w:instrText>
        </w:r>
        <w:r>
          <w:fldChar w:fldCharType="separate"/>
        </w:r>
        <w:r>
          <w:t>7</w:t>
        </w:r>
        <w:r>
          <w:fldChar w:fldCharType="end"/>
        </w:r>
      </w:hyperlink>
    </w:p>
    <w:p>
      <w:pPr>
        <w:pStyle w:val="TOC1"/>
        <w:tabs>
          <w:tab w:val="right" w:leader="dot" w:pos="8306"/>
        </w:tabs>
      </w:pPr>
      <w:hyperlink w:anchor="_Toc20866" w:history="1">
        <w:r>
          <w:rPr>
            <w:rFonts w:ascii="仿宋" w:eastAsia="仿宋" w:hAnsi="仿宋" w:cs="仿宋" w:hint="eastAsia"/>
            <w:lang w:eastAsia="zh-CN"/>
          </w:rPr>
          <w:t>四、工艺说明</w:t>
        </w:r>
        <w:r>
          <w:tab/>
        </w:r>
        <w:r>
          <w:fldChar w:fldCharType="begin"/>
        </w:r>
        <w:r>
          <w:instrText xml:space="preserve"> PAGEREF _Toc20866 \h </w:instrText>
        </w:r>
        <w:r>
          <w:fldChar w:fldCharType="separate"/>
        </w:r>
        <w:r>
          <w:t>8</w:t>
        </w:r>
        <w:r>
          <w:fldChar w:fldCharType="end"/>
        </w:r>
      </w:hyperlink>
    </w:p>
    <w:p>
      <w:pPr>
        <w:pStyle w:val="TOC2"/>
        <w:tabs>
          <w:tab w:val="right" w:leader="dot" w:pos="8306"/>
        </w:tabs>
      </w:pPr>
      <w:hyperlink w:anchor="_Toc18789" w:history="1">
        <w:r>
          <w:rPr>
            <w:rFonts w:ascii="仿宋" w:eastAsia="仿宋" w:hAnsi="仿宋" w:cs="仿宋" w:hint="eastAsia"/>
            <w:lang w:eastAsia="zh-CN"/>
          </w:rPr>
          <w:t>(一)、技术管理特点</w:t>
        </w:r>
        <w:r>
          <w:tab/>
        </w:r>
        <w:r>
          <w:fldChar w:fldCharType="begin"/>
        </w:r>
        <w:r>
          <w:instrText xml:space="preserve"> PAGEREF _Toc18789 \h </w:instrText>
        </w:r>
        <w:r>
          <w:fldChar w:fldCharType="separate"/>
        </w:r>
        <w:r>
          <w:t>8</w:t>
        </w:r>
        <w:r>
          <w:fldChar w:fldCharType="end"/>
        </w:r>
      </w:hyperlink>
    </w:p>
    <w:p>
      <w:pPr>
        <w:pStyle w:val="TOC2"/>
        <w:tabs>
          <w:tab w:val="right" w:leader="dot" w:pos="8306"/>
        </w:tabs>
      </w:pPr>
      <w:hyperlink w:anchor="_Toc3798" w:history="1">
        <w:r>
          <w:rPr>
            <w:rFonts w:ascii="仿宋" w:eastAsia="仿宋" w:hAnsi="仿宋" w:cs="仿宋" w:hint="eastAsia"/>
            <w:lang w:eastAsia="zh-CN"/>
          </w:rPr>
          <w:t>(二)、化肥项目工艺技术设计方案</w:t>
        </w:r>
        <w:r>
          <w:tab/>
        </w:r>
        <w:r>
          <w:fldChar w:fldCharType="begin"/>
        </w:r>
        <w:r>
          <w:instrText xml:space="preserve"> PAGEREF _Toc3798 \h </w:instrText>
        </w:r>
        <w:r>
          <w:fldChar w:fldCharType="separate"/>
        </w:r>
        <w:r>
          <w:t>9</w:t>
        </w:r>
        <w:r>
          <w:fldChar w:fldCharType="end"/>
        </w:r>
      </w:hyperlink>
    </w:p>
    <w:p>
      <w:pPr>
        <w:pStyle w:val="TOC2"/>
        <w:tabs>
          <w:tab w:val="right" w:leader="dot" w:pos="8306"/>
        </w:tabs>
      </w:pPr>
      <w:hyperlink w:anchor="_Toc2660" w:history="1">
        <w:r>
          <w:rPr>
            <w:rFonts w:ascii="仿宋" w:eastAsia="仿宋" w:hAnsi="仿宋" w:cs="仿宋" w:hint="eastAsia"/>
            <w:lang w:eastAsia="zh-CN"/>
          </w:rPr>
          <w:t>(三)、设备选型方案</w:t>
        </w:r>
        <w:r>
          <w:tab/>
        </w:r>
        <w:r>
          <w:fldChar w:fldCharType="begin"/>
        </w:r>
        <w:r>
          <w:instrText xml:space="preserve"> PAGEREF _Toc2660 \h </w:instrText>
        </w:r>
        <w:r>
          <w:fldChar w:fldCharType="separate"/>
        </w:r>
        <w:r>
          <w:t>11</w:t>
        </w:r>
        <w:r>
          <w:fldChar w:fldCharType="end"/>
        </w:r>
      </w:hyperlink>
    </w:p>
    <w:p>
      <w:pPr>
        <w:pStyle w:val="TOC1"/>
        <w:tabs>
          <w:tab w:val="right" w:leader="dot" w:pos="8306"/>
        </w:tabs>
      </w:pPr>
      <w:hyperlink w:anchor="_Toc31373" w:history="1">
        <w:r>
          <w:rPr>
            <w:rFonts w:ascii="仿宋" w:eastAsia="仿宋" w:hAnsi="仿宋" w:cs="仿宋" w:hint="eastAsia"/>
            <w:lang w:eastAsia="zh-CN"/>
          </w:rPr>
          <w:t>五、化肥项目概论</w:t>
        </w:r>
        <w:r>
          <w:tab/>
        </w:r>
        <w:r>
          <w:fldChar w:fldCharType="begin"/>
        </w:r>
        <w:r>
          <w:instrText xml:space="preserve"> PAGEREF _Toc31373 \h </w:instrText>
        </w:r>
        <w:r>
          <w:fldChar w:fldCharType="separate"/>
        </w:r>
        <w:r>
          <w:t>12</w:t>
        </w:r>
        <w:r>
          <w:fldChar w:fldCharType="end"/>
        </w:r>
      </w:hyperlink>
    </w:p>
    <w:p>
      <w:pPr>
        <w:pStyle w:val="TOC2"/>
        <w:tabs>
          <w:tab w:val="right" w:leader="dot" w:pos="8306"/>
        </w:tabs>
      </w:pPr>
      <w:hyperlink w:anchor="_Toc28230" w:history="1">
        <w:r>
          <w:rPr>
            <w:rFonts w:ascii="仿宋" w:eastAsia="仿宋" w:hAnsi="仿宋" w:cs="仿宋" w:hint="eastAsia"/>
            <w:lang w:eastAsia="zh-CN"/>
          </w:rPr>
          <w:t>(一)、化肥项目概况</w:t>
        </w:r>
        <w:r>
          <w:tab/>
        </w:r>
        <w:r>
          <w:fldChar w:fldCharType="begin"/>
        </w:r>
        <w:r>
          <w:instrText xml:space="preserve"> PAGEREF _Toc28230 \h </w:instrText>
        </w:r>
        <w:r>
          <w:fldChar w:fldCharType="separate"/>
        </w:r>
        <w:r>
          <w:t>12</w:t>
        </w:r>
        <w:r>
          <w:fldChar w:fldCharType="end"/>
        </w:r>
      </w:hyperlink>
    </w:p>
    <w:p>
      <w:pPr>
        <w:pStyle w:val="TOC2"/>
        <w:tabs>
          <w:tab w:val="right" w:leader="dot" w:pos="8306"/>
        </w:tabs>
      </w:pPr>
      <w:hyperlink w:anchor="_Toc16491" w:history="1">
        <w:r>
          <w:rPr>
            <w:rFonts w:ascii="仿宋" w:eastAsia="仿宋" w:hAnsi="仿宋" w:cs="仿宋" w:hint="eastAsia"/>
            <w:lang w:eastAsia="zh-CN"/>
          </w:rPr>
          <w:t>(二)、化肥项目目标</w:t>
        </w:r>
        <w:r>
          <w:tab/>
        </w:r>
        <w:r>
          <w:fldChar w:fldCharType="begin"/>
        </w:r>
        <w:r>
          <w:instrText xml:space="preserve"> PAGEREF _Toc16491 \h </w:instrText>
        </w:r>
        <w:r>
          <w:fldChar w:fldCharType="separate"/>
        </w:r>
        <w:r>
          <w:t>14</w:t>
        </w:r>
        <w:r>
          <w:fldChar w:fldCharType="end"/>
        </w:r>
      </w:hyperlink>
    </w:p>
    <w:p>
      <w:pPr>
        <w:pStyle w:val="TOC2"/>
        <w:tabs>
          <w:tab w:val="right" w:leader="dot" w:pos="8306"/>
        </w:tabs>
      </w:pPr>
      <w:hyperlink w:anchor="_Toc5183" w:history="1">
        <w:r>
          <w:rPr>
            <w:rFonts w:ascii="仿宋" w:eastAsia="仿宋" w:hAnsi="仿宋" w:cs="仿宋" w:hint="eastAsia"/>
            <w:lang w:eastAsia="zh-CN"/>
          </w:rPr>
          <w:t>(三)、化肥项目提出的理由</w:t>
        </w:r>
        <w:r>
          <w:tab/>
        </w:r>
        <w:r>
          <w:fldChar w:fldCharType="begin"/>
        </w:r>
        <w:r>
          <w:instrText xml:space="preserve"> PAGEREF _Toc5183 \h </w:instrText>
        </w:r>
        <w:r>
          <w:fldChar w:fldCharType="separate"/>
        </w:r>
        <w:r>
          <w:t>15</w:t>
        </w:r>
        <w:r>
          <w:fldChar w:fldCharType="end"/>
        </w:r>
      </w:hyperlink>
    </w:p>
    <w:p>
      <w:pPr>
        <w:pStyle w:val="TOC2"/>
        <w:tabs>
          <w:tab w:val="right" w:leader="dot" w:pos="8306"/>
        </w:tabs>
      </w:pPr>
      <w:hyperlink w:anchor="_Toc872" w:history="1">
        <w:r>
          <w:rPr>
            <w:rFonts w:ascii="仿宋" w:eastAsia="仿宋" w:hAnsi="仿宋" w:cs="仿宋" w:hint="eastAsia"/>
            <w:lang w:eastAsia="zh-CN"/>
          </w:rPr>
          <w:t>(四)、化肥项目意义</w:t>
        </w:r>
        <w:r>
          <w:tab/>
        </w:r>
        <w:r>
          <w:fldChar w:fldCharType="begin"/>
        </w:r>
        <w:r>
          <w:instrText xml:space="preserve"> PAGEREF _Toc872 \h </w:instrText>
        </w:r>
        <w:r>
          <w:fldChar w:fldCharType="separate"/>
        </w:r>
        <w:r>
          <w:t>16</w:t>
        </w:r>
        <w:r>
          <w:fldChar w:fldCharType="end"/>
        </w:r>
      </w:hyperlink>
    </w:p>
    <w:p>
      <w:pPr>
        <w:pStyle w:val="TOC2"/>
        <w:tabs>
          <w:tab w:val="right" w:leader="dot" w:pos="8306"/>
        </w:tabs>
      </w:pPr>
      <w:hyperlink w:anchor="_Toc22959" w:history="1">
        <w:r>
          <w:rPr>
            <w:rFonts w:ascii="仿宋" w:eastAsia="仿宋" w:hAnsi="仿宋" w:cs="仿宋" w:hint="eastAsia"/>
            <w:lang w:eastAsia="zh-CN"/>
          </w:rPr>
          <w:t>(五)、化肥项目背景</w:t>
        </w:r>
        <w:r>
          <w:tab/>
        </w:r>
        <w:r>
          <w:fldChar w:fldCharType="begin"/>
        </w:r>
        <w:r>
          <w:instrText xml:space="preserve"> PAGEREF _Toc22959 \h </w:instrText>
        </w:r>
        <w:r>
          <w:fldChar w:fldCharType="separate"/>
        </w:r>
        <w:r>
          <w:t>17</w:t>
        </w:r>
        <w:r>
          <w:fldChar w:fldCharType="end"/>
        </w:r>
      </w:hyperlink>
    </w:p>
    <w:p>
      <w:pPr>
        <w:pStyle w:val="TOC1"/>
        <w:tabs>
          <w:tab w:val="right" w:leader="dot" w:pos="8306"/>
        </w:tabs>
      </w:pPr>
      <w:hyperlink w:anchor="_Toc137" w:history="1">
        <w:r>
          <w:rPr>
            <w:rFonts w:ascii="仿宋" w:eastAsia="仿宋" w:hAnsi="仿宋" w:cs="仿宋" w:hint="eastAsia"/>
            <w:lang w:eastAsia="zh-CN"/>
          </w:rPr>
          <w:t>六、化肥项目建设背景及必要性分析</w:t>
        </w:r>
        <w:r>
          <w:tab/>
        </w:r>
        <w:r>
          <w:fldChar w:fldCharType="begin"/>
        </w:r>
        <w:r>
          <w:instrText xml:space="preserve"> PAGEREF _Toc137 \h </w:instrText>
        </w:r>
        <w:r>
          <w:fldChar w:fldCharType="separate"/>
        </w:r>
        <w:r>
          <w:t>18</w:t>
        </w:r>
        <w:r>
          <w:fldChar w:fldCharType="end"/>
        </w:r>
      </w:hyperlink>
    </w:p>
    <w:p>
      <w:pPr>
        <w:pStyle w:val="TOC2"/>
        <w:tabs>
          <w:tab w:val="right" w:leader="dot" w:pos="8306"/>
        </w:tabs>
      </w:pPr>
      <w:hyperlink w:anchor="_Toc4126" w:history="1">
        <w:r>
          <w:rPr>
            <w:rFonts w:ascii="仿宋" w:eastAsia="仿宋" w:hAnsi="仿宋" w:cs="仿宋" w:hint="eastAsia"/>
            <w:lang w:eastAsia="zh-CN"/>
          </w:rPr>
          <w:t>(一)、化肥项目背景分析</w:t>
        </w:r>
        <w:r>
          <w:tab/>
        </w:r>
        <w:r>
          <w:fldChar w:fldCharType="begin"/>
        </w:r>
        <w:r>
          <w:instrText xml:space="preserve"> PAGEREF _Toc4126 \h </w:instrText>
        </w:r>
        <w:r>
          <w:fldChar w:fldCharType="separate"/>
        </w:r>
        <w:r>
          <w:t>18</w:t>
        </w:r>
        <w:r>
          <w:fldChar w:fldCharType="end"/>
        </w:r>
      </w:hyperlink>
    </w:p>
    <w:p>
      <w:pPr>
        <w:pStyle w:val="TOC2"/>
        <w:tabs>
          <w:tab w:val="right" w:leader="dot" w:pos="8306"/>
        </w:tabs>
      </w:pPr>
      <w:hyperlink w:anchor="_Toc4451" w:history="1">
        <w:r>
          <w:rPr>
            <w:rFonts w:ascii="仿宋" w:eastAsia="仿宋" w:hAnsi="仿宋" w:cs="仿宋" w:hint="eastAsia"/>
            <w:lang w:eastAsia="zh-CN"/>
          </w:rPr>
          <w:t>(二)、化肥项目建设必要性分析</w:t>
        </w:r>
        <w:r>
          <w:tab/>
        </w:r>
        <w:r>
          <w:fldChar w:fldCharType="begin"/>
        </w:r>
        <w:r>
          <w:instrText xml:space="preserve"> PAGEREF _Toc4451 \h </w:instrText>
        </w:r>
        <w:r>
          <w:fldChar w:fldCharType="separate"/>
        </w:r>
        <w:r>
          <w:t>20</w:t>
        </w:r>
        <w:r>
          <w:fldChar w:fldCharType="end"/>
        </w:r>
      </w:hyperlink>
    </w:p>
    <w:p>
      <w:pPr>
        <w:pStyle w:val="TOC1"/>
        <w:tabs>
          <w:tab w:val="right" w:leader="dot" w:pos="8306"/>
        </w:tabs>
      </w:pPr>
      <w:hyperlink w:anchor="_Toc2106" w:history="1">
        <w:r>
          <w:rPr>
            <w:rFonts w:ascii="仿宋" w:eastAsia="仿宋" w:hAnsi="仿宋" w:cs="仿宋" w:hint="eastAsia"/>
            <w:lang w:eastAsia="zh-CN"/>
          </w:rPr>
          <w:t>七、化肥项目人力资源管理</w:t>
        </w:r>
        <w:r>
          <w:tab/>
        </w:r>
        <w:r>
          <w:fldChar w:fldCharType="begin"/>
        </w:r>
        <w:r>
          <w:instrText xml:space="preserve"> PAGEREF _Toc2106 \h </w:instrText>
        </w:r>
        <w:r>
          <w:fldChar w:fldCharType="separate"/>
        </w:r>
        <w:r>
          <w:t>21</w:t>
        </w:r>
        <w:r>
          <w:fldChar w:fldCharType="end"/>
        </w:r>
      </w:hyperlink>
    </w:p>
    <w:p>
      <w:pPr>
        <w:pStyle w:val="TOC2"/>
        <w:tabs>
          <w:tab w:val="right" w:leader="dot" w:pos="8306"/>
        </w:tabs>
      </w:pPr>
      <w:hyperlink w:anchor="_Toc21425" w:history="1">
        <w:r>
          <w:rPr>
            <w:rFonts w:ascii="仿宋" w:eastAsia="仿宋" w:hAnsi="仿宋" w:cs="仿宋" w:hint="eastAsia"/>
            <w:lang w:eastAsia="zh-CN"/>
          </w:rPr>
          <w:t>(一)、建立健全的预算管理制度</w:t>
        </w:r>
        <w:r>
          <w:tab/>
        </w:r>
        <w:r>
          <w:fldChar w:fldCharType="begin"/>
        </w:r>
        <w:r>
          <w:instrText xml:space="preserve"> PAGEREF _Toc21425 \h </w:instrText>
        </w:r>
        <w:r>
          <w:fldChar w:fldCharType="separate"/>
        </w:r>
        <w:r>
          <w:t>21</w:t>
        </w:r>
        <w:r>
          <w:fldChar w:fldCharType="end"/>
        </w:r>
      </w:hyperlink>
    </w:p>
    <w:p>
      <w:pPr>
        <w:pStyle w:val="TOC2"/>
        <w:tabs>
          <w:tab w:val="right" w:leader="dot" w:pos="8306"/>
        </w:tabs>
      </w:pPr>
      <w:hyperlink w:anchor="_Toc16780" w:history="1">
        <w:r>
          <w:rPr>
            <w:rFonts w:ascii="仿宋" w:eastAsia="仿宋" w:hAnsi="仿宋" w:cs="仿宋" w:hint="eastAsia"/>
            <w:lang w:eastAsia="zh-CN"/>
          </w:rPr>
          <w:t>(二)、加强资金流动监控</w:t>
        </w:r>
        <w:r>
          <w:tab/>
        </w:r>
        <w:r>
          <w:fldChar w:fldCharType="begin"/>
        </w:r>
        <w:r>
          <w:instrText xml:space="preserve"> PAGEREF _Toc16780 \h </w:instrText>
        </w:r>
        <w:r>
          <w:fldChar w:fldCharType="separate"/>
        </w:r>
        <w:r>
          <w:t>23</w:t>
        </w:r>
        <w:r>
          <w:fldChar w:fldCharType="end"/>
        </w:r>
      </w:hyperlink>
    </w:p>
    <w:p>
      <w:pPr>
        <w:pStyle w:val="TOC2"/>
        <w:tabs>
          <w:tab w:val="right" w:leader="dot" w:pos="8306"/>
        </w:tabs>
      </w:pPr>
      <w:hyperlink w:anchor="_Toc9897" w:history="1">
        <w:r>
          <w:rPr>
            <w:rFonts w:ascii="仿宋" w:eastAsia="仿宋" w:hAnsi="仿宋" w:cs="仿宋" w:hint="eastAsia"/>
            <w:lang w:eastAsia="zh-CN"/>
          </w:rPr>
          <w:t>(三)、制定完善的风险控制机制</w:t>
        </w:r>
        <w:r>
          <w:tab/>
        </w:r>
        <w:r>
          <w:fldChar w:fldCharType="begin"/>
        </w:r>
        <w:r>
          <w:instrText xml:space="preserve"> PAGEREF _Toc9897 \h </w:instrText>
        </w:r>
        <w:r>
          <w:fldChar w:fldCharType="separate"/>
        </w:r>
        <w:r>
          <w:t>24</w:t>
        </w:r>
        <w:r>
          <w:fldChar w:fldCharType="end"/>
        </w:r>
      </w:hyperlink>
    </w:p>
    <w:p>
      <w:pPr>
        <w:pStyle w:val="TOC2"/>
        <w:tabs>
          <w:tab w:val="right" w:leader="dot" w:pos="8306"/>
        </w:tabs>
      </w:pPr>
      <w:hyperlink w:anchor="_Toc19707" w:history="1">
        <w:r>
          <w:rPr>
            <w:rFonts w:ascii="仿宋" w:eastAsia="仿宋" w:hAnsi="仿宋" w:cs="仿宋" w:hint="eastAsia"/>
            <w:lang w:eastAsia="zh-CN"/>
          </w:rPr>
          <w:t>(四)、优化成本管理</w:t>
        </w:r>
        <w:r>
          <w:tab/>
        </w:r>
        <w:r>
          <w:fldChar w:fldCharType="begin"/>
        </w:r>
        <w:r>
          <w:instrText xml:space="preserve"> PAGEREF _Toc19707 \h </w:instrText>
        </w:r>
        <w:r>
          <w:fldChar w:fldCharType="separate"/>
        </w:r>
        <w:r>
          <w:t>25</w:t>
        </w:r>
        <w:r>
          <w:fldChar w:fldCharType="end"/>
        </w:r>
      </w:hyperlink>
    </w:p>
    <w:p>
      <w:pPr>
        <w:pStyle w:val="TOC1"/>
        <w:tabs>
          <w:tab w:val="right" w:leader="dot" w:pos="8306"/>
        </w:tabs>
      </w:pPr>
      <w:hyperlink w:anchor="_Toc29685" w:history="1">
        <w:r>
          <w:rPr>
            <w:rFonts w:ascii="仿宋" w:eastAsia="仿宋" w:hAnsi="仿宋" w:cs="仿宋" w:hint="eastAsia"/>
            <w:lang w:eastAsia="zh-CN"/>
          </w:rPr>
          <w:t>八、化肥项目人力资源培养与发展</w:t>
        </w:r>
        <w:r>
          <w:tab/>
        </w:r>
        <w:r>
          <w:fldChar w:fldCharType="begin"/>
        </w:r>
        <w:r>
          <w:instrText xml:space="preserve"> PAGEREF _Toc29685 \h </w:instrText>
        </w:r>
        <w:r>
          <w:fldChar w:fldCharType="separate"/>
        </w:r>
        <w:r>
          <w:t>26</w:t>
        </w:r>
        <w:r>
          <w:fldChar w:fldCharType="end"/>
        </w:r>
      </w:hyperlink>
    </w:p>
    <w:p>
      <w:pPr>
        <w:pStyle w:val="TOC2"/>
        <w:tabs>
          <w:tab w:val="right" w:leader="dot" w:pos="8306"/>
        </w:tabs>
      </w:pPr>
      <w:hyperlink w:anchor="_Toc8290" w:history="1">
        <w:r>
          <w:rPr>
            <w:rFonts w:ascii="仿宋" w:eastAsia="仿宋" w:hAnsi="仿宋" w:cs="仿宋" w:hint="eastAsia"/>
            <w:lang w:eastAsia="zh-CN"/>
          </w:rPr>
          <w:t>(一)、人才需求与规划</w:t>
        </w:r>
        <w:r>
          <w:tab/>
        </w:r>
        <w:r>
          <w:fldChar w:fldCharType="begin"/>
        </w:r>
        <w:r>
          <w:instrText xml:space="preserve"> PAGEREF _Toc8290 \h </w:instrText>
        </w:r>
        <w:r>
          <w:fldChar w:fldCharType="separate"/>
        </w:r>
        <w:r>
          <w:t>26</w:t>
        </w:r>
        <w:r>
          <w:fldChar w:fldCharType="end"/>
        </w:r>
      </w:hyperlink>
    </w:p>
    <w:p>
      <w:pPr>
        <w:pStyle w:val="TOC2"/>
        <w:tabs>
          <w:tab w:val="right" w:leader="dot" w:pos="8306"/>
        </w:tabs>
      </w:pPr>
      <w:hyperlink w:anchor="_Toc10620" w:history="1">
        <w:r>
          <w:rPr>
            <w:rFonts w:ascii="仿宋" w:eastAsia="仿宋" w:hAnsi="仿宋" w:cs="仿宋" w:hint="eastAsia"/>
            <w:lang w:eastAsia="zh-CN"/>
          </w:rPr>
          <w:t>(二)、培训与发展计划</w:t>
        </w:r>
        <w:r>
          <w:tab/>
        </w:r>
        <w:r>
          <w:fldChar w:fldCharType="begin"/>
        </w:r>
        <w:r>
          <w:instrText xml:space="preserve"> PAGEREF _Toc10620 \h </w:instrText>
        </w:r>
        <w:r>
          <w:fldChar w:fldCharType="separate"/>
        </w:r>
        <w:r>
          <w:t>27</w:t>
        </w:r>
        <w:r>
          <w:fldChar w:fldCharType="end"/>
        </w:r>
      </w:hyperlink>
    </w:p>
    <w:p>
      <w:pPr>
        <w:pStyle w:val="TOC1"/>
        <w:tabs>
          <w:tab w:val="right" w:leader="dot" w:pos="8306"/>
        </w:tabs>
      </w:pPr>
      <w:hyperlink w:anchor="_Toc19383" w:history="1">
        <w:r>
          <w:rPr>
            <w:rFonts w:ascii="仿宋" w:eastAsia="仿宋" w:hAnsi="仿宋" w:cs="仿宋" w:hint="eastAsia"/>
            <w:lang w:eastAsia="zh-CN"/>
          </w:rPr>
          <w:t>九、化肥项目社会影响</w:t>
        </w:r>
        <w:r>
          <w:tab/>
        </w:r>
        <w:r>
          <w:fldChar w:fldCharType="begin"/>
        </w:r>
        <w:r>
          <w:instrText xml:space="preserve"> PAGEREF _Toc19383 \h </w:instrText>
        </w:r>
        <w:r>
          <w:fldChar w:fldCharType="separate"/>
        </w:r>
        <w:r>
          <w:t>27</w:t>
        </w:r>
        <w:r>
          <w:fldChar w:fldCharType="end"/>
        </w:r>
      </w:hyperlink>
    </w:p>
    <w:p>
      <w:pPr>
        <w:pStyle w:val="TOC2"/>
        <w:tabs>
          <w:tab w:val="right" w:leader="dot" w:pos="8306"/>
        </w:tabs>
      </w:pPr>
      <w:hyperlink w:anchor="_Toc12892" w:history="1">
        <w:r>
          <w:rPr>
            <w:rFonts w:ascii="仿宋" w:eastAsia="仿宋" w:hAnsi="仿宋" w:cs="仿宋" w:hint="eastAsia"/>
            <w:lang w:eastAsia="zh-CN"/>
          </w:rPr>
          <w:t>(一)、社会责任与义务</w:t>
        </w:r>
        <w:r>
          <w:tab/>
        </w:r>
        <w:r>
          <w:fldChar w:fldCharType="begin"/>
        </w:r>
        <w:r>
          <w:instrText xml:space="preserve"> PAGEREF _Toc12892 \h </w:instrText>
        </w:r>
        <w:r>
          <w:fldChar w:fldCharType="separate"/>
        </w:r>
        <w:r>
          <w:t>27</w:t>
        </w:r>
        <w:r>
          <w:fldChar w:fldCharType="end"/>
        </w:r>
      </w:hyperlink>
    </w:p>
    <w:p>
      <w:pPr>
        <w:pStyle w:val="TOC2"/>
        <w:tabs>
          <w:tab w:val="right" w:leader="dot" w:pos="8306"/>
        </w:tabs>
      </w:pPr>
      <w:hyperlink w:anchor="_Toc17564" w:history="1">
        <w:r>
          <w:rPr>
            <w:rFonts w:ascii="仿宋" w:eastAsia="仿宋" w:hAnsi="仿宋" w:cs="仿宋" w:hint="eastAsia"/>
            <w:lang w:eastAsia="zh-CN"/>
          </w:rPr>
          <w:t>(二)、社会参与与沟通</w:t>
        </w:r>
        <w:r>
          <w:tab/>
        </w:r>
        <w:r>
          <w:fldChar w:fldCharType="begin"/>
        </w:r>
        <w:r>
          <w:instrText xml:space="preserve"> PAGEREF _Toc17564 \h </w:instrText>
        </w:r>
        <w:r>
          <w:fldChar w:fldCharType="separate"/>
        </w:r>
        <w:r>
          <w:t>28</w:t>
        </w:r>
        <w:r>
          <w:fldChar w:fldCharType="end"/>
        </w:r>
      </w:hyperlink>
    </w:p>
    <w:p>
      <w:pPr>
        <w:pStyle w:val="TOC1"/>
        <w:tabs>
          <w:tab w:val="right" w:leader="dot" w:pos="8306"/>
        </w:tabs>
      </w:pPr>
      <w:hyperlink w:anchor="_Toc28866" w:history="1">
        <w:r>
          <w:rPr>
            <w:rFonts w:ascii="仿宋" w:eastAsia="仿宋" w:hAnsi="仿宋" w:cs="仿宋" w:hint="eastAsia"/>
            <w:lang w:eastAsia="zh-CN"/>
          </w:rPr>
          <w:t>十、化肥项目风险管理</w:t>
        </w:r>
        <w:r>
          <w:tab/>
        </w:r>
        <w:r>
          <w:fldChar w:fldCharType="begin"/>
        </w:r>
        <w:r>
          <w:instrText xml:space="preserve"> PAGEREF _Toc28866 \h </w:instrText>
        </w:r>
        <w:r>
          <w:fldChar w:fldCharType="separate"/>
        </w:r>
        <w:r>
          <w:t>29</w:t>
        </w:r>
        <w:r>
          <w:fldChar w:fldCharType="end"/>
        </w:r>
      </w:hyperlink>
    </w:p>
    <w:p>
      <w:pPr>
        <w:pStyle w:val="TOC2"/>
        <w:tabs>
          <w:tab w:val="right" w:leader="dot" w:pos="8306"/>
        </w:tabs>
      </w:pPr>
      <w:hyperlink w:anchor="_Toc25426" w:history="1">
        <w:r>
          <w:rPr>
            <w:rFonts w:ascii="仿宋" w:eastAsia="仿宋" w:hAnsi="仿宋" w:cs="仿宋" w:hint="eastAsia"/>
            <w:lang w:eastAsia="zh-CN"/>
          </w:rPr>
          <w:t>(一)、风险识别与评估</w:t>
        </w:r>
        <w:r>
          <w:tab/>
        </w:r>
        <w:r>
          <w:fldChar w:fldCharType="begin"/>
        </w:r>
        <w:r>
          <w:instrText xml:space="preserve"> PAGEREF _Toc25426 \h </w:instrText>
        </w:r>
        <w:r>
          <w:fldChar w:fldCharType="separate"/>
        </w:r>
        <w:r>
          <w:t>29</w:t>
        </w:r>
        <w:r>
          <w:fldChar w:fldCharType="end"/>
        </w:r>
      </w:hyperlink>
    </w:p>
    <w:p>
      <w:pPr>
        <w:pStyle w:val="TOC2"/>
        <w:tabs>
          <w:tab w:val="right" w:leader="dot" w:pos="8306"/>
        </w:tabs>
      </w:pPr>
      <w:hyperlink w:anchor="_Toc1928" w:history="1">
        <w:r>
          <w:rPr>
            <w:rFonts w:ascii="仿宋" w:eastAsia="仿宋" w:hAnsi="仿宋" w:cs="仿宋" w:hint="eastAsia"/>
            <w:lang w:eastAsia="zh-CN"/>
          </w:rPr>
          <w:t>(二)、风险应对策略</w:t>
        </w:r>
        <w:r>
          <w:tab/>
        </w:r>
        <w:r>
          <w:fldChar w:fldCharType="begin"/>
        </w:r>
        <w:r>
          <w:instrText xml:space="preserve"> PAGEREF _Toc1928 \h </w:instrText>
        </w:r>
        <w:r>
          <w:fldChar w:fldCharType="separate"/>
        </w:r>
        <w:r>
          <w:t>30</w:t>
        </w:r>
        <w:r>
          <w:fldChar w:fldCharType="end"/>
        </w:r>
      </w:hyperlink>
    </w:p>
    <w:p>
      <w:pPr>
        <w:pStyle w:val="TOC2"/>
        <w:tabs>
          <w:tab w:val="right" w:leader="dot" w:pos="8306"/>
        </w:tabs>
      </w:pPr>
      <w:hyperlink w:anchor="_Toc17509" w:history="1">
        <w:r>
          <w:rPr>
            <w:rFonts w:ascii="仿宋" w:eastAsia="仿宋" w:hAnsi="仿宋" w:cs="仿宋" w:hint="eastAsia"/>
            <w:lang w:eastAsia="zh-CN"/>
          </w:rPr>
          <w:t>(三)、风险监控与控制</w:t>
        </w:r>
        <w:r>
          <w:tab/>
        </w:r>
        <w:r>
          <w:fldChar w:fldCharType="begin"/>
        </w:r>
        <w:r>
          <w:instrText xml:space="preserve"> PAGEREF _Toc17509 \h </w:instrText>
        </w:r>
        <w:r>
          <w:fldChar w:fldCharType="separate"/>
        </w:r>
        <w:r>
          <w:t>32</w:t>
        </w:r>
        <w:r>
          <w:fldChar w:fldCharType="end"/>
        </w:r>
      </w:hyperlink>
    </w:p>
    <w:p>
      <w:pPr>
        <w:pStyle w:val="TOC1"/>
        <w:tabs>
          <w:tab w:val="right" w:leader="dot" w:pos="8306"/>
        </w:tabs>
      </w:pPr>
      <w:hyperlink w:anchor="_Toc31169" w:history="1">
        <w:r>
          <w:rPr>
            <w:rFonts w:ascii="仿宋" w:eastAsia="仿宋" w:hAnsi="仿宋" w:cs="仿宋" w:hint="eastAsia"/>
            <w:lang w:eastAsia="zh-CN"/>
          </w:rPr>
          <w:t>十一、化肥项目环境影响分析</w:t>
        </w:r>
        <w:r>
          <w:tab/>
        </w:r>
        <w:r>
          <w:fldChar w:fldCharType="begin"/>
        </w:r>
        <w:r>
          <w:instrText xml:space="preserve"> PAGEREF _Toc31169 \h </w:instrText>
        </w:r>
        <w:r>
          <w:fldChar w:fldCharType="separate"/>
        </w:r>
        <w:r>
          <w:t>33</w:t>
        </w:r>
        <w:r>
          <w:fldChar w:fldCharType="end"/>
        </w:r>
      </w:hyperlink>
    </w:p>
    <w:p>
      <w:pPr>
        <w:pStyle w:val="TOC2"/>
        <w:tabs>
          <w:tab w:val="right" w:leader="dot" w:pos="8306"/>
        </w:tabs>
      </w:pPr>
      <w:hyperlink w:anchor="_Toc7303" w:history="1">
        <w:r>
          <w:rPr>
            <w:rFonts w:ascii="仿宋" w:eastAsia="仿宋" w:hAnsi="仿宋" w:cs="仿宋" w:hint="eastAsia"/>
            <w:lang w:eastAsia="zh-CN"/>
          </w:rPr>
          <w:t>(一)、建设区域环境质量现状</w:t>
        </w:r>
        <w:r>
          <w:tab/>
        </w:r>
        <w:r>
          <w:fldChar w:fldCharType="begin"/>
        </w:r>
        <w:r>
          <w:instrText xml:space="preserve"> PAGEREF _Toc7303 \h </w:instrText>
        </w:r>
        <w:r>
          <w:fldChar w:fldCharType="separate"/>
        </w:r>
        <w:r>
          <w:t>33</w:t>
        </w:r>
        <w:r>
          <w:fldChar w:fldCharType="end"/>
        </w:r>
      </w:hyperlink>
    </w:p>
    <w:p>
      <w:pPr>
        <w:pStyle w:val="TOC2"/>
        <w:tabs>
          <w:tab w:val="right" w:leader="dot" w:pos="8306"/>
        </w:tabs>
      </w:pPr>
      <w:hyperlink w:anchor="_Toc6038" w:history="1">
        <w:r>
          <w:rPr>
            <w:rFonts w:ascii="仿宋" w:eastAsia="仿宋" w:hAnsi="仿宋" w:cs="仿宋" w:hint="eastAsia"/>
            <w:lang w:eastAsia="zh-CN"/>
          </w:rPr>
          <w:t>(二)、建设期环境保护</w:t>
        </w:r>
        <w:r>
          <w:tab/>
        </w:r>
        <w:r>
          <w:fldChar w:fldCharType="begin"/>
        </w:r>
        <w:r>
          <w:instrText xml:space="preserve"> PAGEREF _Toc6038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52" w:history="1">
        <w:r>
          <w:rPr>
            <w:rFonts w:ascii="仿宋" w:eastAsia="仿宋" w:hAnsi="仿宋" w:cs="仿宋" w:hint="eastAsia"/>
            <w:lang w:eastAsia="zh-CN"/>
          </w:rPr>
          <w:t>(三)、运营期环境保护</w:t>
        </w:r>
        <w:r>
          <w:tab/>
        </w:r>
        <w:r>
          <w:fldChar w:fldCharType="begin"/>
        </w:r>
        <w:r>
          <w:instrText xml:space="preserve"> PAGEREF _Toc14452 \h </w:instrText>
        </w:r>
        <w:r>
          <w:fldChar w:fldCharType="separate"/>
        </w:r>
        <w:r>
          <w:t>36</w:t>
        </w:r>
        <w:r>
          <w:fldChar w:fldCharType="end"/>
        </w:r>
      </w:hyperlink>
    </w:p>
    <w:p>
      <w:pPr>
        <w:pStyle w:val="TOC2"/>
        <w:tabs>
          <w:tab w:val="right" w:leader="dot" w:pos="8306"/>
        </w:tabs>
      </w:pPr>
      <w:hyperlink w:anchor="_Toc11047" w:history="1">
        <w:r>
          <w:rPr>
            <w:rFonts w:ascii="仿宋" w:eastAsia="仿宋" w:hAnsi="仿宋" w:cs="仿宋" w:hint="eastAsia"/>
            <w:lang w:eastAsia="zh-CN"/>
          </w:rPr>
          <w:t>(四)、化肥项目建设对区域经济的影响</w:t>
        </w:r>
        <w:r>
          <w:tab/>
        </w:r>
        <w:r>
          <w:fldChar w:fldCharType="begin"/>
        </w:r>
        <w:r>
          <w:instrText xml:space="preserve"> PAGEREF _Toc11047 \h </w:instrText>
        </w:r>
        <w:r>
          <w:fldChar w:fldCharType="separate"/>
        </w:r>
        <w:r>
          <w:t>37</w:t>
        </w:r>
        <w:r>
          <w:fldChar w:fldCharType="end"/>
        </w:r>
      </w:hyperlink>
    </w:p>
    <w:p>
      <w:pPr>
        <w:pStyle w:val="TOC2"/>
        <w:tabs>
          <w:tab w:val="right" w:leader="dot" w:pos="8306"/>
        </w:tabs>
      </w:pPr>
      <w:hyperlink w:anchor="_Toc28892" w:history="1">
        <w:r>
          <w:rPr>
            <w:rFonts w:ascii="仿宋" w:eastAsia="仿宋" w:hAnsi="仿宋" w:cs="仿宋" w:hint="eastAsia"/>
            <w:lang w:eastAsia="zh-CN"/>
          </w:rPr>
          <w:t>(五)、废弃物处理</w:t>
        </w:r>
        <w:r>
          <w:tab/>
        </w:r>
        <w:r>
          <w:fldChar w:fldCharType="begin"/>
        </w:r>
        <w:r>
          <w:instrText xml:space="preserve"> PAGEREF _Toc28892 \h </w:instrText>
        </w:r>
        <w:r>
          <w:fldChar w:fldCharType="separate"/>
        </w:r>
        <w:r>
          <w:t>39</w:t>
        </w:r>
        <w:r>
          <w:fldChar w:fldCharType="end"/>
        </w:r>
      </w:hyperlink>
    </w:p>
    <w:p>
      <w:pPr>
        <w:pStyle w:val="TOC2"/>
        <w:tabs>
          <w:tab w:val="right" w:leader="dot" w:pos="8306"/>
        </w:tabs>
      </w:pPr>
      <w:hyperlink w:anchor="_Toc11590" w:history="1">
        <w:r>
          <w:rPr>
            <w:rFonts w:ascii="仿宋" w:eastAsia="仿宋" w:hAnsi="仿宋" w:cs="仿宋" w:hint="eastAsia"/>
            <w:lang w:eastAsia="zh-CN"/>
          </w:rPr>
          <w:t>(六)、特殊环境影响分析</w:t>
        </w:r>
        <w:r>
          <w:tab/>
        </w:r>
        <w:r>
          <w:fldChar w:fldCharType="begin"/>
        </w:r>
        <w:r>
          <w:instrText xml:space="preserve"> PAGEREF _Toc11590 \h </w:instrText>
        </w:r>
        <w:r>
          <w:fldChar w:fldCharType="separate"/>
        </w:r>
        <w:r>
          <w:t>40</w:t>
        </w:r>
        <w:r>
          <w:fldChar w:fldCharType="end"/>
        </w:r>
      </w:hyperlink>
    </w:p>
    <w:p>
      <w:pPr>
        <w:pStyle w:val="TOC2"/>
        <w:tabs>
          <w:tab w:val="right" w:leader="dot" w:pos="8306"/>
        </w:tabs>
      </w:pPr>
      <w:hyperlink w:anchor="_Toc23195" w:history="1">
        <w:r>
          <w:rPr>
            <w:rFonts w:ascii="仿宋" w:eastAsia="仿宋" w:hAnsi="仿宋" w:cs="仿宋" w:hint="eastAsia"/>
            <w:lang w:eastAsia="zh-CN"/>
          </w:rPr>
          <w:t>(七)、清洁生产</w:t>
        </w:r>
        <w:r>
          <w:tab/>
        </w:r>
        <w:r>
          <w:fldChar w:fldCharType="begin"/>
        </w:r>
        <w:r>
          <w:instrText xml:space="preserve"> PAGEREF _Toc23195 \h </w:instrText>
        </w:r>
        <w:r>
          <w:fldChar w:fldCharType="separate"/>
        </w:r>
        <w:r>
          <w:t>41</w:t>
        </w:r>
        <w:r>
          <w:fldChar w:fldCharType="end"/>
        </w:r>
      </w:hyperlink>
    </w:p>
    <w:p>
      <w:pPr>
        <w:pStyle w:val="TOC2"/>
        <w:tabs>
          <w:tab w:val="right" w:leader="dot" w:pos="8306"/>
        </w:tabs>
      </w:pPr>
      <w:hyperlink w:anchor="_Toc18765" w:history="1">
        <w:r>
          <w:rPr>
            <w:rFonts w:ascii="仿宋" w:eastAsia="仿宋" w:hAnsi="仿宋" w:cs="仿宋" w:hint="eastAsia"/>
            <w:lang w:eastAsia="zh-CN"/>
          </w:rPr>
          <w:t>(八)、环境保护综合评价</w:t>
        </w:r>
        <w:r>
          <w:tab/>
        </w:r>
        <w:r>
          <w:fldChar w:fldCharType="begin"/>
        </w:r>
        <w:r>
          <w:instrText xml:space="preserve"> PAGEREF _Toc18765 \h </w:instrText>
        </w:r>
        <w:r>
          <w:fldChar w:fldCharType="separate"/>
        </w:r>
        <w:r>
          <w:t>42</w:t>
        </w:r>
        <w:r>
          <w:fldChar w:fldCharType="end"/>
        </w:r>
      </w:hyperlink>
    </w:p>
    <w:p>
      <w:pPr>
        <w:pStyle w:val="TOC1"/>
        <w:tabs>
          <w:tab w:val="right" w:leader="dot" w:pos="8306"/>
        </w:tabs>
      </w:pPr>
      <w:hyperlink w:anchor="_Toc32212" w:history="1">
        <w:r>
          <w:rPr>
            <w:rFonts w:ascii="仿宋" w:eastAsia="仿宋" w:hAnsi="仿宋" w:cs="仿宋" w:hint="eastAsia"/>
            <w:lang w:eastAsia="zh-CN"/>
          </w:rPr>
          <w:t>十二、化肥项目创新与研发</w:t>
        </w:r>
        <w:r>
          <w:tab/>
        </w:r>
        <w:r>
          <w:fldChar w:fldCharType="begin"/>
        </w:r>
        <w:r>
          <w:instrText xml:space="preserve"> PAGEREF _Toc32212 \h </w:instrText>
        </w:r>
        <w:r>
          <w:fldChar w:fldCharType="separate"/>
        </w:r>
        <w:r>
          <w:t>43</w:t>
        </w:r>
        <w:r>
          <w:fldChar w:fldCharType="end"/>
        </w:r>
      </w:hyperlink>
    </w:p>
    <w:p>
      <w:pPr>
        <w:pStyle w:val="TOC2"/>
        <w:tabs>
          <w:tab w:val="right" w:leader="dot" w:pos="8306"/>
        </w:tabs>
      </w:pPr>
      <w:hyperlink w:anchor="_Toc28764" w:history="1">
        <w:r>
          <w:rPr>
            <w:rFonts w:ascii="仿宋" w:eastAsia="仿宋" w:hAnsi="仿宋" w:cs="仿宋" w:hint="eastAsia"/>
            <w:lang w:eastAsia="zh-CN"/>
          </w:rPr>
          <w:t>(一)、创新策略与方向</w:t>
        </w:r>
        <w:r>
          <w:tab/>
        </w:r>
        <w:r>
          <w:fldChar w:fldCharType="begin"/>
        </w:r>
        <w:r>
          <w:instrText xml:space="preserve"> PAGEREF _Toc28764 \h </w:instrText>
        </w:r>
        <w:r>
          <w:fldChar w:fldCharType="separate"/>
        </w:r>
        <w:r>
          <w:t>43</w:t>
        </w:r>
        <w:r>
          <w:fldChar w:fldCharType="end"/>
        </w:r>
      </w:hyperlink>
    </w:p>
    <w:p>
      <w:pPr>
        <w:pStyle w:val="TOC2"/>
        <w:tabs>
          <w:tab w:val="right" w:leader="dot" w:pos="8306"/>
        </w:tabs>
      </w:pPr>
      <w:hyperlink w:anchor="_Toc29341" w:history="1">
        <w:r>
          <w:rPr>
            <w:rFonts w:ascii="仿宋" w:eastAsia="仿宋" w:hAnsi="仿宋" w:cs="仿宋" w:hint="eastAsia"/>
            <w:lang w:eastAsia="zh-CN"/>
          </w:rPr>
          <w:t>(二)、研发规划与投入</w:t>
        </w:r>
        <w:r>
          <w:tab/>
        </w:r>
        <w:r>
          <w:fldChar w:fldCharType="begin"/>
        </w:r>
        <w:r>
          <w:instrText xml:space="preserve"> PAGEREF _Toc29341 \h </w:instrText>
        </w:r>
        <w:r>
          <w:fldChar w:fldCharType="separate"/>
        </w:r>
        <w:r>
          <w:t>45</w:t>
        </w:r>
        <w:r>
          <w:fldChar w:fldCharType="end"/>
        </w:r>
      </w:hyperlink>
    </w:p>
    <w:p>
      <w:pPr>
        <w:pStyle w:val="TOC1"/>
        <w:tabs>
          <w:tab w:val="right" w:leader="dot" w:pos="8306"/>
        </w:tabs>
      </w:pPr>
      <w:hyperlink w:anchor="_Toc32700" w:history="1">
        <w:r>
          <w:rPr>
            <w:rFonts w:ascii="仿宋" w:eastAsia="仿宋" w:hAnsi="仿宋" w:cs="仿宋" w:hint="eastAsia"/>
            <w:lang w:eastAsia="zh-CN"/>
          </w:rPr>
          <w:t>十三、化肥项目实施保障措施</w:t>
        </w:r>
        <w:r>
          <w:tab/>
        </w:r>
        <w:r>
          <w:fldChar w:fldCharType="begin"/>
        </w:r>
        <w:r>
          <w:instrText xml:space="preserve"> PAGEREF _Toc32700 \h </w:instrText>
        </w:r>
        <w:r>
          <w:fldChar w:fldCharType="separate"/>
        </w:r>
        <w:r>
          <w:t>46</w:t>
        </w:r>
        <w:r>
          <w:fldChar w:fldCharType="end"/>
        </w:r>
      </w:hyperlink>
    </w:p>
    <w:p>
      <w:pPr>
        <w:pStyle w:val="TOC2"/>
        <w:tabs>
          <w:tab w:val="right" w:leader="dot" w:pos="8306"/>
        </w:tabs>
      </w:pPr>
      <w:hyperlink w:anchor="_Toc30822" w:history="1">
        <w:r>
          <w:rPr>
            <w:rFonts w:ascii="仿宋" w:eastAsia="仿宋" w:hAnsi="仿宋" w:cs="仿宋" w:hint="eastAsia"/>
            <w:lang w:eastAsia="zh-CN"/>
          </w:rPr>
          <w:t>(一)、化肥项目实施保障机制</w:t>
        </w:r>
        <w:r>
          <w:tab/>
        </w:r>
        <w:r>
          <w:fldChar w:fldCharType="begin"/>
        </w:r>
        <w:r>
          <w:instrText xml:space="preserve"> PAGEREF _Toc30822 \h </w:instrText>
        </w:r>
        <w:r>
          <w:fldChar w:fldCharType="separate"/>
        </w:r>
        <w:r>
          <w:t>46</w:t>
        </w:r>
        <w:r>
          <w:fldChar w:fldCharType="end"/>
        </w:r>
      </w:hyperlink>
    </w:p>
    <w:p>
      <w:pPr>
        <w:pStyle w:val="TOC2"/>
        <w:tabs>
          <w:tab w:val="right" w:leader="dot" w:pos="8306"/>
        </w:tabs>
      </w:pPr>
      <w:hyperlink w:anchor="_Toc23366" w:history="1">
        <w:r>
          <w:rPr>
            <w:rFonts w:ascii="仿宋" w:eastAsia="仿宋" w:hAnsi="仿宋" w:cs="仿宋" w:hint="eastAsia"/>
            <w:lang w:eastAsia="zh-CN"/>
          </w:rPr>
          <w:t>(二)、化肥项目法律合规要求</w:t>
        </w:r>
        <w:r>
          <w:tab/>
        </w:r>
        <w:r>
          <w:fldChar w:fldCharType="begin"/>
        </w:r>
        <w:r>
          <w:instrText xml:space="preserve"> PAGEREF _Toc23366 \h </w:instrText>
        </w:r>
        <w:r>
          <w:fldChar w:fldCharType="separate"/>
        </w:r>
        <w:r>
          <w:t>49</w:t>
        </w:r>
        <w:r>
          <w:fldChar w:fldCharType="end"/>
        </w:r>
      </w:hyperlink>
    </w:p>
    <w:p>
      <w:pPr>
        <w:pStyle w:val="TOC2"/>
        <w:tabs>
          <w:tab w:val="right" w:leader="dot" w:pos="8306"/>
        </w:tabs>
      </w:pPr>
      <w:hyperlink w:anchor="_Toc1345" w:history="1">
        <w:r>
          <w:rPr>
            <w:rFonts w:ascii="仿宋" w:eastAsia="仿宋" w:hAnsi="仿宋" w:cs="仿宋" w:hint="eastAsia"/>
            <w:lang w:eastAsia="zh-CN"/>
          </w:rPr>
          <w:t>(三)、化肥项目合同管理与法律事务</w:t>
        </w:r>
        <w:r>
          <w:tab/>
        </w:r>
        <w:r>
          <w:fldChar w:fldCharType="begin"/>
        </w:r>
        <w:r>
          <w:instrText xml:space="preserve"> PAGEREF _Toc1345 \h </w:instrText>
        </w:r>
        <w:r>
          <w:fldChar w:fldCharType="separate"/>
        </w:r>
        <w:r>
          <w:t>53</w:t>
        </w:r>
        <w:r>
          <w:fldChar w:fldCharType="end"/>
        </w:r>
      </w:hyperlink>
    </w:p>
    <w:p>
      <w:pPr>
        <w:pStyle w:val="TOC2"/>
        <w:tabs>
          <w:tab w:val="right" w:leader="dot" w:pos="8306"/>
        </w:tabs>
      </w:pPr>
      <w:hyperlink w:anchor="_Toc9201" w:history="1">
        <w:r>
          <w:rPr>
            <w:rFonts w:ascii="仿宋" w:eastAsia="仿宋" w:hAnsi="仿宋" w:cs="仿宋" w:hint="eastAsia"/>
            <w:lang w:eastAsia="zh-CN"/>
          </w:rPr>
          <w:t>(四)、化肥项目知识产权保护策略</w:t>
        </w:r>
        <w:r>
          <w:tab/>
        </w:r>
        <w:r>
          <w:fldChar w:fldCharType="begin"/>
        </w:r>
        <w:r>
          <w:instrText xml:space="preserve"> PAGEREF _Toc9201 \h </w:instrText>
        </w:r>
        <w:r>
          <w:fldChar w:fldCharType="separate"/>
        </w:r>
        <w:r>
          <w:t>59</w:t>
        </w:r>
        <w:r>
          <w:fldChar w:fldCharType="end"/>
        </w:r>
      </w:hyperlink>
    </w:p>
    <w:p>
      <w:pPr>
        <w:pStyle w:val="TOC1"/>
        <w:tabs>
          <w:tab w:val="right" w:leader="dot" w:pos="8306"/>
        </w:tabs>
      </w:pPr>
      <w:hyperlink w:anchor="_Toc29870" w:history="1">
        <w:r>
          <w:rPr>
            <w:rFonts w:ascii="仿宋" w:eastAsia="仿宋" w:hAnsi="仿宋" w:cs="仿宋" w:hint="eastAsia"/>
            <w:lang w:eastAsia="zh-CN"/>
          </w:rPr>
          <w:t>十四、化肥项目工程方案分析</w:t>
        </w:r>
        <w:r>
          <w:tab/>
        </w:r>
        <w:r>
          <w:fldChar w:fldCharType="begin"/>
        </w:r>
        <w:r>
          <w:instrText xml:space="preserve"> PAGEREF _Toc29870 \h </w:instrText>
        </w:r>
        <w:r>
          <w:fldChar w:fldCharType="separate"/>
        </w:r>
        <w:r>
          <w:t>62</w:t>
        </w:r>
        <w:r>
          <w:fldChar w:fldCharType="end"/>
        </w:r>
      </w:hyperlink>
    </w:p>
    <w:p>
      <w:pPr>
        <w:pStyle w:val="TOC2"/>
        <w:tabs>
          <w:tab w:val="right" w:leader="dot" w:pos="8306"/>
        </w:tabs>
      </w:pPr>
      <w:hyperlink w:anchor="_Toc13310" w:history="1">
        <w:r>
          <w:rPr>
            <w:rFonts w:ascii="仿宋" w:eastAsia="仿宋" w:hAnsi="仿宋" w:cs="仿宋" w:hint="eastAsia"/>
            <w:lang w:eastAsia="zh-CN"/>
          </w:rPr>
          <w:t>(一)、建筑工程设计原则</w:t>
        </w:r>
        <w:r>
          <w:tab/>
        </w:r>
        <w:r>
          <w:fldChar w:fldCharType="begin"/>
        </w:r>
        <w:r>
          <w:instrText xml:space="preserve"> PAGEREF _Toc13310 \h </w:instrText>
        </w:r>
        <w:r>
          <w:fldChar w:fldCharType="separate"/>
        </w:r>
        <w:r>
          <w:t>62</w:t>
        </w:r>
        <w:r>
          <w:fldChar w:fldCharType="end"/>
        </w:r>
      </w:hyperlink>
    </w:p>
    <w:p>
      <w:pPr>
        <w:pStyle w:val="TOC2"/>
        <w:tabs>
          <w:tab w:val="right" w:leader="dot" w:pos="8306"/>
        </w:tabs>
      </w:pPr>
      <w:hyperlink w:anchor="_Toc31140" w:history="1">
        <w:r>
          <w:rPr>
            <w:rFonts w:ascii="仿宋" w:eastAsia="仿宋" w:hAnsi="仿宋" w:cs="仿宋" w:hint="eastAsia"/>
            <w:lang w:eastAsia="zh-CN"/>
          </w:rPr>
          <w:t>(二)、土建工程建设指标</w:t>
        </w:r>
        <w:r>
          <w:tab/>
        </w:r>
        <w:r>
          <w:fldChar w:fldCharType="begin"/>
        </w:r>
        <w:r>
          <w:instrText xml:space="preserve"> PAGEREF _Toc31140 \h </w:instrText>
        </w:r>
        <w:r>
          <w:fldChar w:fldCharType="separate"/>
        </w:r>
        <w:r>
          <w:t>65</w:t>
        </w:r>
        <w:r>
          <w:fldChar w:fldCharType="end"/>
        </w:r>
      </w:hyperlink>
    </w:p>
    <w:p>
      <w:pPr>
        <w:pStyle w:val="TOC1"/>
        <w:tabs>
          <w:tab w:val="right" w:leader="dot" w:pos="8306"/>
        </w:tabs>
      </w:pPr>
      <w:hyperlink w:anchor="_Toc5469" w:history="1">
        <w:r>
          <w:rPr>
            <w:rFonts w:ascii="仿宋" w:eastAsia="仿宋" w:hAnsi="仿宋" w:cs="仿宋" w:hint="eastAsia"/>
            <w:lang w:eastAsia="zh-CN"/>
          </w:rPr>
          <w:t>十五、化肥项目实施时间节点</w:t>
        </w:r>
        <w:r>
          <w:tab/>
        </w:r>
        <w:r>
          <w:fldChar w:fldCharType="begin"/>
        </w:r>
        <w:r>
          <w:instrText xml:space="preserve"> PAGEREF _Toc5469 \h </w:instrText>
        </w:r>
        <w:r>
          <w:fldChar w:fldCharType="separate"/>
        </w:r>
        <w:r>
          <w:t>67</w:t>
        </w:r>
        <w:r>
          <w:fldChar w:fldCharType="end"/>
        </w:r>
      </w:hyperlink>
    </w:p>
    <w:p>
      <w:pPr>
        <w:pStyle w:val="TOC2"/>
        <w:tabs>
          <w:tab w:val="right" w:leader="dot" w:pos="8306"/>
        </w:tabs>
      </w:pPr>
      <w:hyperlink w:anchor="_Toc21987" w:history="1">
        <w:r>
          <w:rPr>
            <w:rFonts w:ascii="仿宋" w:eastAsia="仿宋" w:hAnsi="仿宋" w:cs="仿宋" w:hint="eastAsia"/>
            <w:lang w:eastAsia="zh-CN"/>
          </w:rPr>
          <w:t>(一)、化肥项目启动阶段时间节点</w:t>
        </w:r>
        <w:r>
          <w:tab/>
        </w:r>
        <w:r>
          <w:fldChar w:fldCharType="begin"/>
        </w:r>
        <w:r>
          <w:instrText xml:space="preserve"> PAGEREF _Toc21987 \h </w:instrText>
        </w:r>
        <w:r>
          <w:fldChar w:fldCharType="separate"/>
        </w:r>
        <w:r>
          <w:t>67</w:t>
        </w:r>
        <w:r>
          <w:fldChar w:fldCharType="end"/>
        </w:r>
      </w:hyperlink>
    </w:p>
    <w:p>
      <w:pPr>
        <w:pStyle w:val="TOC2"/>
        <w:tabs>
          <w:tab w:val="right" w:leader="dot" w:pos="8306"/>
        </w:tabs>
      </w:pPr>
      <w:hyperlink w:anchor="_Toc3122" w:history="1">
        <w:r>
          <w:rPr>
            <w:rFonts w:ascii="仿宋" w:eastAsia="仿宋" w:hAnsi="仿宋" w:cs="仿宋" w:hint="eastAsia"/>
            <w:lang w:eastAsia="zh-CN"/>
          </w:rPr>
          <w:t>(二)、化肥项目执行阶段时间节点</w:t>
        </w:r>
        <w:r>
          <w:tab/>
        </w:r>
        <w:r>
          <w:fldChar w:fldCharType="begin"/>
        </w:r>
        <w:r>
          <w:instrText xml:space="preserve"> PAGEREF _Toc3122 \h </w:instrText>
        </w:r>
        <w:r>
          <w:fldChar w:fldCharType="separate"/>
        </w:r>
        <w:r>
          <w:t>68</w:t>
        </w:r>
        <w:r>
          <w:fldChar w:fldCharType="end"/>
        </w:r>
      </w:hyperlink>
    </w:p>
    <w:p>
      <w:pPr>
        <w:pStyle w:val="TOC2"/>
        <w:tabs>
          <w:tab w:val="right" w:leader="dot" w:pos="8306"/>
        </w:tabs>
      </w:pPr>
      <w:hyperlink w:anchor="_Toc10451" w:history="1">
        <w:r>
          <w:rPr>
            <w:rFonts w:ascii="仿宋" w:eastAsia="仿宋" w:hAnsi="仿宋" w:cs="仿宋" w:hint="eastAsia"/>
            <w:lang w:eastAsia="zh-CN"/>
          </w:rPr>
          <w:t>(三)、化肥项目完成阶段时间节点</w:t>
        </w:r>
        <w:r>
          <w:tab/>
        </w:r>
        <w:r>
          <w:fldChar w:fldCharType="begin"/>
        </w:r>
        <w:r>
          <w:instrText xml:space="preserve"> PAGEREF _Toc10451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28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420"/>
      <w:r>
        <w:rPr>
          <w:rFonts w:ascii="仿宋" w:eastAsia="仿宋" w:hAnsi="仿宋" w:cs="仿宋" w:hint="eastAsia"/>
          <w:lang w:eastAsia="zh-CN"/>
        </w:rPr>
        <w:t>(一)、化肥行业分析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肥行业一直以来都是市场的关注焦点。行业内的发展趋势、竞争态势以及潜在机会都对化肥项目的推进产生深远的影响。通过深入研究行业的整体概貌，我们将更好地理解行业的核心特征，为化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肥行业，技术一直是推动创新和发展的关键因素。我们将对当前技术趋势进行详尽分析，包括但不限于人工智能、大数据应用、先进制造技术等。这有助于化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化肥项目成功的基础。我们将对主要竞争对手进行深入研究，包括其市场份额、产品特点、市场定位等。通过全面了解竞争对手的优势和劣势，化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047"/>
      <w:r>
        <w:rPr>
          <w:rFonts w:ascii="仿宋" w:eastAsia="仿宋" w:hAnsi="仿宋" w:cs="仿宋" w:hint="eastAsia"/>
          <w:sz w:val="28"/>
          <w:lang w:eastAsia="zh-CN"/>
        </w:rPr>
        <w:t>(二)、化肥市场分析预测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通过对市场规模的深入调研，我们将预测化肥市场未来的增长趋势。这包括市场的整体规模、各细分领域的发展趋势等。化肥项目可以根据市场的扩张速度和潜在机会，制定更符合市场需求的发展策略。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了解消费者的需求是市场分析的核心。我们将通过调查研究，深入挖掘目标消费者的需求特点、购买习惯以及对产品和服务的期望。这有助于化肥项目更好地定位目标市场，提供更符合消费者期待的解决方案。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化肥项目实施过程中需要充分考虑的因素。我们将对市场风险进行全面评估，包括但不限于政策法规风险、市场竞争风险、技术变革风险等。通过对潜在风险的深入分析，化肥项目可以制定相应的风险缓解策略，降低不确定性对化肥项目的影响。</w:t>
      </w:r>
    </w:p>
    <w:p>
      <w:pPr>
        <w:pStyle w:val="Heading1"/>
        <w:ind w:firstLine="560" w:firstLineChars="200"/>
        <w:rPr>
          <w:rFonts w:ascii="仿宋" w:eastAsia="仿宋" w:hAnsi="仿宋" w:cs="仿宋" w:hint="eastAsia"/>
          <w:sz w:val="28"/>
          <w:lang w:eastAsia="zh-CN"/>
        </w:rPr>
      </w:pPr>
      <w:bookmarkStart w:id="5" w:name="_Toc29568"/>
      <w:r>
        <w:rPr>
          <w:rFonts w:ascii="仿宋" w:eastAsia="仿宋" w:hAnsi="仿宋" w:cs="仿宋" w:hint="eastAsia"/>
          <w:sz w:val="28"/>
          <w:lang w:eastAsia="zh-CN"/>
        </w:rPr>
        <w:t>二、化肥项目危机管理</w:t>
      </w:r>
      <w:bookmarkEnd w:id="5"/>
    </w:p>
    <w:p>
      <w:pPr>
        <w:pStyle w:val="Heading2"/>
        <w:rPr>
          <w:rFonts w:ascii="仿宋" w:eastAsia="仿宋" w:hAnsi="仿宋" w:cs="仿宋" w:hint="eastAsia"/>
          <w:lang w:eastAsia="zh-CN"/>
        </w:rPr>
      </w:pPr>
      <w:bookmarkStart w:id="6" w:name="_Toc3194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化肥项目危机管理中，危机预警与识别是确保化肥项目稳健运行的核心步骤。通过建立全面的监测机制，化肥项目团队旨在及时发现和理解潜在的风险和危机因素，以便采取及时的预防和应对措施，确保化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首先，通过深入的风险评估，化肥项目团队全面分析了整个化肥项目和各个阶段可能存在的威胁。这包括准确评估每个潜在风险的发生概率和可能影响的程度，为后续危机预警提供了有力支持。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化肥项目团队着重于明确定义化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化肥项目进展的持续监控，团队能够及时发现潜在问题并作出迅速反应。化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在这一阶段，团队的专业素养和反应速度将发挥至关重要的作用，以确保潜在危机能够在初期得到有效的处理，最大程度地减轻负面影响。通过危机预警与识别，化肥项目得以更有序、可控地推进。</w:t>
      </w:r>
    </w:p>
    <w:p>
      <w:pPr>
        <w:pStyle w:val="Heading2"/>
        <w:ind w:firstLine="560" w:firstLineChars="200"/>
        <w:rPr>
          <w:rFonts w:ascii="仿宋" w:eastAsia="仿宋" w:hAnsi="仿宋" w:cs="仿宋" w:hint="eastAsia"/>
          <w:sz w:val="28"/>
          <w:lang w:eastAsia="zh-CN"/>
        </w:rPr>
      </w:pPr>
      <w:bookmarkStart w:id="7" w:name="_Toc2298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在危机发生时，化肥项目团队立即行动，成立了应急小组。该小组的任务是迅速制定并实施紧急应对措施，以最小化潜在损失。以下是采取的主要措施：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暂停化肥项目进度：为遏制危机蔓延，化肥项目暂时停止进行，以便全面评估当前状况。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资源重新分配：重新评估化肥项目资源的分配，确保最大限度地减小损失。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实时沟通：与关键利益相关者建立实时沟通机制，向他们传递化肥项目危机的实际状况，保障化肥项目核心利益。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在紧急应对的同时，化肥项目团队强调了团队协作和有效沟通的重要性。以下是团队协作的关键举措：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信息共享机制：建立了信息共享平台，确保团队成员能够及时获取化肥项目危机的实时信息。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领导者沟通：化肥项目领导者通过定期会议和即时沟通工具，指导团队应对危机，保持团队稳定运行。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随着危机得到初步控制，化肥项目团队转向制定恢复计划，以确保化肥项目能够从中迅速恢复。主要恢复计划包括：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修复受损的进度计划：重新评估化肥项目进度，制定修复计划，确保化肥项目尽快回归正常进程。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重新调整资源分配：优化资源分配，确保化肥项目在有限资源下高效运转。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风险管理机制加强：对化肥项目风险进行全面评估，制定更强化的风险管理策略，以预防未来可能的危机。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6361"/>
      <w:r>
        <w:rPr>
          <w:rFonts w:ascii="仿宋" w:eastAsia="仿宋" w:hAnsi="仿宋" w:cs="仿宋" w:hint="eastAsia"/>
          <w:sz w:val="28"/>
          <w:lang w:eastAsia="zh-CN"/>
        </w:rPr>
        <w:t>三、化肥项目建设单位说明</w:t>
      </w:r>
      <w:bookmarkEnd w:id="8"/>
    </w:p>
    <w:p>
      <w:pPr>
        <w:pStyle w:val="Heading2"/>
        <w:rPr>
          <w:rFonts w:ascii="仿宋" w:eastAsia="仿宋" w:hAnsi="仿宋" w:cs="仿宋" w:hint="eastAsia"/>
          <w:lang w:eastAsia="zh-CN"/>
        </w:rPr>
      </w:pPr>
      <w:bookmarkStart w:id="9" w:name="_Toc26293"/>
      <w:r>
        <w:rPr>
          <w:rFonts w:ascii="仿宋" w:eastAsia="仿宋" w:hAnsi="仿宋" w:cs="仿宋" w:hint="eastAsia"/>
          <w:lang w:eastAsia="zh-CN"/>
        </w:rPr>
        <w:t>(一)、化肥项目承办单位基本情况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013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化肥项目承办单位的XXXX，我们着眼于实现可持续的经济效益。通过技术创新和解决方案的提供，公司预计在化肥项目执行期间将获得可观的收入增长。这一收入来源主要包括化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同时，我们注重成本控制和效率提升，以确保化肥项目的可持续盈利。透过精细的管理和资源优化，公司期望实现化肥项目利润最大化。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化肥项目实施进行全面的投资评估，包括化肥项目启动阶段的资金投入和后续运营成本。通过对化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为确保公司在化肥项目实施过程中具备足够的资金流动性，公司将进行详尽的现金流分析。这包括资金需求的合理预测、化肥项目周期内的资金峰谷分析以及灵活的财务管理策略，以应对各种潜在的经济变动。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0866"/>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878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的技术管理特点体现在其创新导向。通过引入最先进的技术趋势和解决方案，化肥项目致力于提升科技含量、提高质量和效率水平。这意味着我们将采用最新的工具和方法，确保化肥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化肥项目技术管理的显著特征。通过整合不同领域的技术资源，我们实现了跨学科的协同工作。这有助于优化技术架构，提高整体效能。此外，整合性策略还促进了不同技术团队之间的紧密沟通和高效合作，确保化肥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化肥项目所采用的技术。通过不断优化技术方案，化肥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化肥项目团队将在化肥项目初期识别可能的技术风险，并采取相应的预防和应对措施。通过建立健全的风险评估机制，化肥项目能够在实施过程中及时发现并解决潜在的技术问题，保障化肥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通过这些独特的技术管理特点，我们确信在化肥项目中，技术将成为化肥项目成功的有力支持。这一深度剖析揭示了技术管理在化肥项目实施中的关键作用，为化肥项目的技术基础奠定了坚实的基础。</w:t>
      </w:r>
    </w:p>
    <w:p>
      <w:pPr>
        <w:pStyle w:val="Heading2"/>
        <w:ind w:firstLine="560" w:firstLineChars="200"/>
        <w:rPr>
          <w:rFonts w:ascii="仿宋" w:eastAsia="仿宋" w:hAnsi="仿宋" w:cs="仿宋" w:hint="eastAsia"/>
          <w:sz w:val="28"/>
          <w:lang w:eastAsia="zh-CN"/>
        </w:rPr>
      </w:pPr>
      <w:bookmarkStart w:id="13" w:name="_Toc3798"/>
      <w:r>
        <w:rPr>
          <w:rFonts w:ascii="仿宋" w:eastAsia="仿宋" w:hAnsi="仿宋" w:cs="仿宋" w:hint="eastAsia"/>
          <w:sz w:val="28"/>
          <w:lang w:eastAsia="zh-CN"/>
        </w:rPr>
        <w:t>(二)、化肥项目工艺技术设计方案</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化肥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化肥项目将严格按照相关行业规范要求进行组织。通过有效控制产品质量，化肥项目将致力于为顾客提供优质的化肥项目产品和良好的服务。这体现了化肥项目对于生产活动合规性和质量标准的高度重视，为化肥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化肥项目注重生态效益和清洁生产原则。化肥项目建设将紧密结合地方特色经济发展，与社会经济发展规划和区域环境保护规划方案相协调一致。通过与当地区域自然生态系统的结合，化肥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化肥项目产品具有多样化的客户需求和个性化的特点。因此，化肥项目产品规格品种多样，且单批生产数量较小。为满足这一特点，化肥项目承办单位将建设先进的柔性制造生产线。通过广泛应用柔性制造技术，化肥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总体而言，化肥项目采用的技术具有较高的技术含量和自动化水平，处于国内先进水平。这一技术选用不仅体现了对生产效率、质量和环境友好性的高标准要求，同时为化肥项目的可持续发展奠定了坚实的基础。</w:t>
      </w:r>
    </w:p>
    <w:p>
      <w:pPr>
        <w:pStyle w:val="Heading2"/>
        <w:ind w:firstLine="560" w:firstLineChars="200"/>
        <w:rPr>
          <w:rFonts w:ascii="仿宋" w:eastAsia="仿宋" w:hAnsi="仿宋" w:cs="仿宋" w:hint="eastAsia"/>
          <w:sz w:val="28"/>
          <w:lang w:eastAsia="zh-CN"/>
        </w:rPr>
      </w:pPr>
      <w:bookmarkStart w:id="14" w:name="_Toc266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为确保化肥项目的高效生产和技术实施，我们制定了一套精心设计的设备选型方案，以满足化肥项目生产、质量和环保的要求。该方案的主要特点如下：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化肥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针对化肥项目产品的多样性和小批量生产的特点，我们将建设柔性制造生产线。通过在设备选型中考虑柔性制造技术，可以灵活应对不同产品规格和生产需求，实现生产线的高度灵活性和适应性。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1373"/>
      <w:r>
        <w:rPr>
          <w:rFonts w:ascii="仿宋" w:eastAsia="仿宋" w:hAnsi="仿宋" w:cs="仿宋" w:hint="eastAsia"/>
          <w:sz w:val="28"/>
          <w:lang w:eastAsia="zh-CN"/>
        </w:rPr>
        <w:t>五、化肥项目概论</w:t>
      </w:r>
      <w:bookmarkEnd w:id="15"/>
    </w:p>
    <w:p>
      <w:pPr>
        <w:pStyle w:val="Heading2"/>
        <w:rPr>
          <w:rFonts w:ascii="仿宋" w:eastAsia="仿宋" w:hAnsi="仿宋" w:cs="仿宋" w:hint="eastAsia"/>
          <w:lang w:eastAsia="zh-CN"/>
        </w:rPr>
      </w:pPr>
      <w:bookmarkStart w:id="16" w:name="_Toc28230"/>
      <w:r>
        <w:rPr>
          <w:rFonts w:ascii="仿宋" w:eastAsia="仿宋" w:hAnsi="仿宋" w:cs="仿宋" w:hint="eastAsia"/>
          <w:lang w:eastAsia="zh-CN"/>
        </w:rPr>
        <w:t>(一)、化肥项目概况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的起源追溯至对市场的深入洞察。市场的不断演变与变革为化肥项目提供了难得的机遇。当前市场存在的需求缺口和变革的大环境共同构成了化肥项目的背景。这个化肥项目旨在充分利用市场机遇，填补行业中尚未满足的需求，为客户提供全新的解决方案。市场的变革和需求的增长使得这个化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化肥项目名称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化肥项目正式命名为化肥。这个名称不仅仅是一个标识，更代表了化肥项目的核心理念和愿景。它蕴含着化肥项目所要解决问题的关键字，具有强烈的表达和辨识度，为化肥项目树立了鲜明的品牌形象。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化肥项目目标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的核心目标是提供一种全新、高效的解决方案，满足客户日益增长的需求。化肥项目追求的不仅仅是满足市场需求，更是在市场中获得卓越的竞争优势。通过不断提升产品或服务的质量和创新水平，化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化肥项目范围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全面涵盖了产品研发、制造、市场推广和售后服务，确保从产品设计到最终用户体验的全方位关注。这一全面的化肥项目范围是为了确保化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化肥项目时间表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化肥项目计划在未来18个月内完成，包括研发、测试、市场试点和正式推出等不同阶段。这个时间表的合理设计是为了确保化肥项目各个阶段的顺利推进，以便按时交付高质量的成果。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化肥项目预算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化肥项目总预算估算为XX百万美元，主要分配在研发、市场推广、人员培训和运营等方面。这一充足的预算为化肥项目提供了充足的资源，确保化肥项目在各个方面都能取得优异的表现。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化肥项目风险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化肥项目可能面临的风险包括市场接受度低、技术难题、竞争激烈等。化肥项目团队已经制定了相应的风险应对计划，通过前瞻性的风险管理，确保化肥项目在面对不确定性时能够迅速做出应对。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化肥项目团队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化肥项目汇聚了一支经验丰富、多领域专业素养的核心团队，确保化肥项目在各个方面都能拥有高水平的执行力。团队的协同作战是化肥项目成功的关键因素之一。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化肥项目背景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化肥项目的背景根植于市场对更高效、创新产品的渴望，同时也受到科技发展对行业格局的深刻改变的影响。这为化肥项目提供了广阔的发展空间和市场需求。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化肥项目现状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截至目前，化肥项目已完成市场调研和技术验证，取得了初步的成功。这为化肥项目在未来的发展奠定了坚实的基础，为更远大的目标打下了坚实的基石。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6491"/>
      <w:r>
        <w:rPr>
          <w:rFonts w:ascii="仿宋" w:eastAsia="仿宋" w:hAnsi="仿宋" w:cs="仿宋" w:hint="eastAsia"/>
          <w:sz w:val="28"/>
          <w:lang w:eastAsia="zh-CN"/>
        </w:rPr>
        <w:t>(二)、化肥项目目标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keyword》化肥项目首要业务目标是在市场中占据有利地位，实现产品/服务的成功推广和销售。通过不断提升产品质量、创新性，化肥项目追求成为行业中的领导者，赢得更多客户的青睐。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在科技迅速发展的时代，化肥项目着眼于技术创新。通过持续的研发和技术升级，化肥项目旨在推出更具创新性的产品或服务，以满足市场对新鲜、先进解决方案的需求。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为了建立可持续的客户关系，化肥项目设定了客户满意度目标。通过提供卓越的产品质量和优质的客户服务，化肥项目追求赢得客户的信任和忠诚度，确保他们的满意度达到行业领先水平。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化肥项目注重社会责任和可持续发展。通过实施环保、社会责任化肥项目，化肥项目致力于在经济发展的同时保护环境，促进社会公平，实现可持续经营。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化肥项目的团队是实现目标的核心驱动力。因此，化肥项目设定了团队发展目标，包括提升团队成员的专业技能、培养领导力，以及搭建协同高效的团队工作氛围。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5183"/>
      <w:r>
        <w:rPr>
          <w:rFonts w:ascii="仿宋" w:eastAsia="仿宋" w:hAnsi="仿宋" w:cs="仿宋" w:hint="eastAsia"/>
          <w:sz w:val="28"/>
          <w:lang w:eastAsia="zh-CN"/>
        </w:rPr>
        <w:t>(三)、化肥项目提出的理由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化肥项目提出的理由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的提出源于对市场机遇的深刻洞察。当前市场中存在的需求缺口和行业发展趋势表明，有巨大的商业机会等待被开发。通过准确捕捉市场机遇，化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的理念基于对技术创新的信仰。通过持续的研发和技术投入，化肥项目有望推出更具创新性的产品或服务。在科技飞速发展的当下，化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化肥项目的提出是为了增强企业的行业竞争力。通过提升产品或服务的质量和独特性，化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响应了消费者需求的变化。随着社会和科技的不断发展，消费者对产品和服务的需求也在发生变化。通过深入了解并及时回应消费者的新需求，化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化肥项目的提出是企业战略发展规划的一部分。在面对日益激烈的市场竞争和不断变化的商业环境中，化肥项目作为企业战略的一环，旨在为企业开辟新的增长领域，巩固企业在行业中的地位。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化肥项目的提出不仅仅是基于商业考量，还注重社会责任。通过推出环保、社会责任等方面的化肥项目，化肥企业可以在社会中树立积极形象，为社会做出积极贡献，实现经济效益和社会效益的双赢。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化肥项目的提出反映了对利益相关者期望的关注。包括客户、员工、投资者等利益相关者在企业发展中都有着各自的期望，化肥项目力求在满足这些期望的同时，取得更大的共赢。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872"/>
      <w:r>
        <w:rPr>
          <w:rFonts w:ascii="仿宋" w:eastAsia="仿宋" w:hAnsi="仿宋" w:cs="仿宋" w:hint="eastAsia"/>
          <w:sz w:val="28"/>
          <w:lang w:eastAsia="zh-CN"/>
        </w:rPr>
        <w:t>(四)、化肥项目意义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在实施化肥项目的过程中，我们不仅仅是在追逐商业成功，更是为企业和社会的多个层面创造了深远的意义。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https://d.book118.com/638104024124006037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C2263A"/>
    <w:rsid w:val="35C226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10402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2024-02-19T14:27:00Z</dcterms:created>
  <dcterms:modified xsi:type="dcterms:W3CDTF">2024-02-19T14:27:48Z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B8CF0DCFC732435180F773CEE1E6B4CA_11</vt:lpwstr>
  </property>
  <property fmtid="{D5CDD505-2E9C-101B-9397-08002B2CF9AE}" pid="3" name="KSOProductBuildVer">
    <vt:lpwstr>2052-12.1.0.16250</vt:lpwstr>
  </property>
</Properties>
</file>