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Title"/>
        <w:tabs>
          <w:tab w:val="left" w:pos="1562"/>
        </w:tabs>
      </w:pPr>
      <w:r>
        <w:rPr>
          <w:color w:val="355F91"/>
        </w:rPr>
        <w:t>目</w:t>
        <w:tab/>
        <w:t>录</w:t>
      </w:r>
    </w:p>
    <w:p>
      <w:pPr>
        <w:tabs>
          <w:tab w:val="left" w:pos="2552"/>
        </w:tabs>
        <w:spacing w:before="567"/>
        <w:ind w:left="1113" w:right="0" w:firstLine="0"/>
        <w:jc w:val="left"/>
        <w:rPr>
          <w:sz w:val="36"/>
        </w:rPr>
      </w:pPr>
      <w:r>
        <w:rPr>
          <w:sz w:val="36"/>
        </w:rPr>
        <w:t>第一章</w:t>
        <w:tab/>
        <w:t>工程概况、施工准备及布置</w:t>
      </w:r>
    </w:p>
    <w:p>
      <w:pPr>
        <w:tabs>
          <w:tab w:val="left" w:pos="3006"/>
        </w:tabs>
        <w:spacing w:before="83"/>
        <w:ind w:left="1743" w:right="0" w:firstLine="0"/>
        <w:jc w:val="left"/>
        <w:rPr>
          <w:sz w:val="31"/>
        </w:rPr>
      </w:pPr>
      <w:r>
        <w:rPr>
          <w:sz w:val="31"/>
        </w:rPr>
        <w:t>第一节</w:t>
        <w:tab/>
        <w:t>工程概况</w:t>
      </w:r>
    </w:p>
    <w:p>
      <w:pPr>
        <w:tabs>
          <w:tab w:val="left" w:pos="3006"/>
        </w:tabs>
        <w:spacing w:before="71" w:line="394" w:lineRule="exact"/>
        <w:ind w:left="1743" w:right="0" w:firstLine="0"/>
        <w:jc w:val="left"/>
        <w:rPr>
          <w:sz w:val="31"/>
        </w:rPr>
      </w:pPr>
      <w:r>
        <w:rPr>
          <w:sz w:val="31"/>
        </w:rPr>
        <w:t>第二节</w:t>
        <w:tab/>
        <w:t>施工准备及总平布置</w:t>
      </w:r>
    </w:p>
    <w:p>
      <w:pPr>
        <w:tabs>
          <w:tab w:val="left" w:pos="2552"/>
        </w:tabs>
        <w:spacing w:before="0" w:line="459" w:lineRule="exact"/>
        <w:ind w:left="1113" w:right="0" w:firstLine="0"/>
        <w:jc w:val="left"/>
        <w:rPr>
          <w:sz w:val="36"/>
        </w:rPr>
      </w:pPr>
      <w:r>
        <w:rPr>
          <w:sz w:val="36"/>
        </w:rPr>
        <w:t>第二章</w:t>
        <w:tab/>
        <w:t>资源配备计划</w:t>
      </w:r>
    </w:p>
    <w:p>
      <w:pPr>
        <w:tabs>
          <w:tab w:val="left" w:pos="3006"/>
        </w:tabs>
        <w:spacing w:before="83"/>
        <w:ind w:left="1743" w:right="0" w:firstLine="0"/>
        <w:jc w:val="left"/>
        <w:rPr>
          <w:sz w:val="31"/>
        </w:rPr>
      </w:pPr>
      <w:r>
        <w:rPr>
          <w:sz w:val="31"/>
        </w:rPr>
        <w:t>第一节</w:t>
        <w:tab/>
        <w:t>劳动力配置计划</w:t>
      </w:r>
    </w:p>
    <w:p>
      <w:pPr>
        <w:tabs>
          <w:tab w:val="left" w:pos="3006"/>
        </w:tabs>
        <w:spacing w:before="71" w:line="283" w:lineRule="auto"/>
        <w:ind w:left="2373" w:right="8660" w:hanging="630"/>
        <w:jc w:val="left"/>
        <w:rPr>
          <w:sz w:val="31"/>
        </w:rPr>
      </w:pPr>
      <w:r>
        <w:rPr>
          <w:sz w:val="31"/>
        </w:rPr>
        <w:t>第二节</w:t>
        <w:tab/>
        <w:t>主要材料、构配件及周转材料配</w:t>
      </w:r>
      <w:r>
        <w:rPr>
          <w:spacing w:val="-19"/>
          <w:sz w:val="31"/>
        </w:rPr>
        <w:t>置</w:t>
      </w:r>
      <w:r>
        <w:rPr>
          <w:sz w:val="31"/>
        </w:rPr>
        <w:t>一、主要材料来源</w:t>
      </w:r>
    </w:p>
    <w:p>
      <w:pPr>
        <w:spacing w:before="0" w:line="283" w:lineRule="auto"/>
        <w:ind w:left="1743" w:right="8975" w:firstLine="630"/>
        <w:jc w:val="left"/>
        <w:rPr>
          <w:sz w:val="31"/>
        </w:rPr>
      </w:pPr>
      <w:r>
        <w:rPr>
          <w:sz w:val="31"/>
        </w:rPr>
        <w:t>二、材料的采购、运输、储存和管理第三节、施工机械设备配置计划</w:t>
      </w:r>
    </w:p>
    <w:p>
      <w:pPr>
        <w:tabs>
          <w:tab w:val="left" w:pos="2552"/>
        </w:tabs>
        <w:spacing w:before="0" w:line="383" w:lineRule="exact"/>
        <w:ind w:left="1113" w:right="0" w:firstLine="0"/>
        <w:jc w:val="left"/>
        <w:rPr>
          <w:sz w:val="36"/>
        </w:rPr>
      </w:pPr>
      <w:r>
        <w:rPr>
          <w:sz w:val="36"/>
        </w:rPr>
        <w:t>第三章</w:t>
        <w:tab/>
        <w:t>施工方案与技术措施</w:t>
      </w:r>
    </w:p>
    <w:p>
      <w:pPr>
        <w:spacing w:before="83" w:line="283" w:lineRule="auto"/>
        <w:ind w:left="1743" w:right="12143" w:firstLine="0"/>
        <w:jc w:val="both"/>
        <w:rPr>
          <w:sz w:val="31"/>
        </w:rPr>
      </w:pPr>
      <w:r>
        <w:rPr>
          <w:sz w:val="31"/>
        </w:rPr>
        <w:t>第一节 土方工程第二节 排水工程第三节 道路工程第四节 防渗系统</w:t>
      </w:r>
    </w:p>
    <w:p>
      <w:pPr>
        <w:spacing w:before="0" w:line="283" w:lineRule="auto"/>
        <w:ind w:left="1743" w:right="11193" w:firstLine="0"/>
        <w:jc w:val="both"/>
        <w:rPr>
          <w:sz w:val="31"/>
        </w:rPr>
      </w:pPr>
      <w:r>
        <w:rPr>
          <w:sz w:val="31"/>
        </w:rPr>
        <w:t>第五节 导渗、导气系统第六节 污水调节池</w:t>
      </w:r>
    </w:p>
    <w:p>
      <w:pPr>
        <w:spacing w:before="0" w:line="393" w:lineRule="exact"/>
        <w:ind w:left="1743" w:right="0" w:firstLine="0"/>
        <w:jc w:val="both"/>
        <w:rPr>
          <w:sz w:val="31"/>
        </w:rPr>
      </w:pPr>
      <w:r>
        <w:rPr>
          <w:sz w:val="31"/>
        </w:rPr>
        <w:t>第七节 电气工程安装</w:t>
      </w:r>
    </w:p>
    <w:p>
      <w:pPr>
        <w:spacing w:before="0" w:line="459" w:lineRule="exact"/>
        <w:ind w:left="1113" w:right="0" w:firstLine="0"/>
        <w:jc w:val="both"/>
        <w:rPr>
          <w:sz w:val="36"/>
        </w:rPr>
      </w:pPr>
      <w:r>
        <w:rPr>
          <w:sz w:val="36"/>
        </w:rPr>
        <w:t>第四章 质量管理体系与措施</w:t>
      </w:r>
    </w:p>
    <w:p>
      <w:pPr>
        <w:spacing w:before="80" w:line="283" w:lineRule="auto"/>
        <w:ind w:left="2373" w:right="9609" w:hanging="630"/>
        <w:jc w:val="both"/>
        <w:rPr>
          <w:sz w:val="31"/>
        </w:rPr>
      </w:pPr>
      <w:r>
        <w:rPr>
          <w:sz w:val="31"/>
        </w:rPr>
        <w:t>第一节 质量方针、目标和管理体系一、质量方针</w:t>
      </w:r>
    </w:p>
    <w:p>
      <w:pPr>
        <w:spacing w:before="0" w:line="396" w:lineRule="exact"/>
        <w:ind w:left="2373" w:right="0" w:firstLine="0"/>
        <w:jc w:val="left"/>
        <w:rPr>
          <w:sz w:val="31"/>
        </w:rPr>
      </w:pPr>
      <w:r>
        <w:rPr>
          <w:sz w:val="31"/>
        </w:rPr>
        <w:t>二、质量目标</w:t>
      </w:r>
    </w:p>
    <w:p>
      <w:pPr>
        <w:tabs>
          <w:tab w:val="left" w:pos="3006"/>
        </w:tabs>
        <w:spacing w:before="71" w:line="283" w:lineRule="auto"/>
        <w:ind w:left="1743" w:right="10876" w:firstLine="630"/>
        <w:jc w:val="left"/>
        <w:rPr>
          <w:sz w:val="31"/>
        </w:rPr>
      </w:pPr>
      <w:r>
        <w:rPr>
          <w:sz w:val="31"/>
        </w:rPr>
        <w:t>三、工程质量管理体</w:t>
      </w:r>
      <w:r>
        <w:rPr>
          <w:spacing w:val="-18"/>
          <w:sz w:val="31"/>
        </w:rPr>
        <w:t>系</w:t>
      </w:r>
      <w:r>
        <w:rPr>
          <w:sz w:val="31"/>
        </w:rPr>
        <w:t>第二节</w:t>
        <w:tab/>
        <w:t>工程质量保证措</w:t>
      </w:r>
      <w:r>
        <w:rPr>
          <w:spacing w:val="-17"/>
          <w:sz w:val="31"/>
        </w:rPr>
        <w:t>施</w:t>
      </w:r>
    </w:p>
    <w:p>
      <w:pPr>
        <w:spacing w:before="0" w:line="283" w:lineRule="auto"/>
        <w:ind w:left="2373" w:right="9926" w:firstLine="0"/>
        <w:jc w:val="left"/>
        <w:rPr>
          <w:sz w:val="31"/>
        </w:rPr>
      </w:pPr>
      <w:r>
        <w:rPr>
          <w:sz w:val="31"/>
        </w:rPr>
        <w:t>一、保证工程质量的主要方案二、保证工程质量的主要措施</w:t>
      </w:r>
    </w:p>
    <w:p>
      <w:pPr>
        <w:tabs>
          <w:tab w:val="left" w:pos="3006"/>
        </w:tabs>
        <w:spacing w:before="0" w:line="283" w:lineRule="auto"/>
        <w:ind w:left="2373" w:right="8975" w:hanging="630"/>
        <w:jc w:val="left"/>
        <w:rPr>
          <w:sz w:val="31"/>
        </w:rPr>
      </w:pPr>
      <w:r>
        <w:rPr>
          <w:sz w:val="31"/>
        </w:rPr>
        <w:t>第三节</w:t>
        <w:tab/>
        <w:t>材料采购、使用的质量保证措</w:t>
      </w:r>
      <w:r>
        <w:rPr>
          <w:spacing w:val="-17"/>
          <w:sz w:val="31"/>
        </w:rPr>
        <w:t>施</w:t>
      </w:r>
      <w:r>
        <w:rPr>
          <w:sz w:val="31"/>
        </w:rPr>
        <w:t>一、材料使用要求</w:t>
      </w:r>
    </w:p>
    <w:p>
      <w:pPr>
        <w:spacing w:before="0" w:line="396" w:lineRule="exact"/>
        <w:ind w:left="2373" w:right="0" w:firstLine="0"/>
        <w:jc w:val="left"/>
        <w:rPr>
          <w:sz w:val="31"/>
        </w:rPr>
      </w:pPr>
      <w:r>
        <w:rPr>
          <w:sz w:val="31"/>
        </w:rPr>
        <w:t>二、材料取样与试验</w:t>
      </w:r>
    </w:p>
    <w:p>
      <w:pPr>
        <w:spacing w:before="69" w:line="394" w:lineRule="exact"/>
        <w:ind w:left="2373" w:right="0" w:firstLine="0"/>
        <w:jc w:val="left"/>
        <w:rPr>
          <w:sz w:val="31"/>
        </w:rPr>
      </w:pPr>
      <w:r>
        <w:rPr>
          <w:sz w:val="31"/>
        </w:rPr>
        <w:t>三、材料的采购、搬运与贮存</w:t>
      </w:r>
    </w:p>
    <w:p>
      <w:pPr>
        <w:tabs>
          <w:tab w:val="left" w:pos="2552"/>
        </w:tabs>
        <w:spacing w:before="0" w:line="459" w:lineRule="exact"/>
        <w:ind w:left="1113" w:right="0" w:firstLine="0"/>
        <w:jc w:val="left"/>
        <w:rPr>
          <w:sz w:val="36"/>
        </w:rPr>
      </w:pPr>
      <w:r>
        <w:rPr>
          <w:sz w:val="36"/>
        </w:rPr>
        <w:t>第五章</w:t>
        <w:tab/>
        <w:t>安全管理体系与措施</w:t>
      </w:r>
    </w:p>
    <w:p>
      <w:pPr>
        <w:spacing w:before="83"/>
        <w:ind w:left="2373" w:right="0" w:firstLine="0"/>
        <w:jc w:val="left"/>
        <w:rPr>
          <w:sz w:val="31"/>
        </w:rPr>
      </w:pPr>
      <w:r>
        <w:rPr>
          <w:sz w:val="31"/>
        </w:rPr>
        <w:t>一、安全目标</w:t>
      </w:r>
    </w:p>
    <w:p>
      <w:pPr>
        <w:spacing w:before="70" w:line="394" w:lineRule="exact"/>
        <w:ind w:left="2373" w:right="0" w:firstLine="0"/>
        <w:jc w:val="left"/>
        <w:rPr>
          <w:sz w:val="31"/>
        </w:rPr>
      </w:pPr>
      <w:r>
        <w:rPr>
          <w:sz w:val="31"/>
        </w:rPr>
        <w:t>二、安全生产措施</w:t>
      </w:r>
    </w:p>
    <w:p>
      <w:pPr>
        <w:tabs>
          <w:tab w:val="left" w:pos="2552"/>
        </w:tabs>
        <w:spacing w:before="0" w:line="459" w:lineRule="exact"/>
        <w:ind w:left="1113" w:right="0" w:firstLine="0"/>
        <w:jc w:val="left"/>
        <w:rPr>
          <w:sz w:val="36"/>
        </w:rPr>
      </w:pPr>
      <w:r>
        <w:rPr>
          <w:sz w:val="36"/>
        </w:rPr>
        <w:t>第六章</w:t>
        <w:tab/>
        <w:t>环境保护管理体系与措施</w:t>
      </w:r>
    </w:p>
    <w:p>
      <w:pPr>
        <w:spacing w:before="83" w:line="283" w:lineRule="auto"/>
        <w:ind w:left="2373" w:right="10876" w:firstLine="0"/>
        <w:jc w:val="left"/>
        <w:rPr>
          <w:sz w:val="31"/>
        </w:rPr>
      </w:pPr>
      <w:r>
        <w:rPr>
          <w:sz w:val="31"/>
        </w:rPr>
        <w:t>一、文明施工管理措施二、环境保护措施</w:t>
      </w:r>
    </w:p>
    <w:p>
      <w:pPr>
        <w:tabs>
          <w:tab w:val="left" w:pos="2552"/>
        </w:tabs>
        <w:spacing w:before="0" w:line="384" w:lineRule="exact"/>
        <w:ind w:left="1113" w:right="0" w:firstLine="0"/>
        <w:jc w:val="left"/>
        <w:rPr>
          <w:sz w:val="36"/>
        </w:rPr>
      </w:pPr>
      <w:r>
        <w:rPr>
          <w:sz w:val="36"/>
        </w:rPr>
        <w:t>第七章</w:t>
        <w:tab/>
        <w:t>项目组织机构体系</w:t>
      </w:r>
    </w:p>
    <w:p>
      <w:pPr>
        <w:tabs>
          <w:tab w:val="left" w:pos="2552"/>
        </w:tabs>
        <w:spacing w:before="7"/>
        <w:ind w:left="1113" w:right="0" w:firstLine="0"/>
        <w:jc w:val="left"/>
        <w:rPr>
          <w:sz w:val="36"/>
        </w:rPr>
      </w:pPr>
      <w:r>
        <w:rPr>
          <w:sz w:val="36"/>
        </w:rPr>
        <w:t>第八章</w:t>
        <w:tab/>
        <w:t>工程进度计划与措施</w:t>
      </w:r>
    </w:p>
    <w:p>
      <w:pPr>
        <w:tabs>
          <w:tab w:val="left" w:pos="3006"/>
        </w:tabs>
        <w:spacing w:before="83"/>
        <w:ind w:left="1743" w:right="0" w:firstLine="0"/>
        <w:jc w:val="left"/>
        <w:rPr>
          <w:sz w:val="31"/>
        </w:rPr>
      </w:pPr>
      <w:r>
        <w:rPr>
          <w:sz w:val="31"/>
        </w:rPr>
        <w:t>第一节</w:t>
        <w:tab/>
        <w:t>施工进度计划</w:t>
      </w:r>
    </w:p>
    <w:p>
      <w:pPr>
        <w:spacing w:before="72" w:line="283" w:lineRule="auto"/>
        <w:ind w:left="2373" w:right="10876" w:firstLine="0"/>
        <w:jc w:val="left"/>
        <w:rPr>
          <w:sz w:val="31"/>
        </w:rPr>
      </w:pPr>
      <w:r>
        <w:rPr>
          <w:spacing w:val="-2"/>
          <w:sz w:val="31"/>
        </w:rPr>
        <w:t>一、总体计划安排进度</w:t>
      </w:r>
      <w:r>
        <w:rPr>
          <w:sz w:val="31"/>
        </w:rPr>
        <w:t>二、工程进度安排</w:t>
      </w:r>
    </w:p>
    <w:p>
      <w:pPr>
        <w:spacing w:after="0" w:line="283" w:lineRule="auto"/>
        <w:jc w:val="left"/>
        <w:rPr>
          <w:sz w:val="31"/>
        </w:rPr>
        <w:sectPr>
          <w:headerReference w:type="default" r:id="rId4"/>
          <w:footerReference w:type="default" r:id="rId5"/>
          <w:type w:val="continuous"/>
          <w:pgSz w:w="17860" w:h="25270"/>
          <w:pgMar w:top="1040" w:right="0" w:bottom="1240" w:left="1440" w:header="712" w:footer="1057"/>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15"/>
        </w:rPr>
      </w:pPr>
    </w:p>
    <w:p>
      <w:pPr>
        <w:spacing w:before="63"/>
        <w:ind w:left="1743" w:right="0" w:firstLine="0"/>
        <w:jc w:val="both"/>
        <w:rPr>
          <w:sz w:val="31"/>
        </w:rPr>
      </w:pPr>
      <w:r>
        <w:rPr>
          <w:spacing w:val="4"/>
          <w:sz w:val="31"/>
        </w:rPr>
        <w:t>第二节  工期保证措施</w:t>
      </w:r>
    </w:p>
    <w:p>
      <w:pPr>
        <w:spacing w:before="70" w:line="283" w:lineRule="auto"/>
        <w:ind w:left="2373" w:right="10559" w:firstLine="0"/>
        <w:jc w:val="both"/>
        <w:rPr>
          <w:sz w:val="31"/>
        </w:rPr>
      </w:pPr>
      <w:r>
        <w:rPr>
          <w:spacing w:val="-2"/>
          <w:sz w:val="31"/>
        </w:rPr>
        <w:t>一、保证工期的指导思想二、保证工期的职能机构</w:t>
      </w:r>
      <w:r>
        <w:rPr>
          <w:sz w:val="31"/>
        </w:rPr>
        <w:t>三、工期保证体系</w:t>
      </w:r>
    </w:p>
    <w:p>
      <w:pPr>
        <w:spacing w:before="0" w:line="392" w:lineRule="exact"/>
        <w:ind w:left="2373" w:right="0" w:firstLine="0"/>
        <w:jc w:val="left"/>
        <w:rPr>
          <w:sz w:val="31"/>
        </w:rPr>
      </w:pPr>
      <w:r>
        <w:rPr>
          <w:sz w:val="31"/>
        </w:rPr>
        <w:t>四、工期保证措施</w:t>
      </w:r>
    </w:p>
    <w:p>
      <w:pPr>
        <w:tabs>
          <w:tab w:val="left" w:pos="2552"/>
        </w:tabs>
        <w:spacing w:before="0" w:line="459" w:lineRule="exact"/>
        <w:ind w:left="1113" w:right="0" w:firstLine="0"/>
        <w:jc w:val="left"/>
        <w:rPr>
          <w:sz w:val="36"/>
        </w:rPr>
      </w:pPr>
      <w:r>
        <w:rPr>
          <w:sz w:val="36"/>
        </w:rPr>
        <w:t>第九章</w:t>
        <w:tab/>
        <w:t>冬雨季施工措施</w:t>
      </w:r>
    </w:p>
    <w:p>
      <w:pPr>
        <w:spacing w:before="83" w:line="283" w:lineRule="auto"/>
        <w:ind w:left="2373" w:right="11510" w:firstLine="0"/>
        <w:jc w:val="left"/>
        <w:rPr>
          <w:sz w:val="31"/>
        </w:rPr>
      </w:pPr>
      <w:r>
        <w:rPr>
          <w:sz w:val="31"/>
        </w:rPr>
        <w:t>一、冬季施工措施二、雨期施工措施</w:t>
      </w:r>
    </w:p>
    <w:p>
      <w:pPr>
        <w:tabs>
          <w:tab w:val="left" w:pos="2552"/>
        </w:tabs>
        <w:spacing w:before="0" w:line="384" w:lineRule="exact"/>
        <w:ind w:left="1113" w:right="0" w:firstLine="0"/>
        <w:jc w:val="left"/>
        <w:rPr>
          <w:sz w:val="36"/>
        </w:rPr>
      </w:pPr>
      <w:r>
        <w:rPr>
          <w:sz w:val="36"/>
        </w:rPr>
        <w:t>第十章</w:t>
        <w:tab/>
        <w:t>减少对噪音、降低环境污染</w:t>
      </w:r>
    </w:p>
    <w:p>
      <w:pPr>
        <w:tabs>
          <w:tab w:val="left" w:pos="2912"/>
        </w:tabs>
        <w:spacing w:before="7" w:line="244" w:lineRule="auto"/>
        <w:ind w:left="1113" w:right="6304" w:firstLine="0"/>
        <w:jc w:val="left"/>
        <w:rPr>
          <w:sz w:val="36"/>
        </w:rPr>
      </w:pPr>
      <w:r>
        <w:rPr>
          <w:sz w:val="36"/>
        </w:rPr>
        <w:t>第十一章</w:t>
        <w:tab/>
        <w:t>地下管线及其他地上地下设施的保护加固措</w:t>
      </w:r>
      <w:r>
        <w:rPr>
          <w:spacing w:val="-17"/>
          <w:sz w:val="36"/>
        </w:rPr>
        <w:t>施</w:t>
      </w:r>
      <w:r>
        <w:rPr>
          <w:sz w:val="36"/>
        </w:rPr>
        <w:t>附表一：拟投入本标段的主要施工设备表</w:t>
      </w:r>
    </w:p>
    <w:p>
      <w:pPr>
        <w:spacing w:before="0" w:line="242" w:lineRule="auto"/>
        <w:ind w:left="1113" w:right="7744" w:firstLine="0"/>
        <w:jc w:val="left"/>
        <w:rPr>
          <w:sz w:val="36"/>
        </w:rPr>
      </w:pPr>
      <w:r>
        <w:rPr>
          <w:spacing w:val="-1"/>
          <w:sz w:val="36"/>
        </w:rPr>
        <w:t>附表二：拟配备本标段的试验和检测仪器设备表</w:t>
      </w:r>
      <w:r>
        <w:rPr>
          <w:sz w:val="36"/>
        </w:rPr>
        <w:t>附表三：劳动力计划表</w:t>
      </w:r>
    </w:p>
    <w:p>
      <w:pPr>
        <w:spacing w:before="0" w:line="242" w:lineRule="auto"/>
        <w:ind w:left="1113" w:right="8104" w:firstLine="0"/>
        <w:jc w:val="left"/>
        <w:rPr>
          <w:sz w:val="36"/>
        </w:rPr>
      </w:pPr>
      <w:r>
        <w:rPr>
          <w:spacing w:val="-1"/>
          <w:sz w:val="36"/>
        </w:rPr>
        <w:t>附表四：计划开、竣工日期和施工进度网络图</w:t>
      </w:r>
      <w:r>
        <w:rPr>
          <w:sz w:val="36"/>
        </w:rPr>
        <w:t>附表五：施工总平面图</w:t>
      </w:r>
    </w:p>
    <w:p>
      <w:pPr>
        <w:spacing w:before="4"/>
        <w:ind w:left="1113" w:right="0" w:firstLine="0"/>
        <w:jc w:val="left"/>
        <w:rPr>
          <w:sz w:val="36"/>
        </w:rPr>
      </w:pPr>
      <w:r>
        <w:rPr>
          <w:sz w:val="36"/>
        </w:rPr>
        <w:t>附表六：临时用地表</w:t>
      </w:r>
    </w:p>
    <w:p>
      <w:pPr>
        <w:spacing w:after="0"/>
        <w:jc w:val="left"/>
        <w:rPr>
          <w:sz w:val="36"/>
        </w:rPr>
        <w:sectPr>
          <w:headerReference w:type="default" r:id="rId6"/>
          <w:footerReference w:type="default" r:id="rId7"/>
          <w:pgSz w:w="17860" w:h="25270"/>
          <w:pgMar w:top="1040" w:right="0" w:bottom="1240" w:left="1440" w:header="712" w:footer="1057"/>
          <w:pgNumType w:start="2"/>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17"/>
        </w:rPr>
      </w:pPr>
    </w:p>
    <w:p>
      <w:pPr>
        <w:pStyle w:val="Heading1"/>
        <w:tabs>
          <w:tab w:val="left" w:pos="1923"/>
        </w:tabs>
        <w:ind w:right="597"/>
        <w:jc w:val="center"/>
      </w:pPr>
      <w:r>
        <w:t>第一章</w:t>
        <w:tab/>
        <w:t>工程概况、施工准备及布置</w:t>
      </w:r>
    </w:p>
    <w:p>
      <w:pPr>
        <w:pStyle w:val="BodyText"/>
        <w:rPr>
          <w:sz w:val="48"/>
        </w:rPr>
      </w:pPr>
    </w:p>
    <w:p>
      <w:pPr>
        <w:pStyle w:val="Heading2"/>
        <w:tabs>
          <w:tab w:val="left" w:pos="2912"/>
        </w:tabs>
        <w:spacing w:before="416"/>
      </w:pPr>
      <w:r>
        <w:t>第一节</w:t>
        <w:tab/>
        <w:t>工程概况</w:t>
      </w:r>
    </w:p>
    <w:p>
      <w:pPr>
        <w:pStyle w:val="BodyText"/>
        <w:spacing w:before="10"/>
        <w:rPr>
          <w:sz w:val="61"/>
        </w:rPr>
      </w:pPr>
    </w:p>
    <w:p>
      <w:pPr>
        <w:pStyle w:val="Heading3"/>
      </w:pPr>
      <w:r>
        <w:t>一、编制依据及编制原则</w:t>
      </w:r>
    </w:p>
    <w:p>
      <w:pPr>
        <w:pStyle w:val="BodyText"/>
        <w:spacing w:before="1"/>
        <w:rPr>
          <w:b/>
          <w:sz w:val="31"/>
        </w:rPr>
      </w:pPr>
    </w:p>
    <w:p>
      <w:pPr>
        <w:tabs>
          <w:tab w:val="left" w:pos="2585"/>
        </w:tabs>
        <w:spacing w:before="0"/>
        <w:ind w:left="1955" w:right="0" w:firstLine="0"/>
        <w:jc w:val="left"/>
        <w:rPr>
          <w:b/>
          <w:sz w:val="42"/>
        </w:rPr>
      </w:pPr>
      <w:r>
        <w:rPr>
          <w:b/>
          <w:sz w:val="42"/>
        </w:rPr>
        <w:t>1</w:t>
        <w:tab/>
        <w:t>编制依据</w:t>
      </w:r>
    </w:p>
    <w:p>
      <w:pPr>
        <w:pStyle w:val="BodyText"/>
        <w:spacing w:before="1"/>
        <w:rPr>
          <w:b/>
          <w:sz w:val="31"/>
        </w:rPr>
      </w:pPr>
    </w:p>
    <w:p>
      <w:pPr>
        <w:pStyle w:val="BodyText"/>
        <w:ind w:left="1951"/>
      </w:pPr>
      <w:r>
        <w:t>①、《城镇道路工程施工与质量验收规范》CJJ1-2008；</w:t>
      </w:r>
    </w:p>
    <w:p>
      <w:pPr>
        <w:pStyle w:val="BodyText"/>
        <w:spacing w:before="1"/>
        <w:rPr>
          <w:sz w:val="31"/>
        </w:rPr>
      </w:pPr>
    </w:p>
    <w:p>
      <w:pPr>
        <w:pStyle w:val="BodyText"/>
        <w:ind w:left="1951"/>
      </w:pPr>
      <w:r>
        <w:rPr>
          <w:spacing w:val="-28"/>
          <w:w w:val="100"/>
        </w:rPr>
        <w:t>②、《城市生活垃圾卫生填埋技术规范》</w:t>
      </w:r>
      <w:r>
        <w:rPr>
          <w:spacing w:val="2"/>
          <w:w w:val="100"/>
        </w:rPr>
        <w:t>（</w:t>
      </w:r>
      <w:r>
        <w:rPr>
          <w:w w:val="100"/>
        </w:rPr>
        <w:t>CJJ17-200</w:t>
      </w:r>
      <w:r>
        <w:rPr>
          <w:spacing w:val="-8"/>
          <w:w w:val="100"/>
        </w:rPr>
        <w:t>1</w:t>
      </w:r>
      <w:r>
        <w:rPr>
          <w:spacing w:val="-209"/>
          <w:w w:val="100"/>
        </w:rPr>
        <w:t>）</w:t>
      </w:r>
      <w:r>
        <w:rPr>
          <w:w w:val="100"/>
        </w:rPr>
        <w:t>；</w:t>
      </w:r>
    </w:p>
    <w:p>
      <w:pPr>
        <w:pStyle w:val="BodyText"/>
        <w:spacing w:before="1"/>
        <w:rPr>
          <w:sz w:val="31"/>
        </w:rPr>
      </w:pPr>
    </w:p>
    <w:p>
      <w:pPr>
        <w:pStyle w:val="BodyText"/>
        <w:ind w:left="1951"/>
      </w:pPr>
      <w:r>
        <w:rPr>
          <w:spacing w:val="-31"/>
          <w:w w:val="100"/>
        </w:rPr>
        <w:t>③、《公路路面基层施工技术规范》</w:t>
      </w:r>
      <w:r>
        <w:rPr>
          <w:spacing w:val="2"/>
          <w:w w:val="100"/>
        </w:rPr>
        <w:t>（</w:t>
      </w:r>
      <w:r>
        <w:rPr>
          <w:w w:val="100"/>
        </w:rPr>
        <w:t>JTJ034-9</w:t>
      </w:r>
      <w:r>
        <w:rPr>
          <w:spacing w:val="-9"/>
          <w:w w:val="100"/>
        </w:rPr>
        <w:t>3</w:t>
      </w:r>
      <w:r>
        <w:rPr>
          <w:spacing w:val="-209"/>
          <w:w w:val="100"/>
        </w:rPr>
        <w:t>）</w:t>
      </w:r>
      <w:r>
        <w:rPr>
          <w:w w:val="100"/>
        </w:rPr>
        <w:t>；</w:t>
      </w:r>
    </w:p>
    <w:p>
      <w:pPr>
        <w:pStyle w:val="BodyText"/>
        <w:rPr>
          <w:sz w:val="31"/>
        </w:rPr>
      </w:pPr>
    </w:p>
    <w:p>
      <w:pPr>
        <w:pStyle w:val="BodyText"/>
        <w:spacing w:before="1"/>
        <w:ind w:left="1951"/>
      </w:pPr>
      <w:r>
        <w:t>④、《公路工程技术标准》（JTJ001-97）</w:t>
      </w:r>
    </w:p>
    <w:p>
      <w:pPr>
        <w:pStyle w:val="BodyText"/>
        <w:rPr>
          <w:sz w:val="31"/>
        </w:rPr>
      </w:pPr>
    </w:p>
    <w:p>
      <w:pPr>
        <w:pStyle w:val="BodyText"/>
        <w:ind w:left="1951"/>
      </w:pPr>
      <w:r>
        <w:rPr>
          <w:spacing w:val="-34"/>
          <w:w w:val="100"/>
        </w:rPr>
        <w:t>⑤、《道路工程集料试验规程》</w:t>
      </w:r>
      <w:r>
        <w:rPr>
          <w:spacing w:val="1"/>
          <w:w w:val="100"/>
        </w:rPr>
        <w:t>（</w:t>
      </w:r>
      <w:r>
        <w:rPr>
          <w:w w:val="100"/>
        </w:rPr>
        <w:t>JTJ058-9</w:t>
      </w:r>
      <w:r>
        <w:rPr>
          <w:spacing w:val="-9"/>
          <w:w w:val="100"/>
        </w:rPr>
        <w:t>4</w:t>
      </w:r>
      <w:r>
        <w:rPr>
          <w:spacing w:val="-209"/>
          <w:w w:val="100"/>
        </w:rPr>
        <w:t>）</w:t>
      </w:r>
      <w:r>
        <w:rPr>
          <w:w w:val="100"/>
        </w:rPr>
        <w:t>；</w:t>
      </w:r>
    </w:p>
    <w:p>
      <w:pPr>
        <w:pStyle w:val="BodyText"/>
        <w:spacing w:before="1"/>
        <w:rPr>
          <w:sz w:val="31"/>
        </w:rPr>
      </w:pPr>
    </w:p>
    <w:p>
      <w:pPr>
        <w:pStyle w:val="BodyText"/>
        <w:spacing w:before="1"/>
        <w:ind w:left="1951"/>
      </w:pPr>
      <w:r>
        <w:rPr>
          <w:spacing w:val="-28"/>
          <w:w w:val="100"/>
        </w:rPr>
        <w:t>⑥、《城市道路路基工程施工及验收规范》</w:t>
      </w:r>
      <w:r>
        <w:rPr>
          <w:spacing w:val="3"/>
          <w:w w:val="100"/>
        </w:rPr>
        <w:t>（</w:t>
      </w:r>
      <w:r>
        <w:rPr>
          <w:w w:val="100"/>
        </w:rPr>
        <w:t>CJJ4-9</w:t>
      </w:r>
      <w:r>
        <w:rPr>
          <w:spacing w:val="-10"/>
          <w:w w:val="100"/>
        </w:rPr>
        <w:t>1</w:t>
      </w:r>
      <w:r>
        <w:rPr>
          <w:spacing w:val="-209"/>
          <w:w w:val="100"/>
        </w:rPr>
        <w:t>）</w:t>
      </w:r>
      <w:r>
        <w:rPr>
          <w:w w:val="100"/>
        </w:rPr>
        <w:t>；</w:t>
      </w:r>
    </w:p>
    <w:p>
      <w:pPr>
        <w:pStyle w:val="BodyText"/>
        <w:rPr>
          <w:sz w:val="31"/>
        </w:rPr>
      </w:pPr>
    </w:p>
    <w:p>
      <w:pPr>
        <w:pStyle w:val="BodyText"/>
        <w:ind w:left="1951"/>
      </w:pPr>
      <w:r>
        <w:rPr>
          <w:spacing w:val="-34"/>
          <w:w w:val="100"/>
        </w:rPr>
        <w:t>⑦、《公路路基施工技术规范》</w:t>
      </w:r>
      <w:r>
        <w:rPr>
          <w:spacing w:val="1"/>
          <w:w w:val="100"/>
        </w:rPr>
        <w:t>（</w:t>
      </w:r>
      <w:r>
        <w:rPr>
          <w:w w:val="100"/>
        </w:rPr>
        <w:t>JTJ033-9</w:t>
      </w:r>
      <w:r>
        <w:rPr>
          <w:spacing w:val="-9"/>
          <w:w w:val="100"/>
        </w:rPr>
        <w:t>5</w:t>
      </w:r>
      <w:r>
        <w:rPr>
          <w:spacing w:val="-209"/>
          <w:w w:val="100"/>
        </w:rPr>
        <w:t>）</w:t>
      </w:r>
      <w:r>
        <w:rPr>
          <w:w w:val="100"/>
        </w:rPr>
        <w:t>；</w:t>
      </w:r>
    </w:p>
    <w:p>
      <w:pPr>
        <w:pStyle w:val="BodyText"/>
        <w:spacing w:before="1"/>
        <w:rPr>
          <w:sz w:val="31"/>
        </w:rPr>
      </w:pPr>
    </w:p>
    <w:p>
      <w:pPr>
        <w:pStyle w:val="BodyText"/>
        <w:spacing w:line="417" w:lineRule="auto"/>
        <w:ind w:left="1113" w:right="1688" w:firstLine="838"/>
      </w:pPr>
      <w:r>
        <w:rPr>
          <w:spacing w:val="-29"/>
          <w:w w:val="100"/>
        </w:rPr>
        <w:t>⑧、《水泥混凝土路面施工验收规范》</w:t>
      </w:r>
      <w:r>
        <w:rPr>
          <w:spacing w:val="-1"/>
          <w:w w:val="100"/>
        </w:rPr>
        <w:t>（</w:t>
      </w:r>
      <w:r>
        <w:rPr>
          <w:w w:val="100"/>
        </w:rPr>
        <w:t>GBJ97-8</w:t>
      </w:r>
      <w:r>
        <w:rPr>
          <w:spacing w:val="-4"/>
          <w:w w:val="100"/>
        </w:rPr>
        <w:t>7</w:t>
      </w:r>
      <w:r>
        <w:rPr>
          <w:spacing w:val="-209"/>
          <w:w w:val="100"/>
        </w:rPr>
        <w:t>）</w:t>
      </w:r>
      <w:r>
        <w:rPr>
          <w:w w:val="100"/>
        </w:rPr>
        <w:t>；华北</w:t>
      </w:r>
      <w:r>
        <w:t xml:space="preserve"> </w:t>
      </w:r>
      <w:r>
        <w:rPr>
          <w:w w:val="100"/>
        </w:rPr>
        <w:t>88</w:t>
      </w:r>
      <w:r>
        <w:t xml:space="preserve"> </w:t>
      </w:r>
      <w:r>
        <w:rPr>
          <w:spacing w:val="-5"/>
          <w:w w:val="100"/>
        </w:rPr>
        <w:t>系列标准</w:t>
      </w:r>
      <w:r>
        <w:t>图集。</w:t>
      </w:r>
    </w:p>
    <w:p>
      <w:pPr>
        <w:pStyle w:val="BodyText"/>
        <w:spacing w:line="537" w:lineRule="exact"/>
        <w:ind w:left="1951"/>
      </w:pPr>
      <w:r>
        <w:rPr>
          <w:w w:val="100"/>
        </w:rPr>
        <w:t>⑨、国家现行《混凝土结构工程施工质量验收规范</w:t>
      </w:r>
      <w:r>
        <w:rPr>
          <w:spacing w:val="-279"/>
          <w:w w:val="100"/>
        </w:rPr>
        <w:t>》</w:t>
      </w:r>
      <w:r>
        <w:rPr>
          <w:spacing w:val="3"/>
          <w:w w:val="100"/>
        </w:rPr>
        <w:t>（</w:t>
      </w:r>
      <w:r>
        <w:rPr>
          <w:w w:val="100"/>
        </w:rPr>
        <w:t>GB50204-200</w:t>
      </w:r>
      <w:r>
        <w:rPr>
          <w:spacing w:val="-11"/>
          <w:w w:val="100"/>
        </w:rPr>
        <w:t>2</w:t>
      </w:r>
      <w:r>
        <w:rPr>
          <w:spacing w:val="-209"/>
          <w:w w:val="100"/>
        </w:rPr>
        <w:t>）</w:t>
      </w:r>
      <w:r>
        <w:rPr>
          <w:w w:val="100"/>
        </w:rPr>
        <w:t>。</w:t>
      </w:r>
    </w:p>
    <w:p>
      <w:pPr>
        <w:pStyle w:val="BodyText"/>
        <w:rPr>
          <w:sz w:val="31"/>
        </w:rPr>
      </w:pPr>
    </w:p>
    <w:p>
      <w:pPr>
        <w:pStyle w:val="BodyText"/>
        <w:spacing w:before="1"/>
        <w:ind w:left="1951"/>
      </w:pPr>
      <w:r>
        <w:t>⑩、行业相关标准及规范：</w:t>
      </w:r>
    </w:p>
    <w:p>
      <w:pPr>
        <w:pStyle w:val="BodyText"/>
        <w:spacing w:before="1"/>
        <w:rPr>
          <w:sz w:val="31"/>
        </w:rPr>
      </w:pPr>
    </w:p>
    <w:p>
      <w:pPr>
        <w:pStyle w:val="BodyText"/>
        <w:spacing w:line="417" w:lineRule="auto"/>
        <w:ind w:left="1113" w:right="1694" w:firstLine="838"/>
      </w:pPr>
      <w:r>
        <w:rPr>
          <w:spacing w:val="-7"/>
        </w:rPr>
        <w:t>《国际土工合成材料安装协会</w:t>
      </w:r>
      <w:r>
        <w:rPr>
          <w:spacing w:val="-14"/>
        </w:rPr>
        <w:t>（IAGI）</w:t>
      </w:r>
      <w:r>
        <w:rPr>
          <w:spacing w:val="-28"/>
        </w:rPr>
        <w:t>土工膜安装规范》</w:t>
      </w:r>
      <w:r>
        <w:t>（2000.2</w:t>
      </w:r>
      <w:r>
        <w:rPr>
          <w:spacing w:val="-31"/>
        </w:rPr>
        <w:t xml:space="preserve"> 修订</w:t>
      </w:r>
      <w:r>
        <w:rPr>
          <w:w w:val="100"/>
        </w:rPr>
        <w:t>版</w:t>
      </w:r>
      <w:r>
        <w:rPr>
          <w:spacing w:val="-209"/>
          <w:w w:val="100"/>
        </w:rPr>
        <w:t>）</w:t>
      </w:r>
      <w:r>
        <w:rPr>
          <w:w w:val="100"/>
        </w:rPr>
        <w:t>；</w:t>
      </w:r>
    </w:p>
    <w:p>
      <w:pPr>
        <w:pStyle w:val="BodyText"/>
        <w:spacing w:line="537" w:lineRule="exact"/>
        <w:ind w:left="1951"/>
      </w:pPr>
      <w:r>
        <w:t>《土工合成材料应用技术规范》 GB50290-98；</w:t>
      </w:r>
    </w:p>
    <w:p>
      <w:pPr>
        <w:pStyle w:val="BodyText"/>
        <w:spacing w:before="1"/>
        <w:rPr>
          <w:sz w:val="31"/>
        </w:rPr>
      </w:pPr>
    </w:p>
    <w:p>
      <w:pPr>
        <w:pStyle w:val="BodyText"/>
        <w:ind w:left="1951"/>
      </w:pPr>
      <w:r>
        <w:t>《土工合成材料聚乙烯土工膜》GB/T17643-1998；</w:t>
      </w:r>
    </w:p>
    <w:p>
      <w:pPr>
        <w:pStyle w:val="BodyText"/>
        <w:rPr>
          <w:sz w:val="31"/>
        </w:rPr>
      </w:pPr>
    </w:p>
    <w:p>
      <w:pPr>
        <w:pStyle w:val="BodyText"/>
        <w:ind w:left="1951"/>
      </w:pPr>
      <w:r>
        <w:t>《生活垃圾填埋污染控制技术标准》GB16889-1997。</w:t>
      </w:r>
    </w:p>
    <w:p>
      <w:pPr>
        <w:pStyle w:val="BodyText"/>
        <w:spacing w:before="2"/>
        <w:rPr>
          <w:sz w:val="31"/>
        </w:rPr>
      </w:pPr>
    </w:p>
    <w:p>
      <w:pPr>
        <w:pStyle w:val="BodyText"/>
        <w:ind w:left="1951"/>
      </w:pPr>
      <w:r>
        <w:t>《城市生活垃圾卫生填埋技术标准》CJJ17-88;</w:t>
      </w:r>
    </w:p>
    <w:p>
      <w:pPr>
        <w:spacing w:after="0"/>
        <w:sectPr>
          <w:headerReference w:type="default" r:id="rId8"/>
          <w:footerReference w:type="default" r:id="rId9"/>
          <w:pgSz w:w="17860" w:h="25270"/>
          <w:pgMar w:top="1040" w:right="0" w:bottom="1240" w:left="1440" w:header="712" w:footer="1057"/>
          <w:pgNumType w:start="3"/>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22"/>
        </w:rPr>
      </w:pPr>
    </w:p>
    <w:p>
      <w:pPr>
        <w:pStyle w:val="BodyText"/>
        <w:spacing w:before="42"/>
        <w:ind w:left="1951"/>
      </w:pPr>
      <w:r>
        <w:t>《聚乙烯（PE）土工膜防渗工程技术规范》 SL/T231-98；</w:t>
      </w:r>
    </w:p>
    <w:p>
      <w:pPr>
        <w:pStyle w:val="BodyText"/>
        <w:spacing w:before="1"/>
        <w:rPr>
          <w:sz w:val="31"/>
        </w:rPr>
      </w:pPr>
    </w:p>
    <w:p>
      <w:pPr>
        <w:pStyle w:val="BodyText"/>
        <w:ind w:left="1951"/>
      </w:pPr>
      <w:r>
        <w:t>《水利水电工程土工合成材料应用技术规范》 SL/T225-98；</w:t>
      </w:r>
    </w:p>
    <w:p>
      <w:pPr>
        <w:pStyle w:val="BodyText"/>
        <w:rPr>
          <w:sz w:val="31"/>
        </w:rPr>
      </w:pPr>
    </w:p>
    <w:p>
      <w:pPr>
        <w:pStyle w:val="BodyText"/>
        <w:spacing w:before="1" w:line="417" w:lineRule="auto"/>
        <w:ind w:left="1833" w:right="6274" w:firstLine="118"/>
        <w:rPr>
          <w:b/>
        </w:rPr>
      </w:pPr>
      <w:r>
        <w:t xml:space="preserve">《土工合成材料测试规程》 SL/T235-1999； </w:t>
      </w:r>
      <w:r>
        <w:rPr>
          <w:b/>
        </w:rPr>
        <w:t>2、编制原则</w:t>
      </w:r>
    </w:p>
    <w:p>
      <w:pPr>
        <w:pStyle w:val="BodyText"/>
        <w:spacing w:line="417" w:lineRule="auto"/>
        <w:ind w:left="1113" w:right="1670" w:firstLine="719"/>
      </w:pPr>
      <w:r>
        <w:rPr>
          <w:spacing w:val="-15"/>
        </w:rPr>
        <w:t>①、遵守招标文件各项要求，认真贯彻执行业主和监理工程师及授权人</w:t>
      </w:r>
      <w:r>
        <w:t>或代表的指示、指令和要求。</w:t>
      </w:r>
    </w:p>
    <w:p>
      <w:pPr>
        <w:pStyle w:val="BodyText"/>
        <w:ind w:left="1833"/>
      </w:pPr>
      <w:r>
        <w:t>②、坚持技术先进性、安全可靠性、科学合理性、经济适用性。</w:t>
      </w:r>
    </w:p>
    <w:p>
      <w:pPr>
        <w:pStyle w:val="BodyText"/>
        <w:rPr>
          <w:sz w:val="31"/>
        </w:rPr>
      </w:pPr>
    </w:p>
    <w:p>
      <w:pPr>
        <w:pStyle w:val="BodyText"/>
        <w:spacing w:line="417" w:lineRule="auto"/>
        <w:ind w:left="1113" w:right="1724" w:firstLine="719"/>
        <w:jc w:val="both"/>
      </w:pPr>
      <w:r>
        <w:t>③、实施项目管理 ，通过对劳务、设备、材料、资金、技术方案、信息、时间和空间条件的优化处理，完成成本、工期、安全质量以及社会效益的预期目标。</w:t>
      </w:r>
    </w:p>
    <w:p>
      <w:pPr>
        <w:pStyle w:val="BodyText"/>
        <w:spacing w:line="417" w:lineRule="auto"/>
        <w:ind w:left="1113" w:right="1527" w:firstLine="719"/>
      </w:pPr>
      <w:r>
        <w:t>④、强化精品意识，以“诚信、谦和、认真、苦干、拼搏、创新”的企业精神为指导，向业主提交一项内实外美、经久耐用的工程。</w:t>
      </w:r>
    </w:p>
    <w:p>
      <w:pPr>
        <w:pStyle w:val="Heading3"/>
        <w:ind w:left="1833"/>
      </w:pPr>
      <w:r>
        <w:t>二、工程概况</w:t>
      </w:r>
    </w:p>
    <w:p>
      <w:pPr>
        <w:pStyle w:val="BodyText"/>
        <w:spacing w:before="12"/>
        <w:rPr>
          <w:b/>
          <w:sz w:val="30"/>
        </w:rPr>
      </w:pPr>
    </w:p>
    <w:p>
      <w:pPr>
        <w:pStyle w:val="BodyText"/>
        <w:spacing w:line="417" w:lineRule="auto"/>
        <w:ind w:left="1113" w:right="1641" w:firstLine="719"/>
      </w:pPr>
      <w:r>
        <w:t>本工程为都江堰市石羊镇丰乐村徐渡老垃圾填埋场封场整治工程（一期</w:t>
      </w:r>
      <w:r>
        <w:rPr>
          <w:spacing w:val="-213"/>
        </w:rPr>
        <w:t>）</w:t>
      </w:r>
      <w:r>
        <w:rPr>
          <w:spacing w:val="-5"/>
        </w:rPr>
        <w:t>。本工程抗震设防烈度为八度，含场地平整、防渗系统、堆体整形、封</w:t>
      </w:r>
      <w:r>
        <w:t>场和垃圾土坝工程。</w:t>
      </w:r>
    </w:p>
    <w:p>
      <w:pPr>
        <w:pStyle w:val="BodyText"/>
        <w:spacing w:line="417" w:lineRule="auto"/>
        <w:ind w:left="1113" w:right="1613" w:firstLine="838"/>
      </w:pPr>
      <w:r>
        <w:t>本工程为都江堰市石羊镇丰乐村徐渡老垃圾填埋场封场整治工程（二期</w:t>
      </w:r>
      <w:r>
        <w:rPr>
          <w:spacing w:val="-209"/>
        </w:rPr>
        <w:t>）</w:t>
      </w:r>
      <w:r>
        <w:rPr>
          <w:spacing w:val="-1"/>
        </w:rPr>
        <w:t>。本工程抗震设防烈度为八度，含堆体整形、封场、截洪沟、调节池、</w:t>
      </w:r>
      <w:r>
        <w:t>总平电气工程。</w:t>
      </w:r>
    </w:p>
    <w:p>
      <w:pPr>
        <w:pStyle w:val="Heading2"/>
        <w:tabs>
          <w:tab w:val="left" w:pos="2912"/>
        </w:tabs>
      </w:pPr>
      <w:r>
        <w:t>第二节</w:t>
        <w:tab/>
        <w:t>施工准备及总平布置</w:t>
      </w:r>
    </w:p>
    <w:p>
      <w:pPr>
        <w:pStyle w:val="BodyText"/>
        <w:spacing w:before="10"/>
        <w:rPr>
          <w:sz w:val="61"/>
        </w:rPr>
      </w:pPr>
    </w:p>
    <w:p>
      <w:pPr>
        <w:pStyle w:val="Heading3"/>
      </w:pPr>
      <w:r>
        <w:t>一、施工准备</w:t>
      </w:r>
    </w:p>
    <w:p>
      <w:pPr>
        <w:spacing w:after="0"/>
        <w:sectPr>
          <w:headerReference w:type="default" r:id="rId10"/>
          <w:footerReference w:type="default" r:id="rId11"/>
          <w:pgSz w:w="17860" w:h="25270"/>
          <w:pgMar w:top="1040" w:right="0" w:bottom="1240" w:left="1440" w:header="712" w:footer="1057"/>
          <w:pgNumType w:start="4"/>
          <w:cols w:space="708"/>
        </w:sect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
        <w:rPr>
          <w:b/>
          <w:sz w:val="22"/>
        </w:rPr>
      </w:pPr>
    </w:p>
    <w:p>
      <w:pPr>
        <w:pStyle w:val="BodyText"/>
        <w:spacing w:before="42" w:line="417" w:lineRule="auto"/>
        <w:ind w:left="1113" w:right="1768" w:firstLine="899"/>
        <w:jc w:val="both"/>
      </w:pPr>
      <w:r>
        <w:t>施工前的准备工作是保证施工顺利进行的基本前提，按规定，如果施工前的准备工作经监理工程师审核后而未达到合同规定的要求，则不予批准开工。因此，必须认真按规定要求做好。准备工作的内容主要包括：组织准备、技术准备、材料准备、劳动力准备和施工机具准备等方面。</w:t>
      </w:r>
    </w:p>
    <w:p>
      <w:pPr>
        <w:pStyle w:val="BodyText"/>
        <w:spacing w:line="537" w:lineRule="exact"/>
        <w:ind w:left="1962"/>
      </w:pPr>
      <w:r>
        <w:t>1、组织准备</w:t>
      </w:r>
    </w:p>
    <w:p>
      <w:pPr>
        <w:pStyle w:val="BodyText"/>
        <w:spacing w:before="2"/>
        <w:rPr>
          <w:sz w:val="31"/>
        </w:rPr>
      </w:pPr>
    </w:p>
    <w:p>
      <w:pPr>
        <w:pStyle w:val="BodyText"/>
        <w:spacing w:line="417" w:lineRule="auto"/>
        <w:ind w:left="1113" w:right="1404" w:firstLine="849"/>
      </w:pPr>
      <w:r>
        <w:t xml:space="preserve">公司对本工程高度重视，抽调了几名有经验的工程施工管理人员和工 </w:t>
      </w:r>
      <w:r>
        <w:rPr>
          <w:spacing w:val="-1"/>
        </w:rPr>
        <w:t>程技术人员组成项目部，配置齐全相关管理人员，对工程实行项目部管理。</w:t>
      </w:r>
    </w:p>
    <w:p>
      <w:pPr>
        <w:pStyle w:val="BodyText"/>
        <w:spacing w:line="537" w:lineRule="exact"/>
        <w:ind w:left="1962"/>
      </w:pPr>
      <w:r>
        <w:t>2、技术准备</w:t>
      </w:r>
    </w:p>
    <w:p>
      <w:pPr>
        <w:pStyle w:val="BodyText"/>
        <w:rPr>
          <w:sz w:val="31"/>
        </w:rPr>
      </w:pPr>
    </w:p>
    <w:p>
      <w:pPr>
        <w:pStyle w:val="BodyText"/>
        <w:spacing w:line="417" w:lineRule="auto"/>
        <w:ind w:left="1113" w:right="1820" w:firstLine="849"/>
        <w:jc w:val="both"/>
      </w:pPr>
      <w:r>
        <w:t>在接到图纸后，公司立即组织相关技术人员认真审查施工图，搞好项目部内部图纸自审工作，明确设计要求，组织相关管理技术人员熟悉工地现状对现场进行勘察，摸底，做好施工现场平面布置，安装好施工机械设备。开工前做好施工测量，包括坐标点、高程的复测，水准点的复查与增设，增设的点均采取现浇混凝土桩加以保护。</w:t>
      </w:r>
    </w:p>
    <w:p>
      <w:pPr>
        <w:pStyle w:val="BodyText"/>
        <w:spacing w:line="537" w:lineRule="exact"/>
        <w:ind w:left="1962"/>
      </w:pPr>
      <w:r>
        <w:t>3、材料准备</w:t>
      </w:r>
    </w:p>
    <w:p>
      <w:pPr>
        <w:pStyle w:val="BodyText"/>
        <w:spacing w:before="1"/>
        <w:rPr>
          <w:sz w:val="31"/>
        </w:rPr>
      </w:pPr>
    </w:p>
    <w:p>
      <w:pPr>
        <w:pStyle w:val="BodyText"/>
        <w:spacing w:line="417" w:lineRule="auto"/>
        <w:ind w:left="1113" w:right="1820" w:firstLine="849"/>
      </w:pPr>
      <w:r>
        <w:t>技术人员根据工程施工进度要求及工程量的大小提前制定出材料需求计划，材料员根据审批后的需求计划安排材料按时进场。</w:t>
      </w:r>
    </w:p>
    <w:p>
      <w:pPr>
        <w:pStyle w:val="BodyText"/>
        <w:ind w:left="1962"/>
      </w:pPr>
      <w:r>
        <w:t>4、劳动力准备</w:t>
      </w:r>
    </w:p>
    <w:p>
      <w:pPr>
        <w:pStyle w:val="BodyText"/>
        <w:spacing w:before="1"/>
        <w:rPr>
          <w:sz w:val="31"/>
        </w:rPr>
      </w:pPr>
    </w:p>
    <w:p>
      <w:pPr>
        <w:pStyle w:val="BodyText"/>
        <w:spacing w:line="417" w:lineRule="auto"/>
        <w:ind w:left="1113" w:right="1820" w:firstLine="849"/>
        <w:jc w:val="both"/>
      </w:pPr>
      <w:r>
        <w:rPr>
          <w:spacing w:val="-1"/>
        </w:rPr>
        <w:t>根据本工程特点，由技术人员、工程管理人员提供合理的劳动力需求计划，并据此组织充足的劳动力，按工程进度要求陆续进入工地。施工所</w:t>
      </w:r>
      <w:r>
        <w:rPr>
          <w:w w:val="100"/>
        </w:rPr>
        <w:t>需主要劳动力详见劳动力需求表（表</w:t>
      </w:r>
      <w:r>
        <w:rPr>
          <w:spacing w:val="-120"/>
        </w:rPr>
        <w:t xml:space="preserve"> </w:t>
      </w:r>
      <w:r>
        <w:rPr>
          <w:spacing w:val="-5"/>
          <w:w w:val="100"/>
        </w:rPr>
        <w:t>3</w:t>
      </w:r>
      <w:r>
        <w:rPr>
          <w:spacing w:val="-209"/>
          <w:w w:val="100"/>
        </w:rPr>
        <w:t>）</w:t>
      </w:r>
      <w:r>
        <w:rPr>
          <w:w w:val="100"/>
        </w:rPr>
        <w:t>。</w:t>
      </w:r>
    </w:p>
    <w:p>
      <w:pPr>
        <w:pStyle w:val="BodyText"/>
        <w:spacing w:line="537" w:lineRule="exact"/>
        <w:ind w:left="1962"/>
      </w:pPr>
      <w:r>
        <w:t>5、施工机具准备</w:t>
      </w:r>
    </w:p>
    <w:p>
      <w:pPr>
        <w:pStyle w:val="BodyText"/>
        <w:spacing w:before="1"/>
        <w:rPr>
          <w:sz w:val="31"/>
        </w:rPr>
      </w:pPr>
    </w:p>
    <w:p>
      <w:pPr>
        <w:pStyle w:val="BodyText"/>
        <w:ind w:left="1962"/>
      </w:pPr>
      <w:r>
        <w:t>本工程所需机械，由机械调度根据工程技术人员提供的施工机具需求</w:t>
      </w:r>
    </w:p>
    <w:p>
      <w:pPr>
        <w:spacing w:after="0"/>
        <w:sectPr>
          <w:headerReference w:type="default" r:id="rId12"/>
          <w:footerReference w:type="default" r:id="rId13"/>
          <w:pgSz w:w="17860" w:h="25270"/>
          <w:pgMar w:top="1040" w:right="0" w:bottom="1240" w:left="1440" w:header="712" w:footer="1057"/>
          <w:pgNumType w:start="5"/>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22"/>
        </w:rPr>
      </w:pPr>
    </w:p>
    <w:p>
      <w:pPr>
        <w:pStyle w:val="BodyText"/>
        <w:spacing w:before="42" w:line="417" w:lineRule="auto"/>
        <w:ind w:left="1113" w:right="1404"/>
      </w:pPr>
      <w:r>
        <w:rPr>
          <w:spacing w:val="-1"/>
        </w:rPr>
        <w:t>表，提前安排施工所用机械设备进场安装，调试运转，达到施工使用要求。</w:t>
      </w:r>
      <w:r>
        <w:rPr>
          <w:w w:val="100"/>
        </w:rPr>
        <w:t>施工所需主要机械设备详见主要施工机具需求表（表</w:t>
      </w:r>
      <w:r>
        <w:rPr>
          <w:spacing w:val="-130"/>
        </w:rPr>
        <w:t xml:space="preserve"> </w:t>
      </w:r>
      <w:r>
        <w:rPr>
          <w:spacing w:val="-2"/>
          <w:w w:val="100"/>
        </w:rPr>
        <w:t>1</w:t>
      </w:r>
      <w:r>
        <w:rPr>
          <w:spacing w:val="-213"/>
          <w:w w:val="100"/>
        </w:rPr>
        <w:t>）</w:t>
      </w:r>
      <w:r>
        <w:rPr>
          <w:w w:val="100"/>
        </w:rPr>
        <w:t>。</w:t>
      </w:r>
    </w:p>
    <w:p>
      <w:pPr>
        <w:pStyle w:val="Heading3"/>
        <w:spacing w:line="537" w:lineRule="exact"/>
        <w:ind w:left="1113"/>
      </w:pPr>
      <w:r>
        <w:t>二、施工布置</w:t>
      </w:r>
    </w:p>
    <w:p>
      <w:pPr>
        <w:pStyle w:val="BodyText"/>
        <w:spacing w:before="1"/>
        <w:rPr>
          <w:b/>
          <w:sz w:val="31"/>
        </w:rPr>
      </w:pPr>
    </w:p>
    <w:p>
      <w:pPr>
        <w:pStyle w:val="BodyText"/>
        <w:spacing w:line="417" w:lineRule="auto"/>
        <w:ind w:left="1113" w:right="1404" w:firstLine="849"/>
      </w:pPr>
      <w:r>
        <w:t xml:space="preserve">为了保证工程顺利开工，公司布置： </w:t>
      </w:r>
      <w:r>
        <w:rPr>
          <w:color w:val="FF0000"/>
        </w:rPr>
        <w:t>先进行施工临时道路设计，清除施工区域的废弃物，一周内完成现场三通一平工作，创造良好的施工条件。</w:t>
      </w:r>
    </w:p>
    <w:p>
      <w:pPr>
        <w:pStyle w:val="BodyText"/>
        <w:spacing w:line="417" w:lineRule="auto"/>
        <w:ind w:left="1113" w:right="1248" w:firstLine="849"/>
      </w:pPr>
      <w:r>
        <w:t>根据施工总平面图和对施工现场的实地勘察，提前平整场地，规划好</w:t>
      </w:r>
      <w:r>
        <w:rPr>
          <w:w w:val="100"/>
        </w:rPr>
        <w:t>材料堆放处（料场</w:t>
      </w:r>
      <w:r>
        <w:rPr>
          <w:spacing w:val="-264"/>
          <w:w w:val="100"/>
        </w:rPr>
        <w:t>）</w:t>
      </w:r>
      <w:r>
        <w:rPr>
          <w:spacing w:val="-1"/>
          <w:w w:val="100"/>
        </w:rPr>
        <w:t>，机械停放处，搭设整理好办公室、宿舍、食堂、厕所、</w:t>
      </w:r>
      <w:r>
        <w:t>配电室等临时设施，提前解决施工用电、用水问题。施工现场布置详见施</w:t>
      </w:r>
      <w:r>
        <w:rPr>
          <w:w w:val="100"/>
        </w:rPr>
        <w:t>工总平面图（表</w:t>
      </w:r>
      <w:r>
        <w:rPr>
          <w:spacing w:val="-110"/>
        </w:rPr>
        <w:t xml:space="preserve"> </w:t>
      </w:r>
      <w:r>
        <w:rPr>
          <w:spacing w:val="-1"/>
          <w:w w:val="100"/>
        </w:rPr>
        <w:t>5</w:t>
      </w:r>
      <w:r>
        <w:rPr>
          <w:spacing w:val="-213"/>
          <w:w w:val="100"/>
        </w:rPr>
        <w:t>）</w:t>
      </w:r>
      <w:r>
        <w:rPr>
          <w:w w:val="100"/>
        </w:rPr>
        <w:t>。</w:t>
      </w:r>
    </w:p>
    <w:p>
      <w:pPr>
        <w:pStyle w:val="BodyText"/>
        <w:spacing w:line="417" w:lineRule="auto"/>
        <w:ind w:left="1113" w:right="1820" w:firstLine="849"/>
      </w:pPr>
      <w:r>
        <w:t>施工中采取分段流水作业与平行作业相结合，有主有辅、有节奏连续均衡施工，保质保量按期完成施工生产任务。</w:t>
      </w:r>
    </w:p>
    <w:p>
      <w:pPr>
        <w:pStyle w:val="Heading1"/>
        <w:tabs>
          <w:tab w:val="left" w:pos="7438"/>
        </w:tabs>
        <w:spacing w:before="184"/>
        <w:ind w:left="5516"/>
      </w:pPr>
      <w:r>
        <w:t>第二章</w:t>
        <w:tab/>
        <w:t>资源配备计划</w:t>
      </w:r>
    </w:p>
    <w:p>
      <w:pPr>
        <w:pStyle w:val="BodyText"/>
        <w:rPr>
          <w:sz w:val="48"/>
        </w:rPr>
      </w:pPr>
    </w:p>
    <w:p>
      <w:pPr>
        <w:pStyle w:val="Heading2"/>
        <w:tabs>
          <w:tab w:val="left" w:pos="2912"/>
        </w:tabs>
        <w:spacing w:before="416"/>
      </w:pPr>
      <w:r>
        <w:t>第一节</w:t>
        <w:tab/>
        <w:t>劳动力配置计划</w:t>
      </w:r>
    </w:p>
    <w:p>
      <w:pPr>
        <w:pStyle w:val="BodyText"/>
        <w:spacing w:before="11"/>
        <w:rPr>
          <w:sz w:val="61"/>
        </w:rPr>
      </w:pPr>
    </w:p>
    <w:p>
      <w:pPr>
        <w:pStyle w:val="BodyText"/>
        <w:spacing w:line="417" w:lineRule="auto"/>
        <w:ind w:left="1113" w:right="1684" w:firstLine="849"/>
        <w:jc w:val="both"/>
      </w:pPr>
      <w:r>
        <w:t>按照项目管理原则，在全公司范围内抽调责任心强、经验丰富、专业配套的各类人员，组成精干高效的项目经理部和项目队，承担本项目的施工任务，特殊作业人员和技术工人全部持证上岗。计划高峰时期进入工地</w:t>
      </w:r>
      <w:r>
        <w:rPr>
          <w:spacing w:val="1"/>
        </w:rPr>
        <w:t xml:space="preserve">总人数的 </w:t>
      </w:r>
      <w:r>
        <w:t>241</w:t>
      </w:r>
      <w:r>
        <w:rPr>
          <w:spacing w:val="-5"/>
        </w:rPr>
        <w:t xml:space="preserve"> 人，其中项目经理部技术及管理人员 </w:t>
      </w:r>
      <w:r>
        <w:t>15</w:t>
      </w:r>
      <w:r>
        <w:rPr>
          <w:spacing w:val="-6"/>
        </w:rPr>
        <w:t xml:space="preserve"> 人，项目队生产工</w:t>
      </w:r>
    </w:p>
    <w:p>
      <w:pPr>
        <w:pStyle w:val="BodyText"/>
        <w:spacing w:line="417" w:lineRule="auto"/>
        <w:ind w:left="1113" w:right="1778"/>
        <w:jc w:val="both"/>
      </w:pPr>
      <w:r>
        <w:t>人 218 人，后勤人员 2 人。根据施工进展状况，各项目队人员进行动态管理。</w:t>
      </w:r>
    </w:p>
    <w:p>
      <w:pPr>
        <w:spacing w:after="0" w:line="417" w:lineRule="auto"/>
        <w:jc w:val="both"/>
        <w:sectPr>
          <w:headerReference w:type="default" r:id="rId14"/>
          <w:footerReference w:type="default" r:id="rId15"/>
          <w:pgSz w:w="17860" w:h="25270"/>
          <w:pgMar w:top="1040" w:right="0" w:bottom="1240" w:left="1440" w:header="712" w:footer="1057"/>
          <w:pgNumType w:start="6"/>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18"/>
        </w:rPr>
      </w:pPr>
    </w:p>
    <w:p>
      <w:pPr>
        <w:pStyle w:val="Heading2"/>
        <w:tabs>
          <w:tab w:val="left" w:pos="2912"/>
        </w:tabs>
        <w:spacing w:before="37"/>
      </w:pPr>
      <w:r>
        <w:t>第二节</w:t>
        <w:tab/>
        <w:t>主要材料、构配件及周转材料配置</w:t>
      </w:r>
    </w:p>
    <w:p>
      <w:pPr>
        <w:pStyle w:val="BodyText"/>
        <w:rPr>
          <w:sz w:val="44"/>
        </w:rPr>
      </w:pPr>
    </w:p>
    <w:p>
      <w:pPr>
        <w:pStyle w:val="BodyText"/>
        <w:spacing w:before="2"/>
        <w:rPr>
          <w:sz w:val="32"/>
        </w:rPr>
      </w:pPr>
    </w:p>
    <w:p>
      <w:pPr>
        <w:pStyle w:val="BodyText"/>
        <w:ind w:left="1113"/>
      </w:pPr>
      <w:r>
        <w:t>一、主要材料来源</w:t>
      </w:r>
    </w:p>
    <w:p>
      <w:pPr>
        <w:pStyle w:val="BodyText"/>
        <w:spacing w:before="1"/>
        <w:rPr>
          <w:sz w:val="45"/>
        </w:rPr>
      </w:pPr>
    </w:p>
    <w:p>
      <w:pPr>
        <w:pStyle w:val="BodyText"/>
        <w:spacing w:line="417" w:lineRule="auto"/>
        <w:ind w:left="1113" w:right="1623" w:firstLine="849"/>
      </w:pPr>
      <w:r>
        <w:rPr>
          <w:color w:val="FF0000"/>
          <w:spacing w:val="-15"/>
        </w:rPr>
        <w:t xml:space="preserve">本项目使用的 </w:t>
      </w:r>
      <w:r>
        <w:rPr>
          <w:color w:val="FF0000"/>
        </w:rPr>
        <w:t>1.5mm 光面HDPE</w:t>
      </w:r>
      <w:r>
        <w:rPr>
          <w:color w:val="FF0000"/>
          <w:spacing w:val="-12"/>
        </w:rPr>
        <w:t xml:space="preserve"> 土工膜、软式透水管、长丝针刺无纺土</w:t>
      </w:r>
      <w:r>
        <w:rPr>
          <w:color w:val="FF0000"/>
          <w:spacing w:val="-34"/>
        </w:rPr>
        <w:t xml:space="preserve">工布 </w:t>
      </w:r>
      <w:r>
        <w:rPr>
          <w:color w:val="FF0000"/>
        </w:rPr>
        <w:t>600g/m2</w:t>
      </w:r>
      <w:r>
        <w:rPr>
          <w:color w:val="FF0000"/>
          <w:spacing w:val="-1"/>
        </w:rPr>
        <w:t>、水泥、钢材、</w:t>
      </w:r>
      <w:r>
        <w:rPr>
          <w:color w:val="FF0000"/>
        </w:rPr>
        <w:t>HDPE</w:t>
      </w:r>
      <w:r>
        <w:rPr>
          <w:color w:val="FF0000"/>
          <w:spacing w:val="-10"/>
        </w:rPr>
        <w:t xml:space="preserve"> 塑料管等从获得 </w:t>
      </w:r>
      <w:r>
        <w:rPr>
          <w:color w:val="FF0000"/>
        </w:rPr>
        <w:t>ISO9002</w:t>
      </w:r>
      <w:r>
        <w:rPr>
          <w:color w:val="FF0000"/>
          <w:spacing w:val="-12"/>
        </w:rPr>
        <w:t xml:space="preserve"> 质量认证资格</w:t>
      </w:r>
      <w:r>
        <w:rPr>
          <w:color w:val="FF0000"/>
          <w:spacing w:val="-6"/>
        </w:rPr>
        <w:t>的厂家采购，</w:t>
      </w:r>
      <w:r>
        <w:t>同时应获得业主及监理工程师的认可。地材从本地石料厂采购。砂石等地材从当地采购，并纳入地方运输力量。</w:t>
      </w:r>
    </w:p>
    <w:p>
      <w:pPr>
        <w:pStyle w:val="BodyText"/>
        <w:spacing w:before="180"/>
        <w:ind w:left="1113"/>
      </w:pPr>
      <w:r>
        <w:t>二、材料的采购、运输、储存和管理</w:t>
      </w:r>
    </w:p>
    <w:p>
      <w:pPr>
        <w:pStyle w:val="BodyText"/>
        <w:spacing w:before="1"/>
        <w:rPr>
          <w:sz w:val="45"/>
        </w:rPr>
      </w:pPr>
    </w:p>
    <w:p>
      <w:pPr>
        <w:pStyle w:val="ListParagraph"/>
        <w:numPr>
          <w:ilvl w:val="0"/>
          <w:numId w:val="17"/>
        </w:numPr>
        <w:tabs>
          <w:tab w:val="left" w:pos="3015"/>
        </w:tabs>
        <w:spacing w:before="0" w:after="0" w:line="417" w:lineRule="auto"/>
        <w:ind w:left="1113" w:right="1610" w:firstLine="849"/>
        <w:jc w:val="left"/>
        <w:rPr>
          <w:sz w:val="42"/>
        </w:rPr>
      </w:pPr>
      <w:r>
        <w:rPr>
          <w:spacing w:val="-1"/>
          <w:sz w:val="42"/>
        </w:rPr>
        <w:t>物资设备部对采购的材料、构配件按相应标准分别进行进货、过</w:t>
      </w:r>
      <w:r>
        <w:rPr>
          <w:sz w:val="42"/>
        </w:rPr>
        <w:t>程和最终三方面的检验，以保证其质量符合要求。不合格的原材料，应书面通知物资部门做出标记，隔离存放，防止误用，并及时退货。</w:t>
      </w:r>
    </w:p>
    <w:p>
      <w:pPr>
        <w:pStyle w:val="ListParagraph"/>
        <w:numPr>
          <w:ilvl w:val="0"/>
          <w:numId w:val="17"/>
        </w:numPr>
        <w:tabs>
          <w:tab w:val="left" w:pos="3015"/>
          <w:tab w:val="left" w:pos="4245"/>
        </w:tabs>
        <w:spacing w:before="0" w:after="0" w:line="417" w:lineRule="auto"/>
        <w:ind w:left="1113" w:right="1641" w:firstLine="849"/>
        <w:jc w:val="left"/>
        <w:rPr>
          <w:sz w:val="42"/>
        </w:rPr>
      </w:pPr>
      <w:r>
        <w:rPr>
          <w:sz w:val="42"/>
        </w:rPr>
        <w:t>HDPE</w:t>
        <w:tab/>
      </w:r>
      <w:r>
        <w:rPr>
          <w:spacing w:val="-1"/>
          <w:sz w:val="42"/>
        </w:rPr>
        <w:t>土工膜等土工材料的运输应注意不得折叠，必须以卷的方</w:t>
      </w:r>
      <w:r>
        <w:rPr>
          <w:sz w:val="42"/>
        </w:rPr>
        <w:t>式用卡车运到施工现场，在搬运时应在卷中插入一根钢管，防止缆绳碰到HDPE</w:t>
      </w:r>
      <w:r>
        <w:rPr>
          <w:spacing w:val="-1"/>
          <w:sz w:val="42"/>
        </w:rPr>
        <w:t xml:space="preserve"> 土工膜。</w:t>
      </w:r>
    </w:p>
    <w:p>
      <w:pPr>
        <w:pStyle w:val="ListParagraph"/>
        <w:numPr>
          <w:ilvl w:val="0"/>
          <w:numId w:val="17"/>
        </w:numPr>
        <w:tabs>
          <w:tab w:val="left" w:pos="3015"/>
          <w:tab w:val="left" w:pos="4245"/>
        </w:tabs>
        <w:spacing w:before="0" w:after="0" w:line="417" w:lineRule="auto"/>
        <w:ind w:left="1113" w:right="1641" w:firstLine="849"/>
        <w:jc w:val="left"/>
        <w:rPr>
          <w:sz w:val="42"/>
        </w:rPr>
      </w:pPr>
      <w:r>
        <w:rPr>
          <w:sz w:val="42"/>
        </w:rPr>
        <w:t>HDPE</w:t>
        <w:tab/>
      </w:r>
      <w:r>
        <w:rPr>
          <w:spacing w:val="-1"/>
          <w:sz w:val="42"/>
        </w:rPr>
        <w:t>土工膜等土工材料储存时应避免与地面直接接触，应把它</w:t>
      </w:r>
      <w:r>
        <w:rPr>
          <w:sz w:val="42"/>
        </w:rPr>
        <w:t>放在保护性的表面（如土工织物）或在工厂内卷好，用塑料布包好，同时储存时应防止与灰尘、水的过多接触，防止过热。</w:t>
      </w:r>
    </w:p>
    <w:p>
      <w:pPr>
        <w:pStyle w:val="ListParagraph"/>
        <w:numPr>
          <w:ilvl w:val="0"/>
          <w:numId w:val="17"/>
        </w:numPr>
        <w:tabs>
          <w:tab w:val="left" w:pos="3015"/>
        </w:tabs>
        <w:spacing w:before="0" w:after="0" w:line="240" w:lineRule="auto"/>
        <w:ind w:left="3014" w:right="0" w:hanging="1053"/>
        <w:jc w:val="left"/>
        <w:rPr>
          <w:sz w:val="42"/>
        </w:rPr>
      </w:pPr>
      <w:r>
        <w:rPr>
          <w:sz w:val="42"/>
        </w:rPr>
        <w:t>对水泥、钢材、电气材料等物资的储存，作好防雨、防潮工作。</w:t>
      </w:r>
    </w:p>
    <w:p>
      <w:pPr>
        <w:pStyle w:val="BodyText"/>
        <w:spacing w:before="11"/>
        <w:rPr>
          <w:sz w:val="57"/>
        </w:rPr>
      </w:pPr>
    </w:p>
    <w:p>
      <w:pPr>
        <w:pStyle w:val="Heading2"/>
        <w:spacing w:before="0"/>
      </w:pPr>
      <w:r>
        <w:t>第三节、施工机械设备配置计划</w:t>
      </w:r>
    </w:p>
    <w:p>
      <w:pPr>
        <w:pStyle w:val="BodyText"/>
        <w:spacing w:before="1"/>
        <w:rPr>
          <w:sz w:val="62"/>
        </w:rPr>
      </w:pPr>
    </w:p>
    <w:p>
      <w:pPr>
        <w:pStyle w:val="BodyText"/>
        <w:ind w:left="1962"/>
      </w:pPr>
      <w:r>
        <w:t>（详见附表 1、2）</w:t>
      </w:r>
    </w:p>
    <w:p>
      <w:pPr>
        <w:spacing w:after="0"/>
        <w:sectPr>
          <w:headerReference w:type="default" r:id="rId16"/>
          <w:footerReference w:type="default" r:id="rId17"/>
          <w:pgSz w:w="17860" w:h="25270"/>
          <w:pgMar w:top="1040" w:right="0" w:bottom="1240" w:left="1440" w:header="712" w:footer="1057"/>
          <w:pgNumType w:start="7"/>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4"/>
        <w:rPr>
          <w:sz w:val="23"/>
        </w:rPr>
      </w:pPr>
    </w:p>
    <w:p>
      <w:pPr>
        <w:pStyle w:val="Heading1"/>
        <w:tabs>
          <w:tab w:val="left" w:pos="1922"/>
        </w:tabs>
        <w:ind w:right="592"/>
        <w:jc w:val="center"/>
      </w:pPr>
      <w:r>
        <w:t>第三章</w:t>
        <w:tab/>
        <w:t>施工方案与技术措施</w:t>
      </w:r>
    </w:p>
    <w:p>
      <w:pPr>
        <w:pStyle w:val="BodyText"/>
        <w:rPr>
          <w:sz w:val="20"/>
        </w:rPr>
      </w:pPr>
    </w:p>
    <w:p>
      <w:pPr>
        <w:pStyle w:val="BodyText"/>
        <w:rPr>
          <w:sz w:val="20"/>
        </w:rPr>
      </w:pPr>
    </w:p>
    <w:p>
      <w:pPr>
        <w:pStyle w:val="BodyText"/>
        <w:rPr>
          <w:sz w:val="20"/>
        </w:rPr>
      </w:pPr>
    </w:p>
    <w:p>
      <w:pPr>
        <w:pStyle w:val="BodyText"/>
        <w:spacing w:before="8"/>
        <w:rPr>
          <w:sz w:val="17"/>
        </w:rPr>
      </w:pPr>
    </w:p>
    <w:p>
      <w:pPr>
        <w:pStyle w:val="Heading2"/>
        <w:tabs>
          <w:tab w:val="left" w:pos="2912"/>
        </w:tabs>
        <w:spacing w:before="36"/>
      </w:pPr>
      <w:r>
        <w:t>第一节</w:t>
        <w:tab/>
        <w:t>土方工程</w:t>
      </w:r>
    </w:p>
    <w:p>
      <w:pPr>
        <w:pStyle w:val="BodyText"/>
        <w:spacing w:before="11"/>
        <w:rPr>
          <w:sz w:val="61"/>
        </w:rPr>
      </w:pPr>
    </w:p>
    <w:p>
      <w:pPr>
        <w:pStyle w:val="BodyText"/>
        <w:spacing w:line="417" w:lineRule="auto"/>
        <w:ind w:left="1113" w:right="1404" w:firstLine="838"/>
      </w:pPr>
      <w:r>
        <w:t xml:space="preserve">土方进行开挖和填埋前，首先进行基底清理工作。土方工程的清基范 </w:t>
      </w:r>
      <w:r>
        <w:rPr>
          <w:spacing w:val="-1"/>
        </w:rPr>
        <w:t xml:space="preserve">围包括填埋场道路工程、填埋区整平工程、调节池填方区等土方回填区域， </w:t>
      </w:r>
      <w:r>
        <w:rPr>
          <w:spacing w:val="-3"/>
        </w:rPr>
        <w:t xml:space="preserve">其边界为道路沿线设计基面，填土区周边边线之外 </w:t>
      </w:r>
      <w:r>
        <w:t>0.3m。基底清理范围内所有树木、杂草、草木根茎、腐植土、淤泥、杂物等不合格的土全部清除 至原状土。</w:t>
      </w:r>
    </w:p>
    <w:p>
      <w:pPr>
        <w:spacing w:before="0" w:line="537" w:lineRule="exact"/>
        <w:ind w:left="1530" w:right="0" w:firstLine="0"/>
        <w:jc w:val="left"/>
        <w:rPr>
          <w:sz w:val="42"/>
        </w:rPr>
      </w:pPr>
      <w:r>
        <w:rPr>
          <w:b/>
          <w:sz w:val="42"/>
        </w:rPr>
        <w:t>一、</w:t>
      </w:r>
      <w:r>
        <w:rPr>
          <w:sz w:val="42"/>
        </w:rPr>
        <w:t>土方开挖</w:t>
      </w:r>
    </w:p>
    <w:p>
      <w:pPr>
        <w:pStyle w:val="BodyText"/>
        <w:spacing w:before="1"/>
        <w:rPr>
          <w:sz w:val="31"/>
        </w:rPr>
      </w:pPr>
    </w:p>
    <w:p>
      <w:pPr>
        <w:pStyle w:val="BodyText"/>
        <w:spacing w:line="417" w:lineRule="auto"/>
        <w:ind w:left="1113" w:right="1404" w:firstLine="878"/>
      </w:pPr>
      <w:r>
        <w:t xml:space="preserve">土方开挖采用机械化施工方法：首先技术员依据施工图纸测设出基坑 </w:t>
      </w:r>
      <w:r>
        <w:rPr>
          <w:spacing w:val="-1"/>
        </w:rPr>
        <w:t>范围，用挖掘机配合自卸汽车施工。施工过程中挖方范围内的树木、杂草、</w:t>
      </w:r>
      <w:r>
        <w:t>腐植土全部清除干净。</w:t>
      </w:r>
    </w:p>
    <w:p>
      <w:pPr>
        <w:pStyle w:val="BodyText"/>
        <w:spacing w:line="417" w:lineRule="auto"/>
        <w:ind w:left="1113" w:right="1404" w:firstLine="878"/>
      </w:pPr>
      <w:r>
        <w:t xml:space="preserve">开挖过程中技术人员架设水准仪随时跟测，以免出现超挖现象。挖方 表面的坡度符合设计坡度，且表面无明显的凹凸现象。挖出的土方做为可 </w:t>
      </w:r>
      <w:r>
        <w:rPr>
          <w:spacing w:val="-1"/>
        </w:rPr>
        <w:t xml:space="preserve">利用土运到指定地点堆放。基坑底、坡面上不含有杂草、树根等有害物质， </w:t>
      </w:r>
      <w:r>
        <w:rPr>
          <w:spacing w:val="-3"/>
        </w:rPr>
        <w:t xml:space="preserve">清除有害物质后的小坑穴回填合格的土料并夯压密实。底面采用大 </w:t>
      </w:r>
      <w:r>
        <w:t xml:space="preserve">18/21t </w:t>
      </w:r>
      <w:r>
        <w:rPr>
          <w:spacing w:val="-15"/>
        </w:rPr>
        <w:t xml:space="preserve">的压路机碾压，其轮迹深度不大于 </w:t>
      </w:r>
      <w:r>
        <w:rPr>
          <w:spacing w:val="-20"/>
        </w:rPr>
        <w:t>5mm</w:t>
      </w:r>
      <w:r>
        <w:rPr>
          <w:spacing w:val="-5"/>
        </w:rPr>
        <w:t>，碾压机械无法到达的部位以及坡面采用小型机械和人工夯实的办法，以保证坡面坚实、平整、无松土。</w:t>
      </w:r>
    </w:p>
    <w:p>
      <w:pPr>
        <w:pStyle w:val="BodyText"/>
        <w:spacing w:line="417" w:lineRule="auto"/>
        <w:ind w:left="1113" w:right="1811" w:firstLine="856"/>
      </w:pPr>
      <w:r>
        <w:t>基坑开挖达到设计标高后，用平地机整平，并预留压实量，最后用压路机压实，检查压实度。</w:t>
      </w:r>
    </w:p>
    <w:p>
      <w:pPr>
        <w:pStyle w:val="BodyText"/>
        <w:spacing w:line="537" w:lineRule="exact"/>
        <w:ind w:left="1951"/>
      </w:pPr>
      <w:r>
        <w:rPr>
          <w:b/>
        </w:rPr>
        <w:t>二</w:t>
      </w:r>
      <w:r>
        <w:t>、土方填筑</w:t>
      </w:r>
    </w:p>
    <w:p>
      <w:pPr>
        <w:pStyle w:val="BodyText"/>
        <w:spacing w:before="12"/>
        <w:rPr>
          <w:sz w:val="30"/>
        </w:rPr>
      </w:pPr>
    </w:p>
    <w:p>
      <w:pPr>
        <w:pStyle w:val="BodyText"/>
        <w:ind w:left="1743"/>
      </w:pPr>
      <w:r>
        <w:t>土方填筑工程用配套的机械进行机械化施工，形成挖、装、运、摊、平、</w:t>
      </w:r>
    </w:p>
    <w:p>
      <w:pPr>
        <w:spacing w:after="0"/>
        <w:sectPr>
          <w:headerReference w:type="default" r:id="rId18"/>
          <w:footerReference w:type="default" r:id="rId19"/>
          <w:pgSz w:w="17860" w:h="25270"/>
          <w:pgMar w:top="1040" w:right="0" w:bottom="1240" w:left="1440" w:header="712" w:footer="1057"/>
          <w:pgNumType w:start="8"/>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22"/>
        </w:rPr>
      </w:pPr>
    </w:p>
    <w:p>
      <w:pPr>
        <w:pStyle w:val="BodyText"/>
        <w:spacing w:before="42"/>
        <w:ind w:left="1113"/>
      </w:pPr>
      <w:r>
        <w:t>压机械化流水作业，保证土方填筑高质量、高速度地完成。</w:t>
      </w:r>
    </w:p>
    <w:p>
      <w:pPr>
        <w:pStyle w:val="BodyText"/>
        <w:spacing w:before="1"/>
        <w:rPr>
          <w:sz w:val="31"/>
        </w:rPr>
      </w:pPr>
    </w:p>
    <w:p>
      <w:pPr>
        <w:pStyle w:val="BodyText"/>
        <w:spacing w:line="417" w:lineRule="auto"/>
        <w:ind w:left="1113" w:right="1408" w:firstLine="838"/>
      </w:pPr>
      <w:r>
        <w:rPr>
          <w:spacing w:val="-1"/>
        </w:rPr>
        <w:t xml:space="preserve">清除填方范围内的草皮，树根，淤泥，积水，并翻松、平整压实地基， </w:t>
      </w:r>
      <w:r>
        <w:t>经监理工程师认可，实测基底标高后，方能上土填筑。清基处理后的填方 区域在第一次填土前要进行平整，除了较为深厚的软弱基础需要另外进行 处理外，对基底进行压实，压实后的质量应符合路基、填埋场基底的设计 要求。</w:t>
      </w:r>
    </w:p>
    <w:p>
      <w:pPr>
        <w:pStyle w:val="BodyText"/>
        <w:spacing w:line="417" w:lineRule="auto"/>
        <w:ind w:left="1113" w:right="1683" w:firstLine="856"/>
        <w:jc w:val="both"/>
      </w:pPr>
      <w:r>
        <w:t>选择适应的填筑材料，提前作好标准击实试验，并经监理工程师批准试验材料和选择的取料场。对用于填埋区、调节池及道路填方工程所使用</w:t>
      </w:r>
      <w:r>
        <w:rPr>
          <w:spacing w:val="1"/>
        </w:rPr>
        <w:t>的土料的要求：不得含有淤泥、树根、腐植土及直径大于</w:t>
      </w:r>
      <w:r>
        <w:t>50mm</w:t>
      </w:r>
      <w:r>
        <w:rPr>
          <w:spacing w:val="-16"/>
        </w:rPr>
        <w:t xml:space="preserve"> 的石块、垃</w:t>
      </w:r>
      <w:r>
        <w:t>圾或其它杂物。</w:t>
      </w:r>
    </w:p>
    <w:p>
      <w:pPr>
        <w:pStyle w:val="BodyText"/>
        <w:spacing w:line="417" w:lineRule="auto"/>
        <w:ind w:left="1113" w:right="1811" w:firstLine="856"/>
        <w:jc w:val="both"/>
      </w:pPr>
      <w:r>
        <w:t>填方前的准备：填土的场地在填土前除按基底的清理要求处理外，还要在场地的适当地方修筑必要的临时截水沟，防止场外水流入填土区，同时在填土区周边做好临时排水沟，采取相应的排水措施，保证区内的排水顺畅，做到不积水。</w:t>
      </w:r>
    </w:p>
    <w:p>
      <w:pPr>
        <w:pStyle w:val="BodyText"/>
        <w:spacing w:line="417" w:lineRule="auto"/>
        <w:ind w:left="1113" w:right="1581" w:firstLine="856"/>
      </w:pPr>
      <w:r>
        <w:t>土方的挖、装、运均采用机械施工，用挖装机械配备自卸汽车运土， 按每延米用土量严格控制上土，推土机把土推均，土面大致呈水平状态， 厚度均匀。填方区域按照分层夯实，压实度应该符合设计要求，经检验合格后方可进行下一层，在下一层夯实之前，压实面采用机械刨松，刨松深度不小于 25mm。填土作业按照水平层次铺填，不得顺坡填筑，路堤分段作业面的最小长度为：机械作业不小于50m，填埋区区域分块填筑，分块的边长不小于 40m，如果相邻的施工面之间出现高差时候， 最大的高差不大于1.0m， 而且两作业面以缓于 1：5 的斜坡过渡搭接。</w:t>
      </w:r>
    </w:p>
    <w:p>
      <w:pPr>
        <w:spacing w:after="0" w:line="417" w:lineRule="auto"/>
        <w:sectPr>
          <w:headerReference w:type="default" r:id="rId20"/>
          <w:footerReference w:type="default" r:id="rId21"/>
          <w:pgSz w:w="17860" w:h="25270"/>
          <w:pgMar w:top="1040" w:right="0" w:bottom="1240" w:left="1440" w:header="712" w:footer="1057"/>
          <w:pgNumType w:start="9"/>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22"/>
        </w:rPr>
      </w:pPr>
    </w:p>
    <w:p>
      <w:pPr>
        <w:pStyle w:val="BodyText"/>
        <w:spacing w:before="42" w:line="417" w:lineRule="auto"/>
        <w:ind w:left="1113" w:right="983" w:firstLine="856"/>
      </w:pPr>
      <w:r>
        <w:rPr>
          <w:spacing w:val="-10"/>
        </w:rPr>
        <w:t>当路基填土含水量大于最佳含水量时，可在路外晾晒，也可在路基上用铧</w:t>
      </w:r>
      <w:r>
        <w:rPr>
          <w:spacing w:val="-11"/>
        </w:rPr>
        <w:t>犁翻拌晾晒；当含水量不足时，可用水车洒水补充，使填土达到最佳含水量的</w:t>
      </w:r>
      <w:r>
        <w:rPr>
          <w:spacing w:val="-1"/>
        </w:rPr>
        <w:t>要求，确保达到压实度标准。土料含水量的检测频率为一种土源检测一次，每</w:t>
      </w:r>
      <w:r>
        <w:rPr>
          <w:spacing w:val="9"/>
        </w:rPr>
        <w:t>次一组，每组</w:t>
      </w:r>
      <w:r>
        <w:t>3</w:t>
      </w:r>
      <w:r>
        <w:rPr>
          <w:spacing w:val="-10"/>
        </w:rPr>
        <w:t xml:space="preserve"> 个土样。填方工程在压实前用压实机先轻压后重压，经机械压</w:t>
      </w:r>
      <w:r>
        <w:rPr>
          <w:spacing w:val="-22"/>
        </w:rPr>
        <w:t xml:space="preserve">实后每层平均按 </w:t>
      </w:r>
      <w:r>
        <w:t>500</w:t>
      </w:r>
      <w:r>
        <w:rPr>
          <w:spacing w:val="-16"/>
        </w:rPr>
        <w:t xml:space="preserve"> 平方米取一组</w:t>
      </w:r>
      <w:r>
        <w:rPr>
          <w:spacing w:val="-6"/>
        </w:rPr>
        <w:t>（3</w:t>
      </w:r>
      <w:r>
        <w:rPr>
          <w:spacing w:val="-49"/>
        </w:rPr>
        <w:t xml:space="preserve"> 个</w:t>
      </w:r>
      <w:r>
        <w:t>）土样，检测干密度与湿密度，并计</w:t>
      </w:r>
      <w:r>
        <w:rPr>
          <w:spacing w:val="-13"/>
        </w:rPr>
        <w:t>算其压实度，将压实度与设计压实标准作对比，确定压实质量是否达到设计要</w:t>
      </w:r>
      <w:r>
        <w:rPr>
          <w:spacing w:val="-14"/>
        </w:rPr>
        <w:t>求，若未达到标准，找出原因，返工补压，每一层压好后，表面按设计要求控</w:t>
      </w:r>
      <w:r>
        <w:t>制好倾斜度，以利排水。</w:t>
      </w:r>
    </w:p>
    <w:p>
      <w:pPr>
        <w:pStyle w:val="Heading2"/>
        <w:tabs>
          <w:tab w:val="left" w:pos="2912"/>
        </w:tabs>
        <w:spacing w:before="343"/>
      </w:pPr>
      <w:r>
        <w:t>第二节</w:t>
        <w:tab/>
        <w:t>排水工程</w:t>
      </w:r>
    </w:p>
    <w:p>
      <w:pPr>
        <w:pStyle w:val="BodyText"/>
        <w:spacing w:before="11"/>
        <w:rPr>
          <w:sz w:val="61"/>
        </w:rPr>
      </w:pPr>
    </w:p>
    <w:p>
      <w:pPr>
        <w:pStyle w:val="BodyText"/>
        <w:ind w:left="1951"/>
      </w:pPr>
      <w:r>
        <w:t>一、填埋区排水</w:t>
      </w:r>
    </w:p>
    <w:p>
      <w:pPr>
        <w:pStyle w:val="BodyText"/>
        <w:spacing w:before="1"/>
        <w:rPr>
          <w:sz w:val="31"/>
        </w:rPr>
      </w:pPr>
    </w:p>
    <w:p>
      <w:pPr>
        <w:pStyle w:val="BodyText"/>
        <w:ind w:left="1951"/>
      </w:pPr>
      <w:r>
        <w:rPr>
          <w:spacing w:val="-1"/>
        </w:rPr>
        <w:t>1、沟槽土方开挖</w:t>
      </w:r>
    </w:p>
    <w:p>
      <w:pPr>
        <w:pStyle w:val="BodyText"/>
        <w:spacing w:before="1"/>
        <w:rPr>
          <w:sz w:val="31"/>
        </w:rPr>
      </w:pPr>
    </w:p>
    <w:p>
      <w:pPr>
        <w:pStyle w:val="BodyText"/>
        <w:spacing w:line="417" w:lineRule="auto"/>
        <w:ind w:left="1113" w:right="983" w:firstLine="856"/>
        <w:jc w:val="both"/>
      </w:pPr>
      <w:r>
        <w:rPr>
          <w:spacing w:val="-12"/>
        </w:rPr>
        <w:t>采用挖掘机挖槽，人工配合清底。开挖前，先由技术人员放测出沟槽上口</w:t>
      </w:r>
      <w:r>
        <w:rPr>
          <w:spacing w:val="-13"/>
        </w:rPr>
        <w:t>边线，并向机械司机详细交底，交底内容应包括挖槽断面、堆土位置、现有地</w:t>
      </w:r>
      <w:r>
        <w:rPr>
          <w:spacing w:val="-1"/>
        </w:rPr>
        <w:t>下构筑情况及施工技术、安全要求等，并指定专人与司机配合，及时测量槽底</w:t>
      </w:r>
      <w:r>
        <w:t>高程和宽度，防止超挖。</w:t>
      </w:r>
    </w:p>
    <w:p>
      <w:pPr>
        <w:pStyle w:val="BodyText"/>
        <w:spacing w:line="417" w:lineRule="auto"/>
        <w:ind w:left="1113" w:right="1694" w:firstLine="946"/>
        <w:jc w:val="both"/>
      </w:pPr>
      <w:r>
        <w:t>在挖槽时，应确保槽底土壤结构不被扰动或破坏，由于机械不可能准</w:t>
      </w:r>
      <w:r>
        <w:rPr>
          <w:spacing w:val="1"/>
        </w:rPr>
        <w:t>确地将槽底按规定高程整平，开挖时应在设计槽底高程以上保留</w:t>
      </w:r>
      <w:r>
        <w:t>10cm</w:t>
      </w:r>
      <w:r>
        <w:rPr>
          <w:spacing w:val="-33"/>
        </w:rPr>
        <w:t xml:space="preserve"> 左右</w:t>
      </w:r>
      <w:r>
        <w:t>一层不挖，用人工清底。</w:t>
      </w:r>
    </w:p>
    <w:p>
      <w:pPr>
        <w:pStyle w:val="BodyText"/>
        <w:spacing w:line="537" w:lineRule="exact"/>
        <w:ind w:left="1951"/>
      </w:pPr>
      <w:r>
        <w:t>2、排水沟基础模板支设：</w:t>
      </w:r>
    </w:p>
    <w:p>
      <w:pPr>
        <w:pStyle w:val="BodyText"/>
        <w:rPr>
          <w:sz w:val="31"/>
        </w:rPr>
      </w:pPr>
    </w:p>
    <w:p>
      <w:pPr>
        <w:pStyle w:val="BodyText"/>
        <w:spacing w:line="417" w:lineRule="auto"/>
        <w:ind w:left="1113" w:right="1815" w:firstLine="853"/>
      </w:pPr>
      <w:r>
        <w:t>首先在沟槽内钉中心桩并拉线控制排水沟的中心位置，然后根据中心线和设计基础宽度确定模板的位置，同时用水准仪控制高程、找好坡度、</w:t>
      </w:r>
    </w:p>
    <w:p>
      <w:pPr>
        <w:spacing w:after="0" w:line="417" w:lineRule="auto"/>
        <w:sectPr>
          <w:headerReference w:type="default" r:id="rId22"/>
          <w:footerReference w:type="default" r:id="rId23"/>
          <w:pgSz w:w="17860" w:h="25270"/>
          <w:pgMar w:top="1040" w:right="0" w:bottom="1240" w:left="1440" w:header="712" w:footer="1057"/>
          <w:pgNumType w:start="10"/>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22"/>
        </w:rPr>
      </w:pPr>
    </w:p>
    <w:p>
      <w:pPr>
        <w:pStyle w:val="BodyText"/>
        <w:spacing w:before="42"/>
        <w:ind w:left="1113"/>
      </w:pPr>
      <w:r>
        <w:t>安装模板，铲除沟内浮土并找平。</w:t>
      </w:r>
    </w:p>
    <w:p>
      <w:pPr>
        <w:pStyle w:val="BodyText"/>
        <w:spacing w:before="1"/>
        <w:rPr>
          <w:sz w:val="31"/>
        </w:rPr>
      </w:pPr>
    </w:p>
    <w:p>
      <w:pPr>
        <w:pStyle w:val="BodyText"/>
        <w:ind w:left="1951"/>
      </w:pPr>
      <w:r>
        <w:t>3、水泥砼垫层：</w:t>
      </w:r>
    </w:p>
    <w:p>
      <w:pPr>
        <w:pStyle w:val="BodyText"/>
        <w:rPr>
          <w:sz w:val="31"/>
        </w:rPr>
      </w:pPr>
    </w:p>
    <w:p>
      <w:pPr>
        <w:pStyle w:val="BodyText"/>
        <w:spacing w:before="1" w:line="417" w:lineRule="auto"/>
        <w:ind w:left="1113" w:right="1822" w:firstLine="845"/>
        <w:jc w:val="both"/>
      </w:pPr>
      <w:r>
        <w:t>模板检查合格后，浇筑砼时用溜槽下料，人工铺摊，振捣成型。混凝土应密实，无蜂窝麻面，表面平整、直顺。混凝土浇筑后洒水养护，高温天气要覆盖，遇地下水及时排除，砼终凝前严禁浸泡。</w:t>
      </w:r>
    </w:p>
    <w:p>
      <w:pPr>
        <w:pStyle w:val="BodyText"/>
        <w:spacing w:line="538" w:lineRule="exact"/>
        <w:ind w:left="1962"/>
      </w:pPr>
      <w:r>
        <w:t>4、浆砌毛石：</w:t>
      </w:r>
    </w:p>
    <w:p>
      <w:pPr>
        <w:pStyle w:val="BodyText"/>
        <w:rPr>
          <w:sz w:val="31"/>
        </w:rPr>
      </w:pPr>
    </w:p>
    <w:p>
      <w:pPr>
        <w:pStyle w:val="BodyText"/>
        <w:spacing w:line="417" w:lineRule="auto"/>
        <w:ind w:left="1113" w:right="1662" w:firstLine="849"/>
        <w:jc w:val="both"/>
      </w:pPr>
      <w:r>
        <w:rPr>
          <w:spacing w:val="-2"/>
        </w:rPr>
        <w:t xml:space="preserve">排水沟采用 </w:t>
      </w:r>
      <w:r>
        <w:rPr>
          <w:color w:val="FF0000"/>
        </w:rPr>
        <w:t>M10</w:t>
      </w:r>
      <w:r>
        <w:rPr>
          <w:color w:val="FF0000"/>
          <w:spacing w:val="-4"/>
        </w:rPr>
        <w:t xml:space="preserve"> 水泥砂</w:t>
      </w:r>
      <w:r>
        <w:rPr>
          <w:spacing w:val="-3"/>
        </w:rPr>
        <w:t xml:space="preserve">浆砌 </w:t>
      </w:r>
      <w:r>
        <w:t>MU30</w:t>
      </w:r>
      <w:r>
        <w:rPr>
          <w:spacing w:val="-3"/>
        </w:rPr>
        <w:t xml:space="preserve"> 毛石，砂浆饱满，片石厚度不小于15cm</w:t>
      </w:r>
      <w:r>
        <w:rPr>
          <w:spacing w:val="-29"/>
        </w:rPr>
        <w:t>。</w:t>
      </w:r>
      <w:r>
        <w:rPr>
          <w:color w:val="00AEEE"/>
          <w:spacing w:val="-13"/>
        </w:rPr>
        <w:t xml:space="preserve">排水沟内壁采用 </w:t>
      </w:r>
      <w:r>
        <w:rPr>
          <w:color w:val="00AEEE"/>
          <w:spacing w:val="-7"/>
        </w:rPr>
        <w:t>1：2.5</w:t>
      </w:r>
      <w:r>
        <w:rPr>
          <w:color w:val="00AEEE"/>
          <w:spacing w:val="-20"/>
        </w:rPr>
        <w:t xml:space="preserve"> 水泥砂浆</w:t>
      </w:r>
      <w:r>
        <w:rPr>
          <w:color w:val="00AEEE"/>
        </w:rPr>
        <w:t>（</w:t>
      </w:r>
      <w:r>
        <w:rPr>
          <w:color w:val="00AEEE"/>
          <w:spacing w:val="72"/>
        </w:rPr>
        <w:t>掺</w:t>
      </w:r>
      <w:r>
        <w:rPr>
          <w:color w:val="00AEEE"/>
        </w:rPr>
        <w:t>5%的防水剂）</w:t>
      </w:r>
      <w:r>
        <w:rPr>
          <w:color w:val="00AEEE"/>
          <w:spacing w:val="-23"/>
        </w:rPr>
        <w:t>勾缝，</w:t>
      </w:r>
      <w:r>
        <w:t>沟顶面和</w:t>
      </w:r>
      <w:r>
        <w:rPr>
          <w:spacing w:val="-11"/>
        </w:rPr>
        <w:t xml:space="preserve">沟底面抹面厚度 </w:t>
      </w:r>
      <w:r>
        <w:t>4cm</w:t>
      </w:r>
      <w:r>
        <w:rPr>
          <w:spacing w:val="6"/>
        </w:rPr>
        <w:t>。排水沟分段砌筑，每段长</w:t>
      </w:r>
      <w:r>
        <w:t>10m</w:t>
      </w:r>
      <w:r>
        <w:rPr>
          <w:spacing w:val="-2"/>
        </w:rPr>
        <w:t>，段间设沉降缝，沉降</w:t>
      </w:r>
      <w:r>
        <w:rPr>
          <w:spacing w:val="-11"/>
        </w:rPr>
        <w:t xml:space="preserve">缝贯穿整个断面，缝宽 </w:t>
      </w:r>
      <w:r>
        <w:t>20mm，沉降缝用沥青麻丝满填。</w:t>
      </w:r>
    </w:p>
    <w:p>
      <w:pPr>
        <w:pStyle w:val="BodyText"/>
        <w:spacing w:line="537" w:lineRule="exact"/>
        <w:ind w:left="1962"/>
      </w:pPr>
      <w:r>
        <w:t>5、盖板涵：</w:t>
      </w:r>
    </w:p>
    <w:p>
      <w:pPr>
        <w:pStyle w:val="BodyText"/>
        <w:spacing w:before="1"/>
        <w:rPr>
          <w:sz w:val="31"/>
        </w:rPr>
      </w:pPr>
    </w:p>
    <w:p>
      <w:pPr>
        <w:pStyle w:val="BodyText"/>
        <w:spacing w:before="1" w:line="417" w:lineRule="auto"/>
        <w:ind w:left="1113" w:right="1680" w:firstLine="849"/>
        <w:jc w:val="both"/>
      </w:pPr>
      <w:r>
        <w:rPr>
          <w:spacing w:val="-5"/>
        </w:rPr>
        <w:t xml:space="preserve">施工工艺同排水沟。涵洞台帽采用 </w:t>
      </w:r>
      <w:r>
        <w:t>C25</w:t>
      </w:r>
      <w:r>
        <w:rPr>
          <w:spacing w:val="-17"/>
        </w:rPr>
        <w:t xml:space="preserve"> 砼，台身采用 </w:t>
      </w:r>
      <w:r>
        <w:t>M10</w:t>
      </w:r>
      <w:r>
        <w:rPr>
          <w:spacing w:val="-13"/>
        </w:rPr>
        <w:t xml:space="preserve"> 水泥砂浆砌MU30</w:t>
      </w:r>
      <w:r>
        <w:rPr>
          <w:spacing w:val="-15"/>
        </w:rPr>
        <w:t xml:space="preserve"> 料石，</w:t>
      </w:r>
      <w:r>
        <w:t>1：2.5</w:t>
      </w:r>
      <w:r>
        <w:rPr>
          <w:spacing w:val="-14"/>
        </w:rPr>
        <w:t xml:space="preserve"> 水泥砂浆勾缝，每隔 </w:t>
      </w:r>
      <w:r>
        <w:t>4m</w:t>
      </w:r>
      <w:r>
        <w:rPr>
          <w:spacing w:val="-9"/>
        </w:rPr>
        <w:t xml:space="preserve"> 设置一沉降缝。盖板为现场集</w:t>
      </w:r>
      <w:r>
        <w:rPr>
          <w:spacing w:val="-7"/>
        </w:rPr>
        <w:t xml:space="preserve">中预制，安装时人工配合机械，盖板下 </w:t>
      </w:r>
      <w:r>
        <w:t>20mm</w:t>
      </w:r>
      <w:r>
        <w:rPr>
          <w:spacing w:val="-11"/>
        </w:rPr>
        <w:t xml:space="preserve"> 厚座水泥砂浆，安放稳固。</w:t>
      </w:r>
    </w:p>
    <w:p>
      <w:pPr>
        <w:pStyle w:val="BodyText"/>
        <w:spacing w:line="537" w:lineRule="exact"/>
        <w:ind w:left="1951"/>
      </w:pPr>
      <w:r>
        <w:t>二、管理区排水</w:t>
      </w:r>
    </w:p>
    <w:p>
      <w:pPr>
        <w:pStyle w:val="BodyText"/>
        <w:rPr>
          <w:sz w:val="31"/>
        </w:rPr>
      </w:pPr>
    </w:p>
    <w:p>
      <w:pPr>
        <w:pStyle w:val="BodyText"/>
        <w:spacing w:line="417" w:lineRule="auto"/>
        <w:ind w:left="1113" w:right="1622" w:firstLine="838"/>
      </w:pPr>
      <w:r>
        <w:t>1、沟槽土方开挖、管沟基础模板支设和砼平基浇筑施工工艺同排水沟施工。</w:t>
      </w:r>
    </w:p>
    <w:p>
      <w:pPr>
        <w:pStyle w:val="BodyText"/>
        <w:spacing w:before="1"/>
        <w:ind w:left="1951"/>
      </w:pPr>
      <w:r>
        <w:t>2、管道安装：</w:t>
      </w:r>
    </w:p>
    <w:p>
      <w:pPr>
        <w:pStyle w:val="BodyText"/>
        <w:rPr>
          <w:sz w:val="31"/>
        </w:rPr>
      </w:pPr>
    </w:p>
    <w:p>
      <w:pPr>
        <w:pStyle w:val="BodyText"/>
        <w:spacing w:line="417" w:lineRule="auto"/>
        <w:ind w:left="1113" w:right="1624" w:firstLine="845"/>
      </w:pPr>
      <w:r>
        <w:rPr>
          <w:spacing w:val="2"/>
        </w:rPr>
        <w:t>安管采用机械吊装，人工配合。平基混凝土强度达到</w:t>
      </w:r>
      <w:r>
        <w:t>5Mpa</w:t>
      </w:r>
      <w:r>
        <w:rPr>
          <w:spacing w:val="-16"/>
        </w:rPr>
        <w:t xml:space="preserve"> 以上时，方可直接下管。下管前在砼垫层上弹线，以控制安管中心线。安管的对口间</w:t>
      </w:r>
      <w:r>
        <w:rPr>
          <w:spacing w:val="-41"/>
        </w:rPr>
        <w:t xml:space="preserve">隙按 </w:t>
      </w:r>
      <w:r>
        <w:t>10－20mm</w:t>
      </w:r>
      <w:r>
        <w:rPr>
          <w:spacing w:val="-12"/>
        </w:rPr>
        <w:t xml:space="preserve"> 控制，管子安好后，用干净石子或碎石卡牢，并及时浇筑混</w:t>
      </w:r>
      <w:r>
        <w:t>凝土管座。</w:t>
      </w:r>
    </w:p>
    <w:p>
      <w:pPr>
        <w:spacing w:after="0" w:line="417" w:lineRule="auto"/>
        <w:sectPr>
          <w:headerReference w:type="default" r:id="rId24"/>
          <w:footerReference w:type="default" r:id="rId25"/>
          <w:pgSz w:w="17860" w:h="25270"/>
          <w:pgMar w:top="1040" w:right="0" w:bottom="1240" w:left="1440" w:header="712" w:footer="1057"/>
          <w:pgNumType w:start="11"/>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22"/>
        </w:rPr>
      </w:pPr>
    </w:p>
    <w:p>
      <w:pPr>
        <w:pStyle w:val="BodyText"/>
        <w:spacing w:before="42"/>
        <w:ind w:left="1951"/>
      </w:pPr>
      <w:r>
        <w:t>3、砼管座浇筑：</w:t>
      </w:r>
    </w:p>
    <w:p>
      <w:pPr>
        <w:pStyle w:val="BodyText"/>
        <w:spacing w:before="1"/>
        <w:rPr>
          <w:sz w:val="31"/>
        </w:rPr>
      </w:pPr>
    </w:p>
    <w:p>
      <w:pPr>
        <w:pStyle w:val="BodyText"/>
        <w:spacing w:line="417" w:lineRule="auto"/>
        <w:ind w:left="1113" w:right="1436" w:firstLine="845"/>
      </w:pPr>
      <w:r>
        <w:t xml:space="preserve">浇筑前，平基应凿毛或刷毛，并冲洗干净。对平基与管子接触的三角 部分，选用同强度等级混凝土中的软灰，先行填捣密实。浇筑混凝土时， 两侧同时进行，防止将管子挤偏。较大的管子，浇筑时宜同时进人配合勾 </w:t>
      </w:r>
      <w:r>
        <w:rPr>
          <w:spacing w:val="-13"/>
        </w:rPr>
        <w:t xml:space="preserve">捻内缝，直径小于 </w:t>
      </w:r>
      <w:r>
        <w:t>700mm</w:t>
      </w:r>
      <w:r>
        <w:rPr>
          <w:spacing w:val="-12"/>
        </w:rPr>
        <w:t xml:space="preserve"> 的管子，可用麻袋球或其他工具在管内来回拖动， </w:t>
      </w:r>
      <w:r>
        <w:t>将流入管内的灰浆拉平。</w:t>
      </w:r>
    </w:p>
    <w:p>
      <w:pPr>
        <w:pStyle w:val="BodyText"/>
        <w:spacing w:line="537" w:lineRule="exact"/>
        <w:ind w:left="1951"/>
      </w:pPr>
      <w:r>
        <w:t>4、抹带接口：</w:t>
      </w:r>
    </w:p>
    <w:p>
      <w:pPr>
        <w:pStyle w:val="BodyText"/>
        <w:rPr>
          <w:sz w:val="31"/>
        </w:rPr>
      </w:pPr>
    </w:p>
    <w:p>
      <w:pPr>
        <w:pStyle w:val="BodyText"/>
        <w:spacing w:before="1" w:line="417" w:lineRule="auto"/>
        <w:ind w:left="1113" w:right="1827" w:firstLine="827"/>
        <w:jc w:val="both"/>
      </w:pPr>
      <w:r>
        <w:t>管口在安管前已凿毛清洗干净，浇筑砼管座时已将钢丝网片插入管座的管口对接处。管子勾缝时，人在管内先将管缝支上内托，从外部用砂浆填实，然后拆去内托，用水泥砂浆将内缝填实抹平，然后反复捻压密实平整，灰浆不得高出管内、外壁。</w:t>
      </w:r>
    </w:p>
    <w:p>
      <w:pPr>
        <w:pStyle w:val="BodyText"/>
        <w:spacing w:line="417" w:lineRule="auto"/>
        <w:ind w:left="1113" w:right="1618" w:firstLine="827"/>
      </w:pPr>
      <w:r>
        <w:t>捻缝完毕后，进行抹带。抹带前将管口及管带覆盖到的管外皮洗刷干净，并刷水泥浆一道。抹第一层砂浆时应压实使之与管壁粘结牢固，厚度15mm 左右，待底层砂浆稍晾有浆皮儿后将两片钢丝网包拢使其挤入砂浆浆皮中。待第一层砂浆初凝后抹第二层，用弧形抹子捋压成形，初凝后再用抹子赶光压实。抹带完成后立即铺上塑料薄膜进行养护，避免产生裂缝与脱落现象。</w:t>
      </w:r>
    </w:p>
    <w:p>
      <w:pPr>
        <w:pStyle w:val="BodyText"/>
        <w:spacing w:line="537" w:lineRule="exact"/>
        <w:ind w:left="1951"/>
      </w:pPr>
      <w:r>
        <w:t>5、检查井砌筑：</w:t>
      </w:r>
    </w:p>
    <w:p>
      <w:pPr>
        <w:pStyle w:val="BodyText"/>
        <w:spacing w:before="12"/>
        <w:rPr>
          <w:sz w:val="30"/>
        </w:rPr>
      </w:pPr>
    </w:p>
    <w:p>
      <w:pPr>
        <w:pStyle w:val="BodyText"/>
        <w:spacing w:line="417" w:lineRule="auto"/>
        <w:ind w:left="1113" w:right="1660" w:firstLine="849"/>
      </w:pPr>
      <w:r>
        <w:rPr>
          <w:spacing w:val="-17"/>
        </w:rPr>
        <w:t xml:space="preserve">砌井采用 </w:t>
      </w:r>
      <w:r>
        <w:t>M7.5</w:t>
      </w:r>
      <w:r>
        <w:rPr>
          <w:spacing w:val="-23"/>
        </w:rPr>
        <w:t xml:space="preserve"> 水泥砂浆砌筑 </w:t>
      </w:r>
      <w:r>
        <w:t>MU7.5（MU10）机砖，检查井井室、井筒</w:t>
      </w:r>
      <w:r>
        <w:rPr>
          <w:spacing w:val="-1"/>
        </w:rPr>
        <w:t xml:space="preserve">内壁用 </w:t>
      </w:r>
      <w:r>
        <w:t>1:2</w:t>
      </w:r>
      <w:r>
        <w:rPr>
          <w:spacing w:val="-4"/>
        </w:rPr>
        <w:t xml:space="preserve"> 水泥砂浆勾缝。井室内有抹面要求时，内壁抹面应分层压实， </w:t>
      </w:r>
      <w:r>
        <w:t>外壁应用砂浆搓缝严密。井壁砌筑时，砖要错开搭接，无通缝，且灰缝饱满，抹灰面层压光、并且无空鼓、裂缝现象，井内标高正确，流槽平顺，</w:t>
      </w:r>
    </w:p>
    <w:p>
      <w:pPr>
        <w:spacing w:after="0" w:line="417" w:lineRule="auto"/>
        <w:sectPr>
          <w:headerReference w:type="default" r:id="rId26"/>
          <w:footerReference w:type="default" r:id="rId27"/>
          <w:pgSz w:w="17860" w:h="25270"/>
          <w:pgMar w:top="1040" w:right="0" w:bottom="1240" w:left="1440" w:header="712" w:footer="1057"/>
          <w:pgNumType w:start="12"/>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22"/>
        </w:rPr>
      </w:pPr>
    </w:p>
    <w:p>
      <w:pPr>
        <w:pStyle w:val="BodyText"/>
        <w:spacing w:before="42" w:line="417" w:lineRule="auto"/>
        <w:ind w:left="1113" w:right="1827"/>
      </w:pPr>
      <w:r>
        <w:t>爬梯牢固，位置正确。检查井井盖的型号应符合设计要求，其高程应与路面高程一致。</w:t>
      </w:r>
    </w:p>
    <w:p>
      <w:pPr>
        <w:pStyle w:val="BodyText"/>
        <w:spacing w:line="537" w:lineRule="exact"/>
        <w:ind w:left="1951"/>
      </w:pPr>
      <w:r>
        <w:t>6、闭水试验：</w:t>
      </w:r>
    </w:p>
    <w:p>
      <w:pPr>
        <w:pStyle w:val="BodyText"/>
        <w:spacing w:before="1"/>
        <w:rPr>
          <w:sz w:val="31"/>
        </w:rPr>
      </w:pPr>
    </w:p>
    <w:p>
      <w:pPr>
        <w:pStyle w:val="BodyText"/>
        <w:spacing w:line="417" w:lineRule="auto"/>
        <w:ind w:left="1113" w:right="1664" w:firstLine="845"/>
      </w:pPr>
      <w:r>
        <w:t>管道及检查井的外观质量及“量测”检验均已合格，全部预留孔洞封堵得不漏水时，即可进行闭水试验。将试验段管道两端的管口封堵严密、</w:t>
      </w:r>
      <w:r>
        <w:rPr>
          <w:spacing w:val="-1"/>
        </w:rPr>
        <w:t xml:space="preserve">牢固，养护 </w:t>
      </w:r>
      <w:r>
        <w:t>3-4</w:t>
      </w:r>
      <w:r>
        <w:rPr>
          <w:spacing w:val="-4"/>
        </w:rPr>
        <w:t xml:space="preserve"> 天达到一定强度后，向闭水段的检查井内注水。闭水试验</w:t>
      </w:r>
      <w:r>
        <w:rPr>
          <w:spacing w:val="-7"/>
        </w:rPr>
        <w:t xml:space="preserve">的水位，应为试验段上游管内顶以上 </w:t>
      </w:r>
      <w:r>
        <w:rPr>
          <w:spacing w:val="-3"/>
        </w:rPr>
        <w:t>2m</w:t>
      </w:r>
      <w:r>
        <w:rPr>
          <w:spacing w:val="-17"/>
        </w:rPr>
        <w:t xml:space="preserve">，如井高不足 </w:t>
      </w:r>
      <w:r>
        <w:t>2m</w:t>
      </w:r>
      <w:r>
        <w:rPr>
          <w:spacing w:val="-2"/>
        </w:rPr>
        <w:t>，将水灌至接近上</w:t>
      </w:r>
      <w:r>
        <w:t>游井口高度，在计算渗水量时进行折减。</w:t>
      </w:r>
    </w:p>
    <w:p>
      <w:pPr>
        <w:pStyle w:val="BodyText"/>
        <w:spacing w:line="537" w:lineRule="exact"/>
        <w:ind w:left="1951"/>
      </w:pPr>
      <w:r>
        <w:t>7、沟槽回填：</w:t>
      </w:r>
    </w:p>
    <w:p>
      <w:pPr>
        <w:pStyle w:val="BodyText"/>
        <w:rPr>
          <w:sz w:val="31"/>
        </w:rPr>
      </w:pPr>
    </w:p>
    <w:p>
      <w:pPr>
        <w:pStyle w:val="BodyText"/>
        <w:spacing w:before="1" w:line="417" w:lineRule="auto"/>
        <w:ind w:left="1113" w:right="1661" w:firstLine="845"/>
        <w:jc w:val="both"/>
      </w:pPr>
      <w:r>
        <w:rPr>
          <w:spacing w:val="1"/>
        </w:rPr>
        <w:t>闭水试验合格后即可进行回填工作。管道胸腔部分及管顶以上</w:t>
      </w:r>
      <w:r>
        <w:t>50cm</w:t>
      </w:r>
      <w:r>
        <w:rPr>
          <w:spacing w:val="-42"/>
        </w:rPr>
        <w:t xml:space="preserve"> 采用人工布土，手持电夯夯实。每层虚铺土厚度不超过 </w:t>
      </w:r>
      <w:r>
        <w:t xml:space="preserve">20cm，粗略整平后， </w:t>
      </w:r>
      <w:r>
        <w:rPr>
          <w:spacing w:val="-1"/>
        </w:rPr>
        <w:t xml:space="preserve">电夯夯实 </w:t>
      </w:r>
      <w:r>
        <w:t>6~8</w:t>
      </w:r>
      <w:r>
        <w:rPr>
          <w:spacing w:val="-4"/>
        </w:rPr>
        <w:t xml:space="preserve"> 遍，测试压实度，符合设计要求即可进行下一层布土。管顶</w:t>
      </w:r>
      <w:r>
        <w:t>50cm</w:t>
      </w:r>
      <w:r>
        <w:rPr>
          <w:spacing w:val="-7"/>
        </w:rPr>
        <w:t xml:space="preserve"> 以上至地面用机械回填。每层虚铺土厚度不超过</w:t>
      </w:r>
      <w:r>
        <w:t>30cm</w:t>
      </w:r>
      <w:r>
        <w:rPr>
          <w:spacing w:val="-3"/>
        </w:rPr>
        <w:t>，由机械整平并</w:t>
      </w:r>
      <w:r>
        <w:t>碾压，达到设计压实度方可进行下一步回填。</w:t>
      </w:r>
    </w:p>
    <w:p>
      <w:pPr>
        <w:pStyle w:val="BodyText"/>
        <w:spacing w:line="417" w:lineRule="auto"/>
        <w:ind w:left="1113" w:right="1677" w:firstLine="845"/>
      </w:pPr>
      <w:r>
        <w:pict>
          <v:shape id="_x0000_s1025" style="width:3.15pt;height:0.1pt;margin-top:238.69pt;margin-left:747.44pt;mso-position-horizontal-relative:page;mso-wrap-distance-left:0;mso-wrap-distance-right:0;position:absolute;z-index:-251658240" coordorigin="14949,4774" coordsize="63,0" path="m14949,4774l15011,4774e" filled="f" stroked="t" strokecolor="black" strokeweight="2.08pt">
            <v:stroke dashstyle="solid"/>
            <v:path arrowok="t"/>
            <w10:wrap type="topAndBottom"/>
          </v:shape>
        </w:pict>
      </w:r>
      <w:r>
        <w:t>沟槽回填时两侧同时进行，以防管道位移。回填顺序应按管道排水方向由高向低分层进行，回填土时不得将土直接砸在抹带接口上。检查井四周的回填土与管道回填土同时进行。回填的沟槽内应无积水，回填土中不</w:t>
      </w:r>
      <w:r>
        <w:rPr>
          <w:spacing w:val="2"/>
        </w:rPr>
        <w:t>得有淤泥、腐植土、冻土及有机物质等。在管顶上</w:t>
      </w:r>
      <w:r>
        <w:t>50cm</w:t>
      </w:r>
      <w:r>
        <w:rPr>
          <w:spacing w:val="-12"/>
        </w:rPr>
        <w:t xml:space="preserve"> 以内，不得回填大</w:t>
      </w:r>
      <w:r>
        <w:rPr>
          <w:spacing w:val="-53"/>
        </w:rPr>
        <w:t xml:space="preserve">于 </w:t>
      </w:r>
      <w:r>
        <w:t>10cm</w:t>
      </w:r>
      <w:r>
        <w:rPr>
          <w:spacing w:val="-13"/>
        </w:rPr>
        <w:t xml:space="preserve"> 的石块、砖块等杂物。</w:t>
      </w:r>
    </w:p>
    <w:p>
      <w:pPr>
        <w:pStyle w:val="Heading2"/>
        <w:tabs>
          <w:tab w:val="left" w:pos="2912"/>
        </w:tabs>
        <w:spacing w:before="202"/>
      </w:pPr>
      <w:r>
        <w:t>第三节</w:t>
        <w:tab/>
        <w:t>道路工程</w:t>
      </w:r>
    </w:p>
    <w:p>
      <w:pPr>
        <w:pStyle w:val="BodyText"/>
        <w:spacing w:before="10"/>
        <w:rPr>
          <w:sz w:val="61"/>
        </w:rPr>
      </w:pPr>
    </w:p>
    <w:p>
      <w:pPr>
        <w:pStyle w:val="ListParagraph"/>
        <w:numPr>
          <w:ilvl w:val="1"/>
          <w:numId w:val="18"/>
        </w:numPr>
        <w:tabs>
          <w:tab w:val="left" w:pos="2687"/>
        </w:tabs>
        <w:spacing w:before="0" w:after="0" w:line="240" w:lineRule="auto"/>
        <w:ind w:left="2686" w:right="0" w:hanging="736"/>
        <w:jc w:val="left"/>
        <w:rPr>
          <w:sz w:val="42"/>
        </w:rPr>
      </w:pPr>
      <w:r>
        <w:rPr>
          <w:sz w:val="42"/>
        </w:rPr>
        <w:t>选配材料</w:t>
      </w:r>
    </w:p>
    <w:p>
      <w:pPr>
        <w:spacing w:after="0" w:line="240" w:lineRule="auto"/>
        <w:jc w:val="left"/>
        <w:rPr>
          <w:sz w:val="42"/>
        </w:rPr>
        <w:sectPr>
          <w:headerReference w:type="default" r:id="rId28"/>
          <w:footerReference w:type="default" r:id="rId29"/>
          <w:pgSz w:w="17860" w:h="25270"/>
          <w:pgMar w:top="1040" w:right="0" w:bottom="1240" w:left="1440" w:header="712" w:footer="1057"/>
          <w:pgNumType w:start="13"/>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22"/>
        </w:rPr>
      </w:pPr>
    </w:p>
    <w:p>
      <w:pPr>
        <w:pStyle w:val="BodyText"/>
        <w:spacing w:before="42" w:line="417" w:lineRule="auto"/>
        <w:ind w:left="1113" w:right="1683" w:firstLine="853"/>
        <w:jc w:val="both"/>
      </w:pPr>
      <w:r>
        <w:t>泥结石主要由碎石、泥土组成。泥结碎石所用的石料, 其等级不宜低</w:t>
      </w:r>
      <w:r>
        <w:rPr>
          <w:spacing w:val="4"/>
        </w:rPr>
        <w:t>于Ⅳ级；长条、扁平状颗粒不宜超过</w:t>
      </w:r>
      <w:r>
        <w:t>20</w:t>
      </w:r>
      <w:r>
        <w:rPr>
          <w:spacing w:val="-9"/>
        </w:rPr>
        <w:t>%。泥结碎石层所用粘土, 应具有较</w:t>
      </w:r>
      <w:r>
        <w:rPr>
          <w:spacing w:val="-10"/>
        </w:rPr>
        <w:t xml:space="preserve">高的粘性, 塑性指数以 </w:t>
      </w:r>
      <w:r>
        <w:t>12~15</w:t>
      </w:r>
      <w:r>
        <w:rPr>
          <w:spacing w:val="-11"/>
        </w:rPr>
        <w:t xml:space="preserve"> 为宜。粘土内不得含腐殖质或其它杂物。</w:t>
      </w:r>
    </w:p>
    <w:p>
      <w:pPr>
        <w:pStyle w:val="ListParagraph"/>
        <w:numPr>
          <w:ilvl w:val="1"/>
          <w:numId w:val="15"/>
        </w:numPr>
        <w:tabs>
          <w:tab w:val="left" w:pos="2690"/>
        </w:tabs>
        <w:spacing w:before="0" w:after="0" w:line="537" w:lineRule="exact"/>
        <w:ind w:left="2689" w:right="0" w:hanging="735"/>
        <w:jc w:val="left"/>
        <w:rPr>
          <w:sz w:val="42"/>
        </w:rPr>
      </w:pPr>
      <w:r>
        <w:rPr>
          <w:sz w:val="42"/>
        </w:rPr>
        <w:t>泥结石的配合比</w:t>
      </w:r>
    </w:p>
    <w:p>
      <w:pPr>
        <w:pStyle w:val="BodyText"/>
        <w:spacing w:before="1"/>
        <w:rPr>
          <w:sz w:val="31"/>
        </w:rPr>
      </w:pPr>
    </w:p>
    <w:p>
      <w:pPr>
        <w:pStyle w:val="BodyText"/>
        <w:spacing w:line="417" w:lineRule="auto"/>
        <w:ind w:left="1113" w:right="1485" w:firstLine="842"/>
      </w:pPr>
      <w:r>
        <w:rPr>
          <w:spacing w:val="4"/>
        </w:rPr>
        <w:t>粘土用量一般不超过混合料总重的</w:t>
      </w:r>
      <w:r>
        <w:t>15%~18</w:t>
      </w:r>
      <w:r>
        <w:rPr>
          <w:spacing w:val="-29"/>
        </w:rPr>
        <w:t xml:space="preserve">%。泥浆一般按水与土为 </w:t>
      </w:r>
      <w:r>
        <w:rPr>
          <w:spacing w:val="-6"/>
        </w:rPr>
        <w:t xml:space="preserve">0.8： </w:t>
      </w:r>
      <w:r>
        <w:t>1</w:t>
      </w:r>
      <w:r>
        <w:rPr>
          <w:spacing w:val="-55"/>
        </w:rPr>
        <w:t xml:space="preserve"> 至 </w:t>
      </w:r>
      <w:r>
        <w:t>1：1</w:t>
      </w:r>
      <w:r>
        <w:rPr>
          <w:spacing w:val="-11"/>
        </w:rPr>
        <w:t xml:space="preserve"> 的体积比进行拌和配置。如过稠, 则灌不下去, 泥浆要积在石层</w:t>
      </w:r>
      <w:r>
        <w:rPr>
          <w:spacing w:val="-1"/>
        </w:rPr>
        <w:t>表面；如过稀, 则宜流淌于石层底部, 干后体积缩小, 粘结力降低, 均将影响路面的强度和稳定性。</w:t>
      </w:r>
    </w:p>
    <w:p>
      <w:pPr>
        <w:pStyle w:val="ListParagraph"/>
        <w:numPr>
          <w:ilvl w:val="1"/>
          <w:numId w:val="15"/>
        </w:numPr>
        <w:tabs>
          <w:tab w:val="left" w:pos="2690"/>
        </w:tabs>
        <w:spacing w:before="0" w:after="0" w:line="538" w:lineRule="exact"/>
        <w:ind w:left="2689" w:right="0" w:hanging="735"/>
        <w:jc w:val="left"/>
        <w:rPr>
          <w:sz w:val="42"/>
        </w:rPr>
      </w:pPr>
      <w:r>
        <w:rPr>
          <w:sz w:val="42"/>
        </w:rPr>
        <w:t>泥结石路面施工工艺流程</w:t>
      </w:r>
    </w:p>
    <w:p>
      <w:pPr>
        <w:pStyle w:val="BodyText"/>
        <w:spacing w:before="9"/>
        <w:rPr>
          <w:sz w:val="20"/>
        </w:rPr>
      </w:pPr>
    </w:p>
    <w:p>
      <w:pPr>
        <w:spacing w:before="62"/>
        <w:ind w:left="1746" w:right="0" w:firstLine="0"/>
        <w:jc w:val="left"/>
        <w:rPr>
          <w:sz w:val="31"/>
        </w:rPr>
      </w:pPr>
      <w:r>
        <w:rPr>
          <w:sz w:val="31"/>
        </w:rPr>
        <w:t>测量放样——布置料堆——整理路槽——摊铺碎石——预压——浇灌泥浆——撒嵌缝料——碾</w:t>
      </w:r>
    </w:p>
    <w:p>
      <w:pPr>
        <w:spacing w:before="71"/>
        <w:ind w:left="1113" w:right="0" w:firstLine="0"/>
        <w:jc w:val="left"/>
        <w:rPr>
          <w:sz w:val="31"/>
        </w:rPr>
      </w:pPr>
      <w:r>
        <w:rPr>
          <w:w w:val="102"/>
          <w:sz w:val="31"/>
        </w:rPr>
        <w:t>压</w:t>
      </w:r>
    </w:p>
    <w:p>
      <w:pPr>
        <w:pStyle w:val="ListParagraph"/>
        <w:numPr>
          <w:ilvl w:val="1"/>
          <w:numId w:val="15"/>
        </w:numPr>
        <w:tabs>
          <w:tab w:val="left" w:pos="2690"/>
        </w:tabs>
        <w:spacing w:before="141" w:after="0" w:line="240" w:lineRule="auto"/>
        <w:ind w:left="2689" w:right="0" w:hanging="735"/>
        <w:jc w:val="left"/>
        <w:rPr>
          <w:sz w:val="42"/>
        </w:rPr>
      </w:pPr>
      <w:r>
        <w:rPr>
          <w:sz w:val="42"/>
        </w:rPr>
        <w:t>泥结石路面的厚度要求及铺设方法</w:t>
      </w:r>
    </w:p>
    <w:p>
      <w:pPr>
        <w:pStyle w:val="BodyText"/>
        <w:spacing w:before="1"/>
        <w:rPr>
          <w:sz w:val="31"/>
        </w:rPr>
      </w:pPr>
    </w:p>
    <w:p>
      <w:pPr>
        <w:pStyle w:val="BodyText"/>
        <w:tabs>
          <w:tab w:val="left" w:pos="9411"/>
        </w:tabs>
        <w:ind w:left="205"/>
        <w:jc w:val="center"/>
      </w:pPr>
      <w:r>
        <w:t>泥结碎石路面厚度一般为两层铺筑，上层厚度</w:t>
        <w:tab/>
      </w:r>
      <w:r>
        <w:rPr>
          <w:spacing w:val="3"/>
        </w:rPr>
        <w:t>6~10cm，</w:t>
      </w:r>
      <w:r>
        <w:t>下层厚度</w:t>
      </w:r>
    </w:p>
    <w:p>
      <w:pPr>
        <w:pStyle w:val="BodyText"/>
        <w:spacing w:before="10"/>
        <w:rPr>
          <w:sz w:val="27"/>
        </w:rPr>
      </w:pPr>
    </w:p>
    <w:p>
      <w:pPr>
        <w:pStyle w:val="BodyText"/>
        <w:spacing w:before="42"/>
        <w:ind w:left="1113"/>
      </w:pPr>
      <w:r>
        <w:t>9~14cm。</w:t>
      </w:r>
    </w:p>
    <w:p>
      <w:pPr>
        <w:pStyle w:val="BodyText"/>
        <w:spacing w:before="1"/>
        <w:rPr>
          <w:sz w:val="31"/>
        </w:rPr>
      </w:pPr>
    </w:p>
    <w:p>
      <w:pPr>
        <w:pStyle w:val="ListParagraph"/>
        <w:numPr>
          <w:ilvl w:val="1"/>
          <w:numId w:val="15"/>
        </w:numPr>
        <w:tabs>
          <w:tab w:val="left" w:pos="2690"/>
        </w:tabs>
        <w:spacing w:before="0" w:after="0" w:line="240" w:lineRule="auto"/>
        <w:ind w:left="2689" w:right="0" w:hanging="735"/>
        <w:jc w:val="left"/>
        <w:rPr>
          <w:sz w:val="42"/>
        </w:rPr>
      </w:pPr>
      <w:r>
        <w:rPr>
          <w:sz w:val="42"/>
        </w:rPr>
        <w:t>泥结石的摊铺</w:t>
      </w:r>
    </w:p>
    <w:p>
      <w:pPr>
        <w:pStyle w:val="BodyText"/>
        <w:spacing w:before="1"/>
        <w:rPr>
          <w:sz w:val="31"/>
        </w:rPr>
      </w:pPr>
    </w:p>
    <w:p>
      <w:pPr>
        <w:pStyle w:val="BodyText"/>
        <w:spacing w:line="417" w:lineRule="auto"/>
        <w:ind w:left="1113" w:right="1688" w:firstLine="842"/>
        <w:jc w:val="both"/>
      </w:pPr>
      <w:r>
        <w:rPr>
          <w:spacing w:val="-6"/>
        </w:rPr>
        <w:t>在路槽筑好后, 按松铺厚度</w:t>
      </w:r>
      <w:r>
        <w:t>（</w:t>
      </w:r>
      <w:r>
        <w:rPr>
          <w:spacing w:val="-13"/>
        </w:rPr>
        <w:t xml:space="preserve">约为压实厚度的 </w:t>
      </w:r>
      <w:r>
        <w:t>1.2~1.3</w:t>
      </w:r>
      <w:r>
        <w:rPr>
          <w:spacing w:val="-55"/>
        </w:rPr>
        <w:t xml:space="preserve"> 倍</w:t>
      </w:r>
      <w:r>
        <w:t>）</w:t>
      </w:r>
      <w:r>
        <w:rPr>
          <w:spacing w:val="-3"/>
        </w:rPr>
        <w:t xml:space="preserve">摊铺碎石, </w:t>
      </w:r>
      <w:r>
        <w:t>要求大小颗粒均匀分布, 纵横断面符合要求, 厚度一致。主层矿料粒径底</w:t>
      </w:r>
      <w:r>
        <w:rPr>
          <w:spacing w:val="-18"/>
        </w:rPr>
        <w:t xml:space="preserve">层一般采用 </w:t>
      </w:r>
      <w:r>
        <w:t>1~2</w:t>
      </w:r>
      <w:r>
        <w:rPr>
          <w:spacing w:val="-55"/>
        </w:rPr>
        <w:t xml:space="preserve"> 号或 </w:t>
      </w:r>
      <w:r>
        <w:t>2~3</w:t>
      </w:r>
      <w:r>
        <w:rPr>
          <w:spacing w:val="-19"/>
        </w:rPr>
        <w:t xml:space="preserve"> 号碎石, 面层一般采用 </w:t>
      </w:r>
      <w:r>
        <w:t>3~4</w:t>
      </w:r>
      <w:r>
        <w:rPr>
          <w:spacing w:val="-24"/>
        </w:rPr>
        <w:t xml:space="preserve"> 号碎石。</w:t>
      </w:r>
    </w:p>
    <w:p>
      <w:pPr>
        <w:pStyle w:val="ListParagraph"/>
        <w:numPr>
          <w:ilvl w:val="1"/>
          <w:numId w:val="15"/>
        </w:numPr>
        <w:tabs>
          <w:tab w:val="left" w:pos="2690"/>
        </w:tabs>
        <w:spacing w:before="0" w:after="0" w:line="240" w:lineRule="auto"/>
        <w:ind w:left="2689" w:right="0" w:hanging="735"/>
        <w:jc w:val="left"/>
        <w:rPr>
          <w:sz w:val="42"/>
        </w:rPr>
      </w:pPr>
      <w:r>
        <w:rPr>
          <w:sz w:val="42"/>
        </w:rPr>
        <w:t>泥结石的碾压</w:t>
      </w:r>
    </w:p>
    <w:p>
      <w:pPr>
        <w:pStyle w:val="BodyText"/>
        <w:rPr>
          <w:sz w:val="31"/>
        </w:rPr>
      </w:pPr>
    </w:p>
    <w:p>
      <w:pPr>
        <w:pStyle w:val="BodyText"/>
        <w:spacing w:line="417" w:lineRule="auto"/>
        <w:ind w:left="1113" w:right="1690" w:firstLine="853"/>
        <w:jc w:val="both"/>
      </w:pPr>
      <w:r>
        <w:t>泥结石的碾压分为预压和碾压两道工序, 并在这两道工序中间完成浇</w:t>
      </w:r>
      <w:r>
        <w:rPr>
          <w:spacing w:val="-3"/>
        </w:rPr>
        <w:t>灌泥浆和撒嵌缝料工作。预压是在碎石铺好后用轻型压路机碾压 , 碾速宜</w:t>
      </w:r>
      <w:r>
        <w:rPr>
          <w:spacing w:val="-11"/>
        </w:rPr>
        <w:t xml:space="preserve">慢, 每分钟约 </w:t>
      </w:r>
      <w:r>
        <w:t>25~30</w:t>
      </w:r>
      <w:r>
        <w:rPr>
          <w:spacing w:val="-19"/>
        </w:rPr>
        <w:t xml:space="preserve"> 米, 轮迹重叠 </w:t>
      </w:r>
      <w:r>
        <w:t>25~30</w:t>
      </w:r>
      <w:r>
        <w:rPr>
          <w:spacing w:val="-22"/>
        </w:rPr>
        <w:t xml:space="preserve"> 米，一般碾压 </w:t>
      </w:r>
      <w:r>
        <w:t>4~5</w:t>
      </w:r>
      <w:r>
        <w:rPr>
          <w:spacing w:val="-13"/>
        </w:rPr>
        <w:t xml:space="preserve"> 遍, 至石料无</w:t>
      </w:r>
      <w:r>
        <w:rPr>
          <w:spacing w:val="-2"/>
        </w:rPr>
        <w:t>松动为止。过多碾压将堵塞碎石缝隙, 妨碍灌浆。</w:t>
      </w:r>
    </w:p>
    <w:p>
      <w:pPr>
        <w:spacing w:after="0" w:line="417" w:lineRule="auto"/>
        <w:jc w:val="both"/>
        <w:sectPr>
          <w:headerReference w:type="default" r:id="rId30"/>
          <w:footerReference w:type="default" r:id="rId31"/>
          <w:pgSz w:w="17860" w:h="25270"/>
          <w:pgMar w:top="1040" w:right="0" w:bottom="1240" w:left="1440" w:header="712" w:footer="1057"/>
          <w:pgNumType w:start="14"/>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22"/>
        </w:rPr>
      </w:pPr>
    </w:p>
    <w:p>
      <w:pPr>
        <w:pStyle w:val="BodyText"/>
        <w:spacing w:before="42" w:line="417" w:lineRule="auto"/>
        <w:ind w:left="1113" w:right="1421" w:firstLine="842"/>
      </w:pPr>
      <w:r>
        <w:t>在预压的碎石层上, 浇灌泥浆, 浆要浇的均匀、浇的透, 以灌满孔隙、表面与碎石齐平为度, 但碎石棱角仍应露出泥浆之上。</w:t>
      </w:r>
    </w:p>
    <w:p>
      <w:pPr>
        <w:pStyle w:val="BodyText"/>
        <w:spacing w:line="537" w:lineRule="exact"/>
        <w:ind w:left="1955"/>
      </w:pPr>
      <w:r>
        <w:t>灌浆 1~2h 后, 待泥浆下注, 空隙中空气溢出, 表面未干前撒铺 5~15mm</w:t>
      </w:r>
    </w:p>
    <w:p>
      <w:pPr>
        <w:pStyle w:val="BodyText"/>
        <w:spacing w:before="1"/>
        <w:rPr>
          <w:sz w:val="31"/>
        </w:rPr>
      </w:pPr>
    </w:p>
    <w:p>
      <w:pPr>
        <w:pStyle w:val="BodyText"/>
        <w:ind w:left="1113"/>
        <w:jc w:val="both"/>
      </w:pPr>
      <w:r>
        <w:t>的嵌缝料(约 1~1.5m3/100m2), 嵌缝料要撒的均匀。</w:t>
      </w:r>
    </w:p>
    <w:p>
      <w:pPr>
        <w:pStyle w:val="BodyText"/>
        <w:rPr>
          <w:sz w:val="31"/>
        </w:rPr>
      </w:pPr>
    </w:p>
    <w:p>
      <w:pPr>
        <w:pStyle w:val="BodyText"/>
        <w:spacing w:before="1" w:line="417" w:lineRule="auto"/>
        <w:ind w:left="1113" w:right="1734" w:firstLine="853"/>
        <w:jc w:val="both"/>
      </w:pPr>
      <w:r>
        <w:t>撒过嵌缝料后, 即用中型压路机进行碾压, 并随时注意用扫帚将石屑扫匀。如表面太干须略微洒水碾压, 如表面太湿须待干后再压。最终碾压阶段, 需使碎石缝隙内泥浆能翻到路面上与所撒石屑粘成一个坚实的整体为止。</w:t>
      </w:r>
    </w:p>
    <w:p>
      <w:pPr>
        <w:pStyle w:val="Heading2"/>
        <w:jc w:val="both"/>
      </w:pPr>
      <w:r>
        <w:t>第四节 防渗系统</w:t>
      </w:r>
    </w:p>
    <w:p>
      <w:pPr>
        <w:pStyle w:val="BodyText"/>
        <w:spacing w:before="10"/>
        <w:rPr>
          <w:sz w:val="61"/>
        </w:rPr>
      </w:pPr>
    </w:p>
    <w:p>
      <w:pPr>
        <w:pStyle w:val="BodyText"/>
        <w:spacing w:before="1" w:line="417" w:lineRule="auto"/>
        <w:ind w:left="1113" w:right="1610" w:firstLine="856"/>
      </w:pPr>
      <w:r>
        <w:t>HDPE 土工膜、无纺土工布施工是垃圾卫生填埋场工程建设的重要组成部分，其施工质量的好坏直接关系到地下水水质，也关系到本工程的成败大局。</w:t>
      </w:r>
    </w:p>
    <w:p>
      <w:pPr>
        <w:pStyle w:val="BodyText"/>
        <w:spacing w:before="359" w:line="417" w:lineRule="auto"/>
        <w:ind w:left="1113" w:right="1404" w:firstLine="856"/>
      </w:pPr>
      <w:r>
        <w:t xml:space="preserve">1、土工布的铺设：压实垫层的表面必须平整，没有石块、植物根和过量水分，并且有足够的强度，有利于土工布的安全铺设。为保证土工布的 </w:t>
      </w:r>
      <w:r>
        <w:rPr>
          <w:spacing w:val="-1"/>
        </w:rPr>
        <w:t>稳定和不位移，每条搭接缝用手提缝纫机缝隙合，所用缝合线结实、耐用。</w:t>
      </w:r>
      <w:r>
        <w:t>缝合线与土工布颜色有明显的区别，以利于检查。场底面积宽阔，裁膜工 作量校小，运输方便，挤压焊使用较少，铺设速度较快，本着先四周后中 间的施工原则进行。</w:t>
      </w:r>
    </w:p>
    <w:p>
      <w:pPr>
        <w:pStyle w:val="BodyText"/>
        <w:spacing w:line="417" w:lineRule="auto"/>
        <w:ind w:left="1113" w:right="1622" w:firstLine="838"/>
      </w:pPr>
      <w:r>
        <w:t>2、搭接要求：铺设前，对铺设范围予以测量，确定铺设材料的拼接方式底部粘土层经监理工程师认可后方可铺设。尽量减少拼接接缝，尽量减少工地拼接。拼接工艺采用搭接，并自上而下进行，两层拼接叠层不少于</w:t>
      </w:r>
    </w:p>
    <w:p>
      <w:pPr>
        <w:spacing w:after="0" w:line="417" w:lineRule="auto"/>
        <w:sectPr>
          <w:headerReference w:type="default" r:id="rId32"/>
          <w:footerReference w:type="default" r:id="rId33"/>
          <w:pgSz w:w="17860" w:h="25270"/>
          <w:pgMar w:top="1040" w:right="0" w:bottom="1240" w:left="1440" w:header="712" w:footer="1057"/>
          <w:pgNumType w:start="15"/>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22"/>
        </w:rPr>
      </w:pPr>
    </w:p>
    <w:p>
      <w:pPr>
        <w:pStyle w:val="BodyText"/>
        <w:spacing w:before="42" w:line="417" w:lineRule="auto"/>
        <w:ind w:left="1113" w:right="1688"/>
      </w:pPr>
      <w:r>
        <w:t>25cm。土工布在铺设时将卷材自上而下滚铺，先岸坡后坑底，并确保贴底</w:t>
      </w:r>
      <w:r>
        <w:rPr>
          <w:spacing w:val="-15"/>
        </w:rPr>
        <w:t xml:space="preserve">铺平。分为 </w:t>
      </w:r>
      <w:r>
        <w:t>HDPE</w:t>
      </w:r>
      <w:r>
        <w:rPr>
          <w:spacing w:val="-35"/>
        </w:rPr>
        <w:t xml:space="preserve"> 膜上和 </w:t>
      </w:r>
      <w:r>
        <w:t>HDPE</w:t>
      </w:r>
      <w:r>
        <w:rPr>
          <w:spacing w:val="-16"/>
        </w:rPr>
        <w:t xml:space="preserve"> 膜下土工布，上层土工布在锚固沟处作 </w:t>
      </w:r>
      <w:r>
        <w:rPr>
          <w:spacing w:val="-5"/>
        </w:rPr>
        <w:t xml:space="preserve">15cm </w:t>
      </w:r>
      <w:r>
        <w:rPr>
          <w:spacing w:val="-23"/>
        </w:rPr>
        <w:t xml:space="preserve">折叠，以便于局部下层拉伸。接缝必须严实。铺好经验收合格后及时铺 </w:t>
      </w:r>
      <w:r>
        <w:rPr>
          <w:spacing w:val="-5"/>
        </w:rPr>
        <w:t xml:space="preserve">HDPE </w:t>
      </w:r>
      <w:r>
        <w:t>膜。</w:t>
      </w:r>
    </w:p>
    <w:p>
      <w:pPr>
        <w:pStyle w:val="BodyText"/>
        <w:spacing w:line="417" w:lineRule="auto"/>
        <w:ind w:left="1113" w:right="1468" w:firstLine="838"/>
      </w:pPr>
      <w:r>
        <w:t>3</w:t>
      </w:r>
      <w:r>
        <w:rPr>
          <w:spacing w:val="4"/>
        </w:rPr>
        <w:t>、边坡铺设：土工布卷放置在距坡</w:t>
      </w:r>
      <w:r>
        <w:t>2</w:t>
      </w:r>
      <w:r>
        <w:rPr>
          <w:spacing w:val="-11"/>
        </w:rPr>
        <w:t xml:space="preserve"> 米以外，适当固定安全存放。顺</w:t>
      </w:r>
      <w:r>
        <w:rPr>
          <w:spacing w:val="-9"/>
        </w:rPr>
        <w:t>坡铺布，放卷时，用磨卷展开棒，该装置在坡沿外</w:t>
      </w:r>
      <w:r>
        <w:t>1</w:t>
      </w:r>
      <w:r>
        <w:rPr>
          <w:spacing w:val="-10"/>
        </w:rPr>
        <w:t xml:space="preserve"> 米以外位置安装牢靠。</w:t>
      </w:r>
      <w:r>
        <w:t>铺膜过程中，对土工布保持适度拉力，尽量自然铺放，减少材料的伸缩变</w:t>
      </w:r>
      <w:r>
        <w:rPr>
          <w:spacing w:val="-2"/>
        </w:rPr>
        <w:t xml:space="preserve">形量。因坡度较大，距坡顶或锚固沟达 </w:t>
      </w:r>
      <w:r>
        <w:t>1.5</w:t>
      </w:r>
      <w:r>
        <w:rPr>
          <w:spacing w:val="-4"/>
        </w:rPr>
        <w:t xml:space="preserve"> 米范围内不应有水平夹角小于</w:t>
      </w:r>
      <w:r>
        <w:rPr>
          <w:spacing w:val="3"/>
        </w:rPr>
        <w:t>45</w:t>
      </w:r>
      <w:r>
        <w:rPr>
          <w:spacing w:val="3"/>
          <w:position w:val="3"/>
          <w:sz w:val="29"/>
        </w:rPr>
        <w:t>0</w:t>
      </w:r>
      <w:r>
        <w:t>的接缝。</w:t>
      </w:r>
    </w:p>
    <w:p>
      <w:pPr>
        <w:pStyle w:val="BodyText"/>
        <w:spacing w:line="417" w:lineRule="auto"/>
        <w:ind w:left="1113" w:right="1827" w:firstLine="838"/>
        <w:jc w:val="both"/>
      </w:pPr>
      <w:r>
        <w:t>试缝合格后，焊机由边坡顶部开始往下缝合，缝合时操作工须在安全绳或绳梯的安全保护下，时刻跟随缝纫机行走，及时对缝纫机的各项参数进行微调，保证缝纫机处于最佳状态运行。</w:t>
      </w:r>
    </w:p>
    <w:p>
      <w:pPr>
        <w:pStyle w:val="BodyText"/>
        <w:spacing w:line="417" w:lineRule="auto"/>
        <w:ind w:left="1113" w:right="1827" w:firstLine="838"/>
        <w:jc w:val="both"/>
      </w:pPr>
      <w:r>
        <w:t>及时对坡顶及坡下土工布卷进行锚固，此时须土建专业及时进行锚固沟施工。辅好的土工布应及时用沙袋将接缝处或锚固边压住，防止大风吹动掀移，然后再进行下道工序。</w:t>
      </w:r>
    </w:p>
    <w:p>
      <w:pPr>
        <w:pStyle w:val="BodyText"/>
        <w:spacing w:line="417" w:lineRule="auto"/>
        <w:ind w:left="1113" w:right="1827" w:firstLine="838"/>
        <w:jc w:val="both"/>
      </w:pPr>
      <w:r>
        <w:t>在边坡膜的施工过程当中，要时刻注意气温高低对土工布热膨胀系数的影响，尽量避开中午高温或夜间低温施工，以防止膜片收缩悬空或膨胀堆积现象发生，根据本单位的施工经验，尽可能降低坡面磨卷施工的伸缩量。</w:t>
      </w:r>
    </w:p>
    <w:p>
      <w:pPr>
        <w:pStyle w:val="BodyText"/>
        <w:spacing w:line="538" w:lineRule="exact"/>
        <w:ind w:left="1969"/>
      </w:pPr>
      <w:r>
        <w:t>4、HDPE 膜焊接的检验</w:t>
      </w:r>
    </w:p>
    <w:p>
      <w:pPr>
        <w:pStyle w:val="BodyText"/>
        <w:spacing w:before="10"/>
        <w:rPr>
          <w:sz w:val="30"/>
        </w:rPr>
      </w:pPr>
    </w:p>
    <w:p>
      <w:pPr>
        <w:pStyle w:val="BodyText"/>
        <w:ind w:left="1951"/>
      </w:pPr>
      <w:r>
        <w:t>施工主要检测手段有破坏性实验和非破坏性实验，详见下一节“ HDPE</w:t>
      </w:r>
    </w:p>
    <w:p>
      <w:pPr>
        <w:pStyle w:val="BodyText"/>
        <w:spacing w:before="1"/>
        <w:rPr>
          <w:sz w:val="31"/>
        </w:rPr>
      </w:pPr>
    </w:p>
    <w:p>
      <w:pPr>
        <w:pStyle w:val="BodyText"/>
        <w:ind w:left="1113"/>
      </w:pPr>
      <w:r>
        <w:t>土工膜施工检验与检测方法”。</w:t>
      </w:r>
    </w:p>
    <w:p>
      <w:pPr>
        <w:spacing w:after="0"/>
        <w:sectPr>
          <w:headerReference w:type="default" r:id="rId34"/>
          <w:footerReference w:type="default" r:id="rId35"/>
          <w:pgSz w:w="17860" w:h="25270"/>
          <w:pgMar w:top="1040" w:right="0" w:bottom="1240" w:left="1440" w:header="712" w:footer="1057"/>
          <w:pgNumType w:start="16"/>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22"/>
        </w:rPr>
      </w:pPr>
    </w:p>
    <w:p>
      <w:pPr>
        <w:pStyle w:val="BodyText"/>
        <w:spacing w:before="42"/>
        <w:ind w:left="1951"/>
      </w:pPr>
      <w:r>
        <w:t>5、HDPE 膜修补</w:t>
      </w:r>
    </w:p>
    <w:p>
      <w:pPr>
        <w:pStyle w:val="BodyText"/>
        <w:spacing w:before="1"/>
        <w:rPr>
          <w:sz w:val="31"/>
        </w:rPr>
      </w:pPr>
    </w:p>
    <w:p>
      <w:pPr>
        <w:pStyle w:val="BodyText"/>
        <w:spacing w:line="417" w:lineRule="auto"/>
        <w:ind w:left="1113" w:right="1634" w:firstLine="838"/>
      </w:pPr>
      <w:r>
        <w:t>对于施工中出现的质量问题当天进行处理，处理办法见表 5-1 修补处理方法简表。</w:t>
      </w:r>
    </w:p>
    <w:p>
      <w:pPr>
        <w:pStyle w:val="BodyText"/>
        <w:spacing w:line="417" w:lineRule="auto"/>
        <w:ind w:left="1113" w:right="1645" w:firstLine="838"/>
      </w:pPr>
      <w:r>
        <w:t>对所有施工过程中出现的“T”形接头、材料质量缺陷及焊接质量缺陷部位采用挤压焊接进行修补、覆盖。</w:t>
      </w:r>
    </w:p>
    <w:p>
      <w:pPr>
        <w:pStyle w:val="BodyText"/>
        <w:spacing w:line="417" w:lineRule="auto"/>
        <w:ind w:left="1113" w:right="1485" w:firstLine="1065"/>
      </w:pPr>
      <w:r>
        <w:rPr>
          <w:spacing w:val="1"/>
        </w:rPr>
        <w:t>按照根据“</w:t>
      </w:r>
      <w:r>
        <w:rPr>
          <w:spacing w:val="9"/>
        </w:rPr>
        <w:t>T</w:t>
      </w:r>
      <w:r>
        <w:t>”字形接头及缺陷部位的形状及大小裁剪新鲜母材，母</w:t>
      </w:r>
      <w:r>
        <w:rPr>
          <w:spacing w:val="-9"/>
        </w:rPr>
        <w:t xml:space="preserve">材边缘要超过破损部位 </w:t>
      </w:r>
      <w:r>
        <w:rPr>
          <w:spacing w:val="-32"/>
        </w:rPr>
        <w:t>10cm</w:t>
      </w:r>
      <w:r>
        <w:rPr>
          <w:spacing w:val="-61"/>
        </w:rPr>
        <w:t>，对于“</w:t>
      </w:r>
      <w:r>
        <w:rPr>
          <w:spacing w:val="-54"/>
        </w:rPr>
        <w:t>T</w:t>
      </w:r>
      <w:r>
        <w:rPr>
          <w:spacing w:val="-16"/>
        </w:rPr>
        <w:t xml:space="preserve">”字型接头补疤尺寸为 </w:t>
      </w:r>
      <w:r>
        <w:rPr>
          <w:spacing w:val="-3"/>
        </w:rPr>
        <w:t xml:space="preserve">200mm×150mm， </w:t>
      </w:r>
      <w:r>
        <w:t>并对补丁边缘进行修圆。</w:t>
      </w:r>
    </w:p>
    <w:p>
      <w:pPr>
        <w:pStyle w:val="Heading3"/>
        <w:tabs>
          <w:tab w:val="left" w:pos="7442"/>
        </w:tabs>
        <w:spacing w:line="537" w:lineRule="exact"/>
        <w:ind w:left="5866"/>
      </w:pPr>
      <w:r>
        <w:t>表</w:t>
      </w:r>
      <w:r>
        <w:rPr>
          <w:spacing w:val="-109"/>
        </w:rPr>
        <w:t xml:space="preserve"> </w:t>
      </w:r>
      <w:r>
        <w:t>5-1</w:t>
        <w:tab/>
        <w:t>修补处理简表</w:t>
      </w:r>
    </w:p>
    <w:p>
      <w:pPr>
        <w:pStyle w:val="BodyText"/>
        <w:spacing w:before="11"/>
        <w:rPr>
          <w:b/>
          <w:sz w:val="15"/>
        </w:rPr>
      </w:pPr>
      <w:r>
        <w:pict>
          <v:group id="_x0000_s1026" style="width:702pt;height:270pt;margin-top:12.12pt;margin-left:117pt;mso-position-horizontal-relative:page;mso-wrap-distance-left:0;mso-wrap-distance-right:0;position:absolute;z-index:-251657216" coordorigin="2340,242" coordsize="14040,54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width:14040;height:5400;left:2340;position:absolute;top:242" stroked="f">
              <v:imagedata r:id="rId36" o:title=""/>
            </v:shape>
            <v:shapetype id="_x0000_t202" coordsize="21600,21600" o:spt="202" path="m,l,21600r21600,l21600,xe">
              <v:stroke joinstyle="miter"/>
              <v:path gradientshapeok="t" o:connecttype="rect"/>
            </v:shapetype>
            <v:shape id="_x0000_s1028" type="#_x0000_t202" style="width:740;height:360;left:3406;position:absolute;top:495" filled="f" stroked="f">
              <v:textbox inset="0,0,0,0">
                <w:txbxContent>
                  <w:p>
                    <w:pPr>
                      <w:spacing w:before="0" w:line="360" w:lineRule="exact"/>
                      <w:ind w:left="0" w:right="0" w:firstLine="0"/>
                      <w:jc w:val="left"/>
                      <w:rPr>
                        <w:sz w:val="36"/>
                      </w:rPr>
                    </w:pPr>
                    <w:r>
                      <w:rPr>
                        <w:sz w:val="36"/>
                      </w:rPr>
                      <w:t>类型</w:t>
                    </w:r>
                  </w:p>
                </w:txbxContent>
              </v:textbox>
            </v:shape>
            <v:shape id="_x0000_s1029" type="#_x0000_t202" style="width:1460;height:360;left:10039;position:absolute;top:495" filled="f" stroked="f">
              <v:textbox inset="0,0,0,0">
                <w:txbxContent>
                  <w:p>
                    <w:pPr>
                      <w:spacing w:before="0" w:line="360" w:lineRule="exact"/>
                      <w:ind w:left="0" w:right="0" w:firstLine="0"/>
                      <w:jc w:val="left"/>
                      <w:rPr>
                        <w:sz w:val="36"/>
                      </w:rPr>
                    </w:pPr>
                    <w:r>
                      <w:rPr>
                        <w:sz w:val="36"/>
                      </w:rPr>
                      <w:t>处理方法</w:t>
                    </w:r>
                  </w:p>
                </w:txbxContent>
              </v:textbox>
            </v:shape>
            <v:shape id="_x0000_s1030" type="#_x0000_t202" style="width:1460;height:360;left:3067;position:absolute;top:1388" filled="f" stroked="f">
              <v:textbox inset="0,0,0,0">
                <w:txbxContent>
                  <w:p>
                    <w:pPr>
                      <w:spacing w:before="0" w:line="360" w:lineRule="exact"/>
                      <w:ind w:left="0" w:right="0" w:firstLine="0"/>
                      <w:jc w:val="left"/>
                      <w:rPr>
                        <w:sz w:val="36"/>
                      </w:rPr>
                    </w:pPr>
                    <w:r>
                      <w:rPr>
                        <w:sz w:val="36"/>
                      </w:rPr>
                      <w:t>焊接失败</w:t>
                    </w:r>
                  </w:p>
                </w:txbxContent>
              </v:textbox>
            </v:shape>
            <v:shape id="_x0000_s1031" type="#_x0000_t202" style="width:7220;height:360;left:5332;position:absolute;top:1388" filled="f" stroked="f">
              <v:textbox inset="0,0,0,0">
                <w:txbxContent>
                  <w:p>
                    <w:pPr>
                      <w:spacing w:before="0" w:line="360" w:lineRule="exact"/>
                      <w:ind w:left="0" w:right="0" w:firstLine="0"/>
                      <w:jc w:val="left"/>
                      <w:rPr>
                        <w:sz w:val="36"/>
                      </w:rPr>
                    </w:pPr>
                    <w:r>
                      <w:rPr>
                        <w:sz w:val="36"/>
                      </w:rPr>
                      <w:t>重焊或封补；挤压焊补片；挤压焊修补焊缝。</w:t>
                    </w:r>
                  </w:p>
                </w:txbxContent>
              </v:textbox>
            </v:shape>
            <v:shape id="_x0000_s1032" type="#_x0000_t202" style="width:1820;height:360;left:2866;position:absolute;top:2282" filled="f" stroked="f">
              <v:textbox inset="0,0,0,0">
                <w:txbxContent>
                  <w:p>
                    <w:pPr>
                      <w:spacing w:before="0" w:line="360" w:lineRule="exact"/>
                      <w:ind w:left="0" w:right="0" w:firstLine="0"/>
                      <w:jc w:val="left"/>
                      <w:rPr>
                        <w:sz w:val="36"/>
                      </w:rPr>
                    </w:pPr>
                    <w:r>
                      <w:rPr>
                        <w:sz w:val="36"/>
                      </w:rPr>
                      <w:t>撕裂或穿孔</w:t>
                    </w:r>
                  </w:p>
                </w:txbxContent>
              </v:textbox>
            </v:shape>
            <v:shape id="_x0000_s1033" type="#_x0000_t202" style="width:11003;height:360;left:5332;position:absolute;top:2282" filled="f" stroked="f">
              <v:textbox inset="0,0,0,0">
                <w:txbxContent>
                  <w:p>
                    <w:pPr>
                      <w:spacing w:before="0" w:line="360" w:lineRule="exact"/>
                      <w:ind w:left="0" w:right="0" w:firstLine="0"/>
                      <w:jc w:val="left"/>
                      <w:rPr>
                        <w:sz w:val="36"/>
                      </w:rPr>
                    </w:pPr>
                    <w:r>
                      <w:rPr>
                        <w:sz w:val="36"/>
                      </w:rPr>
                      <w:t>熔焊或挤压焊补片（</w:t>
                    </w:r>
                    <w:r>
                      <w:rPr>
                        <w:spacing w:val="-6"/>
                        <w:sz w:val="36"/>
                      </w:rPr>
                      <w:t xml:space="preserve">补片规格要在各方向上大出破损区 </w:t>
                    </w:r>
                    <w:r>
                      <w:rPr>
                        <w:sz w:val="36"/>
                      </w:rPr>
                      <w:t>100mm</w:t>
                    </w:r>
                    <w:r>
                      <w:rPr>
                        <w:spacing w:val="-30"/>
                        <w:sz w:val="36"/>
                      </w:rPr>
                      <w:t xml:space="preserve"> 以上</w:t>
                    </w:r>
                    <w:r>
                      <w:rPr>
                        <w:spacing w:val="-180"/>
                        <w:sz w:val="36"/>
                      </w:rPr>
                      <w:t>）</w:t>
                    </w:r>
                    <w:r>
                      <w:rPr>
                        <w:sz w:val="36"/>
                      </w:rPr>
                      <w:t>。</w:t>
                    </w:r>
                  </w:p>
                </w:txbxContent>
              </v:textbox>
            </v:shape>
            <v:shape id="_x0000_s1034" type="#_x0000_t202" style="width:1820;height:360;left:2866;position:absolute;top:3178" filled="f" stroked="f">
              <v:textbox inset="0,0,0,0">
                <w:txbxContent>
                  <w:p>
                    <w:pPr>
                      <w:spacing w:before="0" w:line="360" w:lineRule="exact"/>
                      <w:ind w:left="0" w:right="0" w:firstLine="0"/>
                      <w:jc w:val="left"/>
                      <w:rPr>
                        <w:sz w:val="36"/>
                      </w:rPr>
                    </w:pPr>
                    <w:r>
                      <w:rPr>
                        <w:sz w:val="36"/>
                      </w:rPr>
                      <w:t>划痕或刺痕</w:t>
                    </w:r>
                  </w:p>
                </w:txbxContent>
              </v:textbox>
            </v:shape>
            <v:shape id="_x0000_s1035" type="#_x0000_t202" style="width:3980;height:360;left:5332;position:absolute;top:3178" filled="f" stroked="f">
              <v:textbox inset="0,0,0,0">
                <w:txbxContent>
                  <w:p>
                    <w:pPr>
                      <w:spacing w:before="0" w:line="360" w:lineRule="exact"/>
                      <w:ind w:left="0" w:right="0" w:firstLine="0"/>
                      <w:jc w:val="left"/>
                      <w:rPr>
                        <w:sz w:val="36"/>
                      </w:rPr>
                    </w:pPr>
                    <w:r>
                      <w:rPr>
                        <w:sz w:val="36"/>
                      </w:rPr>
                      <w:t>破损点上方挤压焊修补。</w:t>
                    </w:r>
                  </w:p>
                </w:txbxContent>
              </v:textbox>
            </v:shape>
            <v:shape id="_x0000_s1036" type="#_x0000_t202" style="width:1460;height:360;left:3046;position:absolute;top:4071" filled="f" stroked="f">
              <v:textbox inset="0,0,0,0">
                <w:txbxContent>
                  <w:p>
                    <w:pPr>
                      <w:spacing w:before="0" w:line="360" w:lineRule="exact"/>
                      <w:ind w:left="0" w:right="0" w:firstLine="0"/>
                      <w:jc w:val="left"/>
                      <w:rPr>
                        <w:sz w:val="36"/>
                      </w:rPr>
                    </w:pPr>
                    <w:r>
                      <w:rPr>
                        <w:sz w:val="36"/>
                      </w:rPr>
                      <w:t>边沟部分</w:t>
                    </w:r>
                  </w:p>
                </w:txbxContent>
              </v:textbox>
            </v:shape>
            <v:shape id="_x0000_s1037" type="#_x0000_t202" style="width:11003;height:360;left:5332;position:absolute;top:4071" filled="f" stroked="f">
              <v:textbox inset="0,0,0,0">
                <w:txbxContent>
                  <w:p>
                    <w:pPr>
                      <w:spacing w:before="0" w:line="360" w:lineRule="exact"/>
                      <w:ind w:left="0" w:right="0" w:firstLine="0"/>
                      <w:jc w:val="left"/>
                      <w:rPr>
                        <w:sz w:val="36"/>
                      </w:rPr>
                    </w:pPr>
                    <w:r>
                      <w:rPr>
                        <w:sz w:val="36"/>
                      </w:rPr>
                      <w:t>熔焊或挤压焊补片（</w:t>
                    </w:r>
                    <w:r>
                      <w:rPr>
                        <w:spacing w:val="-6"/>
                        <w:sz w:val="36"/>
                      </w:rPr>
                      <w:t xml:space="preserve">补片规格要在各方向上大出破损区 </w:t>
                    </w:r>
                    <w:r>
                      <w:rPr>
                        <w:sz w:val="36"/>
                      </w:rPr>
                      <w:t>100mm</w:t>
                    </w:r>
                    <w:r>
                      <w:rPr>
                        <w:spacing w:val="-30"/>
                        <w:sz w:val="36"/>
                      </w:rPr>
                      <w:t xml:space="preserve"> 以上</w:t>
                    </w:r>
                    <w:r>
                      <w:rPr>
                        <w:spacing w:val="-180"/>
                        <w:sz w:val="36"/>
                      </w:rPr>
                      <w:t>）</w:t>
                    </w:r>
                    <w:r>
                      <w:rPr>
                        <w:sz w:val="36"/>
                      </w:rPr>
                      <w:t>。</w:t>
                    </w:r>
                  </w:p>
                </w:txbxContent>
              </v:textbox>
            </v:shape>
            <v:shape id="_x0000_s1038" type="#_x0000_t202" style="width:2090;height:360;left:2733;position:absolute;top:4964" filled="f" stroked="f">
              <v:textbox inset="0,0,0,0">
                <w:txbxContent>
                  <w:p>
                    <w:pPr>
                      <w:spacing w:before="0" w:line="360" w:lineRule="exact"/>
                      <w:ind w:left="0" w:right="0" w:firstLine="0"/>
                      <w:jc w:val="left"/>
                      <w:rPr>
                        <w:sz w:val="36"/>
                      </w:rPr>
                    </w:pPr>
                    <w:r>
                      <w:rPr>
                        <w:sz w:val="36"/>
                      </w:rPr>
                      <w:t>T</w:t>
                    </w:r>
                    <w:r>
                      <w:rPr>
                        <w:spacing w:val="-17"/>
                        <w:sz w:val="36"/>
                      </w:rPr>
                      <w:t xml:space="preserve"> 型焊缝结点</w:t>
                    </w:r>
                  </w:p>
                </w:txbxContent>
              </v:textbox>
            </v:shape>
            <v:shape id="_x0000_s1039" type="#_x0000_t202" style="width:2180;height:360;left:5332;position:absolute;top:4964" filled="f" stroked="f">
              <v:textbox inset="0,0,0,0">
                <w:txbxContent>
                  <w:p>
                    <w:pPr>
                      <w:spacing w:before="0" w:line="360" w:lineRule="exact"/>
                      <w:ind w:left="0" w:right="0" w:firstLine="0"/>
                      <w:jc w:val="left"/>
                      <w:rPr>
                        <w:sz w:val="36"/>
                      </w:rPr>
                    </w:pPr>
                    <w:r>
                      <w:rPr>
                        <w:sz w:val="36"/>
                      </w:rPr>
                      <w:t>挤压焊修补。</w:t>
                    </w:r>
                  </w:p>
                </w:txbxContent>
              </v:textbox>
            </v:shape>
            <w10:wrap type="topAndBottom"/>
          </v:group>
        </w:pict>
      </w:r>
    </w:p>
    <w:p>
      <w:pPr>
        <w:pStyle w:val="BodyText"/>
        <w:spacing w:before="101"/>
        <w:ind w:left="2164"/>
      </w:pPr>
      <w:r>
        <w:t>用砂轮机对修补部位进行打磨，打磨方向应垂直于焊接方向。</w:t>
      </w:r>
    </w:p>
    <w:p>
      <w:pPr>
        <w:pStyle w:val="BodyText"/>
        <w:spacing w:before="2"/>
        <w:rPr>
          <w:sz w:val="31"/>
        </w:rPr>
      </w:pPr>
    </w:p>
    <w:p>
      <w:pPr>
        <w:pStyle w:val="BodyText"/>
        <w:spacing w:line="417" w:lineRule="auto"/>
        <w:ind w:left="1951" w:right="1478"/>
      </w:pPr>
      <w:r>
        <w:rPr>
          <w:spacing w:val="2"/>
        </w:rPr>
        <w:t>采用挤压焊机进行修补，焊机工作时与</w:t>
      </w:r>
      <w:r>
        <w:t>HDPE</w:t>
      </w:r>
      <w:r>
        <w:rPr>
          <w:spacing w:val="-30"/>
        </w:rPr>
        <w:t xml:space="preserve"> 膜表面约成 </w:t>
      </w:r>
      <w:r>
        <w:t>45</w:t>
      </w:r>
      <w:r>
        <w:rPr>
          <w:spacing w:val="-20"/>
        </w:rPr>
        <w:t xml:space="preserve"> 度角左右。</w:t>
      </w:r>
      <w:r>
        <w:t>熔焊材料应将磨光宽度全部覆盖上。</w:t>
      </w:r>
    </w:p>
    <w:p>
      <w:pPr>
        <w:pStyle w:val="BodyText"/>
        <w:spacing w:line="537" w:lineRule="exact"/>
        <w:ind w:left="1951"/>
      </w:pPr>
      <w:r>
        <w:t>为避免打磨部位迅速氧化，在打磨后 10 分钟内进行焊接。</w:t>
      </w:r>
    </w:p>
    <w:p>
      <w:pPr>
        <w:pStyle w:val="BodyText"/>
        <w:rPr>
          <w:sz w:val="31"/>
        </w:rPr>
      </w:pPr>
    </w:p>
    <w:p>
      <w:pPr>
        <w:pStyle w:val="BodyText"/>
        <w:spacing w:before="1" w:line="417" w:lineRule="auto"/>
        <w:ind w:left="1113" w:right="1829" w:firstLine="838"/>
      </w:pPr>
      <w:r>
        <w:t>对于热合焊接中的出现虚焊、漏焊，必须切开焊缝，使用热熔挤压焊机对切开损伤部位用大于破损直径一倍以上的母材补焊。</w:t>
      </w:r>
    </w:p>
    <w:p>
      <w:pPr>
        <w:pStyle w:val="BodyText"/>
        <w:spacing w:line="537" w:lineRule="exact"/>
        <w:ind w:left="1969"/>
      </w:pPr>
      <w:r>
        <w:t>挤压焊接裂纹或皱纹切除部分时，其重叠部分不少于 100mm，当重叠部</w:t>
      </w:r>
    </w:p>
    <w:p>
      <w:pPr>
        <w:spacing w:after="0" w:line="537" w:lineRule="exact"/>
        <w:sectPr>
          <w:headerReference w:type="default" r:id="rId37"/>
          <w:footerReference w:type="default" r:id="rId38"/>
          <w:pgSz w:w="17860" w:h="25270"/>
          <w:pgMar w:top="1040" w:right="0" w:bottom="1240" w:left="1440" w:header="712" w:footer="1057"/>
          <w:pgNumType w:start="17"/>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22"/>
        </w:rPr>
      </w:pPr>
    </w:p>
    <w:p>
      <w:pPr>
        <w:pStyle w:val="BodyText"/>
        <w:spacing w:before="42" w:line="417" w:lineRule="auto"/>
        <w:ind w:left="1113" w:right="1620"/>
      </w:pPr>
      <w:r>
        <w:t>分少于 100mm 时，可用椭圆或圆形补丁补上，补丁在切除时各个方向应扩展大于 200mm。焊接过程中不得使用任何溶剂或粘接剂。</w:t>
      </w:r>
    </w:p>
    <w:p>
      <w:pPr>
        <w:pStyle w:val="BodyText"/>
        <w:spacing w:line="417" w:lineRule="auto"/>
        <w:ind w:left="1113" w:right="1811" w:firstLine="856"/>
      </w:pPr>
      <w:r>
        <w:t>如有损坏应标记并给出一个修补编号。所有的修补程序由质量检查员进行记录。</w:t>
      </w:r>
    </w:p>
    <w:p>
      <w:pPr>
        <w:pStyle w:val="BodyText"/>
        <w:spacing w:line="537" w:lineRule="exact"/>
        <w:ind w:left="1969"/>
      </w:pPr>
      <w:r>
        <w:t>6、当日验收</w:t>
      </w:r>
    </w:p>
    <w:p>
      <w:pPr>
        <w:pStyle w:val="BodyText"/>
        <w:spacing w:before="1"/>
        <w:rPr>
          <w:sz w:val="31"/>
        </w:rPr>
      </w:pPr>
    </w:p>
    <w:p>
      <w:pPr>
        <w:pStyle w:val="BodyText"/>
        <w:ind w:left="1951"/>
      </w:pPr>
      <w:r>
        <w:t>当日完成的焊接工作要全部在当日进行验收,做好各项记录工作。</w:t>
      </w:r>
    </w:p>
    <w:p>
      <w:pPr>
        <w:pStyle w:val="BodyText"/>
        <w:spacing w:before="1"/>
        <w:rPr>
          <w:sz w:val="31"/>
        </w:rPr>
      </w:pPr>
    </w:p>
    <w:p>
      <w:pPr>
        <w:pStyle w:val="BodyText"/>
        <w:spacing w:line="417" w:lineRule="auto"/>
        <w:ind w:left="1113" w:right="1829" w:firstLine="838"/>
      </w:pPr>
      <w:r>
        <w:t>验收文件一式三份，由甲乙方及监理人员签字，三方各执一份，并记录当日施工信息，包括铺设的面积、焊缝及缝合位置、编号等。</w:t>
      </w:r>
    </w:p>
    <w:p>
      <w:pPr>
        <w:pStyle w:val="BodyText"/>
        <w:spacing w:line="537" w:lineRule="exact"/>
        <w:ind w:left="1951"/>
      </w:pPr>
      <w:r>
        <w:t>7、HDPE 膜的边坡施工</w:t>
      </w:r>
    </w:p>
    <w:p>
      <w:pPr>
        <w:pStyle w:val="BodyText"/>
        <w:rPr>
          <w:sz w:val="31"/>
        </w:rPr>
      </w:pPr>
    </w:p>
    <w:p>
      <w:pPr>
        <w:pStyle w:val="BodyText"/>
        <w:spacing w:line="417" w:lineRule="auto"/>
        <w:ind w:left="1113" w:right="1732" w:firstLine="856"/>
        <w:jc w:val="both"/>
      </w:pPr>
      <w:r>
        <w:rPr>
          <w:w w:val="100"/>
        </w:rPr>
        <w:t>本次施工边坡部分面积大，坡度陡（</w:t>
      </w:r>
      <w:r>
        <w:rPr>
          <w:spacing w:val="-133"/>
        </w:rPr>
        <w:t xml:space="preserve"> </w:t>
      </w:r>
      <w:r>
        <w:rPr>
          <w:w w:val="100"/>
        </w:rPr>
        <w:t>1:1.5-1:</w:t>
      </w:r>
      <w:r>
        <w:rPr>
          <w:spacing w:val="-2"/>
          <w:w w:val="100"/>
        </w:rPr>
        <w:t>2</w:t>
      </w:r>
      <w:r>
        <w:rPr>
          <w:spacing w:val="-205"/>
          <w:w w:val="100"/>
        </w:rPr>
        <w:t>）</w:t>
      </w:r>
      <w:r>
        <w:rPr>
          <w:spacing w:val="-3"/>
          <w:w w:val="100"/>
        </w:rPr>
        <w:t>，落差大，边坡形状</w:t>
      </w:r>
      <w:r>
        <w:t>不规则，增加了施工难度，除要按上述工序部分的要求进行施工外，还要注意以下事项：</w:t>
      </w:r>
    </w:p>
    <w:p>
      <w:pPr>
        <w:pStyle w:val="BodyText"/>
        <w:spacing w:line="538" w:lineRule="exact"/>
        <w:ind w:left="1951"/>
      </w:pPr>
      <w:r>
        <w:t>①膜卷必须放置在距坡沿 2 米以外，适当固定安全存放。</w:t>
      </w:r>
    </w:p>
    <w:p>
      <w:pPr>
        <w:pStyle w:val="BodyText"/>
        <w:spacing w:before="1"/>
        <w:rPr>
          <w:sz w:val="31"/>
        </w:rPr>
      </w:pPr>
    </w:p>
    <w:p>
      <w:pPr>
        <w:pStyle w:val="BodyText"/>
        <w:spacing w:line="417" w:lineRule="auto"/>
        <w:ind w:left="1113" w:right="1636" w:firstLine="838"/>
      </w:pPr>
      <w:r>
        <w:t>②顺坡铺膜，放卷时，须用磨卷展开棒，该装置须在坡沿外 1 米以外位置安装牢靠。</w:t>
      </w:r>
    </w:p>
    <w:p>
      <w:pPr>
        <w:pStyle w:val="BodyText"/>
        <w:spacing w:line="417" w:lineRule="auto"/>
        <w:ind w:left="1113" w:right="1829" w:firstLine="838"/>
      </w:pPr>
      <w:r>
        <w:t>③铺膜过程当中，对膜保持适度拉力，尽量自然铺放，减少材料的伸缩变形量。</w:t>
      </w:r>
    </w:p>
    <w:p>
      <w:pPr>
        <w:pStyle w:val="BodyText"/>
        <w:ind w:left="1951"/>
      </w:pPr>
      <w:r>
        <w:t>④坡下拉膜与坡上放膜要相互呼应、协调配合，并设有安全指挥人员。</w:t>
      </w:r>
    </w:p>
    <w:p>
      <w:pPr>
        <w:pStyle w:val="BodyText"/>
        <w:rPr>
          <w:sz w:val="31"/>
        </w:rPr>
      </w:pPr>
    </w:p>
    <w:p>
      <w:pPr>
        <w:pStyle w:val="BodyText"/>
        <w:spacing w:line="417" w:lineRule="auto"/>
        <w:ind w:left="1113" w:right="1633" w:firstLine="838"/>
      </w:pPr>
      <w:r>
        <w:t>⑤因坡度较大，距坡顶或锚固沟边应力集中区 1.5 米范围内不应有水平夹角小于 45°的接缝。</w:t>
      </w:r>
    </w:p>
    <w:p>
      <w:pPr>
        <w:pStyle w:val="BodyText"/>
        <w:spacing w:line="417" w:lineRule="auto"/>
        <w:ind w:left="1113" w:right="1786" w:firstLine="881"/>
      </w:pPr>
      <w:r>
        <w:t>⑥试焊合格后，焊机由边坡顶部开始往下焊接，焊接时操作工须在安全绳或绳梯的安全保护下，时刻跟随焊机行走，及时对焊机的各项参数进</w:t>
      </w:r>
    </w:p>
    <w:p>
      <w:pPr>
        <w:spacing w:after="0" w:line="417" w:lineRule="auto"/>
        <w:sectPr>
          <w:headerReference w:type="default" r:id="rId39"/>
          <w:footerReference w:type="default" r:id="rId40"/>
          <w:pgSz w:w="17860" w:h="25270"/>
          <w:pgMar w:top="1040" w:right="0" w:bottom="1240" w:left="1440" w:header="712" w:footer="1057"/>
          <w:pgNumType w:start="18"/>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22"/>
        </w:rPr>
      </w:pPr>
    </w:p>
    <w:p>
      <w:pPr>
        <w:pStyle w:val="BodyText"/>
        <w:spacing w:before="42"/>
        <w:ind w:left="1113"/>
      </w:pPr>
      <w:r>
        <w:t>行微调，保证焊机处于最佳状态运行。</w:t>
      </w:r>
    </w:p>
    <w:p>
      <w:pPr>
        <w:pStyle w:val="BodyText"/>
        <w:spacing w:before="1"/>
        <w:rPr>
          <w:sz w:val="31"/>
        </w:rPr>
      </w:pPr>
    </w:p>
    <w:p>
      <w:pPr>
        <w:pStyle w:val="BodyText"/>
        <w:spacing w:line="417" w:lineRule="auto"/>
        <w:ind w:left="1113" w:right="1721" w:firstLine="946"/>
      </w:pPr>
      <w:r>
        <w:t>⑦及时对坡顶及坡下磨卷进行锚固，此时须土建专业及时进行锚固沟施工。</w:t>
      </w:r>
    </w:p>
    <w:p>
      <w:pPr>
        <w:pStyle w:val="BodyText"/>
        <w:spacing w:line="417" w:lineRule="auto"/>
        <w:ind w:left="1113" w:right="1611" w:firstLine="881"/>
      </w:pPr>
      <w:r>
        <w:t>⑧铺好HDPE 膜应及时用沙袋将接缝处或锚固边压住，防止大风吹动掀移，然后再进行下道工序。</w:t>
      </w:r>
    </w:p>
    <w:p>
      <w:pPr>
        <w:pStyle w:val="BodyText"/>
        <w:spacing w:line="417" w:lineRule="auto"/>
        <w:ind w:left="1113" w:right="1688" w:firstLine="856"/>
      </w:pPr>
      <w:r>
        <w:rPr>
          <w:spacing w:val="-10"/>
        </w:rPr>
        <w:t xml:space="preserve">⑨在边坡膜的施工过程当中，要时刻注意气温高低对 </w:t>
      </w:r>
      <w:r>
        <w:t>HDPE</w:t>
      </w:r>
      <w:r>
        <w:rPr>
          <w:spacing w:val="-20"/>
        </w:rPr>
        <w:t xml:space="preserve"> 膜热膨胀系</w:t>
      </w:r>
      <w:r>
        <w:t>数的影响，尽量避开中午高温或夜间低温施工，以防止膜片收缩悬空或膨胀堆积现象发生。根据本单位的施工经验，尽可能降低坡面磨卷施工的伸缩量。</w:t>
      </w:r>
    </w:p>
    <w:p>
      <w:pPr>
        <w:pStyle w:val="BodyText"/>
        <w:spacing w:line="537" w:lineRule="exact"/>
        <w:ind w:left="1969"/>
      </w:pPr>
      <w:r>
        <w:t>8 、HDPE 膜的场底施工</w:t>
      </w:r>
    </w:p>
    <w:p>
      <w:pPr>
        <w:pStyle w:val="BodyText"/>
        <w:rPr>
          <w:sz w:val="31"/>
        </w:rPr>
      </w:pPr>
    </w:p>
    <w:p>
      <w:pPr>
        <w:pStyle w:val="BodyText"/>
        <w:spacing w:line="417" w:lineRule="auto"/>
        <w:ind w:left="1113" w:right="1827" w:firstLine="838"/>
        <w:jc w:val="both"/>
      </w:pPr>
      <w:r>
        <w:t>场底面积宽阔，裁膜工作量较小，运输方便，挤压焊使用较少，铺设速度较快。本着先四周后中间的施工原则，按照上述工序过程进行施工即可。</w:t>
      </w:r>
    </w:p>
    <w:p>
      <w:pPr>
        <w:pStyle w:val="BodyText"/>
        <w:spacing w:line="538" w:lineRule="exact"/>
        <w:ind w:left="1969"/>
      </w:pPr>
      <w:r>
        <w:t>9、HDPE 膜的特殊部位施工</w:t>
      </w:r>
    </w:p>
    <w:p>
      <w:pPr>
        <w:pStyle w:val="BodyText"/>
        <w:spacing w:before="1"/>
        <w:rPr>
          <w:sz w:val="31"/>
        </w:rPr>
      </w:pPr>
    </w:p>
    <w:p>
      <w:pPr>
        <w:pStyle w:val="BodyText"/>
        <w:spacing w:line="417" w:lineRule="auto"/>
        <w:ind w:left="1113" w:right="1811" w:firstLine="856"/>
        <w:jc w:val="both"/>
      </w:pPr>
      <w:r>
        <w:t>本次施工在锚固沟处、膜与构筑物封闭处以及膜穿管处等无法采用正常工艺焊接，需采用特殊工艺进行施工，如模具焊接工艺、连接锁预埋工艺、土工膜封套工艺等，具体方法待施工时应用。</w:t>
      </w:r>
    </w:p>
    <w:p>
      <w:pPr>
        <w:pStyle w:val="BodyText"/>
        <w:ind w:left="1955"/>
      </w:pPr>
      <w:r>
        <w:t>10、HDPE 土工膜施工检验与检测方法</w:t>
      </w:r>
    </w:p>
    <w:p>
      <w:pPr>
        <w:pStyle w:val="BodyText"/>
        <w:rPr>
          <w:sz w:val="31"/>
        </w:rPr>
      </w:pPr>
    </w:p>
    <w:p>
      <w:pPr>
        <w:pStyle w:val="BodyText"/>
        <w:ind w:left="1951"/>
      </w:pPr>
      <w:r>
        <w:t>①规定与要求</w:t>
      </w:r>
    </w:p>
    <w:p>
      <w:pPr>
        <w:pStyle w:val="BodyText"/>
        <w:spacing w:before="1"/>
        <w:rPr>
          <w:sz w:val="31"/>
        </w:rPr>
      </w:pPr>
    </w:p>
    <w:p>
      <w:pPr>
        <w:pStyle w:val="BodyText"/>
        <w:ind w:left="1951"/>
      </w:pPr>
      <w:r>
        <w:t>HDPE 土工膜焊接后，应及时对下列部位的焊接质量进行检测。</w:t>
      </w:r>
    </w:p>
    <w:p>
      <w:pPr>
        <w:pStyle w:val="BodyText"/>
        <w:spacing w:before="9"/>
        <w:rPr>
          <w:sz w:val="29"/>
        </w:rPr>
      </w:pPr>
    </w:p>
    <w:p>
      <w:pPr>
        <w:pStyle w:val="ListParagraph"/>
        <w:numPr>
          <w:ilvl w:val="0"/>
          <w:numId w:val="14"/>
        </w:numPr>
        <w:tabs>
          <w:tab w:val="left" w:pos="2588"/>
          <w:tab w:val="left" w:pos="2589"/>
        </w:tabs>
        <w:spacing w:before="1" w:after="0" w:line="240" w:lineRule="auto"/>
        <w:ind w:left="2589" w:right="0" w:hanging="638"/>
        <w:jc w:val="left"/>
        <w:rPr>
          <w:sz w:val="42"/>
        </w:rPr>
      </w:pPr>
      <w:r>
        <w:rPr>
          <w:sz w:val="42"/>
        </w:rPr>
        <w:t>全部焊缝。</w:t>
      </w:r>
    </w:p>
    <w:p>
      <w:pPr>
        <w:pStyle w:val="ListParagraph"/>
        <w:numPr>
          <w:ilvl w:val="0"/>
          <w:numId w:val="14"/>
        </w:numPr>
        <w:tabs>
          <w:tab w:val="left" w:pos="2588"/>
          <w:tab w:val="left" w:pos="2589"/>
        </w:tabs>
        <w:spacing w:before="398" w:after="0" w:line="240" w:lineRule="auto"/>
        <w:ind w:left="2589" w:right="0" w:hanging="638"/>
        <w:jc w:val="left"/>
        <w:rPr>
          <w:sz w:val="42"/>
        </w:rPr>
      </w:pPr>
      <w:r>
        <w:rPr>
          <w:sz w:val="42"/>
        </w:rPr>
        <w:t>焊缝结点。</w:t>
      </w:r>
    </w:p>
    <w:p>
      <w:pPr>
        <w:spacing w:after="0" w:line="240" w:lineRule="auto"/>
        <w:jc w:val="left"/>
        <w:rPr>
          <w:sz w:val="42"/>
        </w:rPr>
        <w:sectPr>
          <w:headerReference w:type="default" r:id="rId41"/>
          <w:footerReference w:type="default" r:id="rId42"/>
          <w:pgSz w:w="17860" w:h="25270"/>
          <w:pgMar w:top="1040" w:right="0" w:bottom="1240" w:left="1440" w:header="712" w:footer="1057"/>
          <w:pgNumType w:start="19"/>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19"/>
        </w:rPr>
      </w:pPr>
    </w:p>
    <w:p>
      <w:pPr>
        <w:pStyle w:val="ListParagraph"/>
        <w:numPr>
          <w:ilvl w:val="0"/>
          <w:numId w:val="14"/>
        </w:numPr>
        <w:tabs>
          <w:tab w:val="left" w:pos="2588"/>
          <w:tab w:val="left" w:pos="2589"/>
        </w:tabs>
        <w:spacing w:before="59" w:after="0" w:line="240" w:lineRule="auto"/>
        <w:ind w:left="2589" w:right="0" w:hanging="638"/>
        <w:jc w:val="left"/>
        <w:rPr>
          <w:sz w:val="42"/>
        </w:rPr>
      </w:pPr>
      <w:r>
        <w:rPr>
          <w:sz w:val="42"/>
        </w:rPr>
        <w:t>破损修补部位。</w:t>
      </w:r>
    </w:p>
    <w:p>
      <w:pPr>
        <w:pStyle w:val="ListParagraph"/>
        <w:numPr>
          <w:ilvl w:val="0"/>
          <w:numId w:val="14"/>
        </w:numPr>
        <w:tabs>
          <w:tab w:val="left" w:pos="2588"/>
          <w:tab w:val="left" w:pos="2589"/>
        </w:tabs>
        <w:spacing w:before="398" w:after="0" w:line="240" w:lineRule="auto"/>
        <w:ind w:left="2589" w:right="0" w:hanging="638"/>
        <w:jc w:val="left"/>
        <w:rPr>
          <w:sz w:val="42"/>
        </w:rPr>
      </w:pPr>
      <w:r>
        <w:rPr>
          <w:sz w:val="42"/>
        </w:rPr>
        <w:t>漏焊和虚焊的补焊部分。</w:t>
      </w:r>
    </w:p>
    <w:p>
      <w:pPr>
        <w:pStyle w:val="ListParagraph"/>
        <w:numPr>
          <w:ilvl w:val="0"/>
          <w:numId w:val="14"/>
        </w:numPr>
        <w:tabs>
          <w:tab w:val="left" w:pos="2588"/>
          <w:tab w:val="left" w:pos="2589"/>
        </w:tabs>
        <w:spacing w:before="398" w:after="0" w:line="240" w:lineRule="auto"/>
        <w:ind w:left="2589" w:right="0" w:hanging="638"/>
        <w:jc w:val="left"/>
        <w:rPr>
          <w:sz w:val="42"/>
        </w:rPr>
      </w:pPr>
      <w:r>
        <w:rPr>
          <w:sz w:val="42"/>
        </w:rPr>
        <w:t>前次检验未合格再次补焊的部位。</w:t>
      </w:r>
    </w:p>
    <w:p>
      <w:pPr>
        <w:pStyle w:val="BodyText"/>
        <w:spacing w:before="4"/>
        <w:rPr>
          <w:sz w:val="32"/>
        </w:rPr>
      </w:pPr>
    </w:p>
    <w:p>
      <w:pPr>
        <w:pStyle w:val="BodyText"/>
        <w:spacing w:line="417" w:lineRule="auto"/>
        <w:ind w:left="1113" w:right="1404" w:firstLine="838"/>
      </w:pPr>
      <w:r>
        <w:t xml:space="preserve">现场检测采用的方法包括非破坏性实验和破坏性实验。非破坏性实验 </w:t>
      </w:r>
      <w:r>
        <w:rPr>
          <w:spacing w:val="-1"/>
        </w:rPr>
        <w:t>又包括气密性检测和真空盒检测，破坡性实验又包括剪力测试和剥离测试。</w:t>
      </w:r>
    </w:p>
    <w:p>
      <w:pPr>
        <w:pStyle w:val="BodyText"/>
        <w:spacing w:line="417" w:lineRule="auto"/>
        <w:ind w:left="1113" w:right="1827" w:firstLine="838"/>
        <w:jc w:val="both"/>
      </w:pPr>
      <w:r>
        <w:t>随焊接进度要随时进行自检。自检合格后提交甲方或质检等部门联合抽样检验或全检。自检和联检的合格报告应作为质量验收依据。特殊情况下也可根据约定作室内接头检测。</w:t>
      </w:r>
    </w:p>
    <w:p>
      <w:pPr>
        <w:pStyle w:val="BodyText"/>
        <w:spacing w:line="537" w:lineRule="exact"/>
        <w:ind w:left="1951"/>
      </w:pPr>
      <w:r>
        <w:t>破坏性实验检测结果不合格要重新进行试焊。</w:t>
      </w:r>
    </w:p>
    <w:p>
      <w:pPr>
        <w:pStyle w:val="BodyText"/>
        <w:spacing w:before="1"/>
        <w:rPr>
          <w:sz w:val="31"/>
        </w:rPr>
      </w:pPr>
    </w:p>
    <w:p>
      <w:pPr>
        <w:pStyle w:val="BodyText"/>
        <w:spacing w:line="417" w:lineRule="auto"/>
        <w:ind w:left="1113" w:right="1829" w:firstLine="838"/>
      </w:pPr>
      <w:r>
        <w:t>非破坏性实验检测结果不合格要进行修补，修补后再进行非破坏性实验，直至通过检测。</w:t>
      </w:r>
    </w:p>
    <w:p>
      <w:pPr>
        <w:pStyle w:val="BodyText"/>
        <w:spacing w:line="417" w:lineRule="auto"/>
        <w:ind w:left="1951" w:right="4778"/>
      </w:pPr>
      <w:r>
        <w:t>破坏性和非破坏性实验检测结果均合格才可以验收。现场检测应遵守以下规定：</w:t>
      </w:r>
    </w:p>
    <w:p>
      <w:pPr>
        <w:pStyle w:val="ListParagraph"/>
        <w:numPr>
          <w:ilvl w:val="0"/>
          <w:numId w:val="14"/>
        </w:numPr>
        <w:tabs>
          <w:tab w:val="left" w:pos="2588"/>
          <w:tab w:val="left" w:pos="2589"/>
        </w:tabs>
        <w:spacing w:before="0" w:after="0" w:line="521" w:lineRule="exact"/>
        <w:ind w:left="2589" w:right="0" w:hanging="638"/>
        <w:jc w:val="left"/>
        <w:rPr>
          <w:sz w:val="42"/>
        </w:rPr>
      </w:pPr>
      <w:r>
        <w:rPr>
          <w:sz w:val="42"/>
        </w:rPr>
        <w:t>检测完毕，应立即对检测时所做的充气打压穿孔全部用挤压焊补</w:t>
      </w:r>
    </w:p>
    <w:p>
      <w:pPr>
        <w:pStyle w:val="BodyText"/>
        <w:spacing w:before="5"/>
        <w:rPr>
          <w:sz w:val="32"/>
        </w:rPr>
      </w:pPr>
    </w:p>
    <w:p>
      <w:pPr>
        <w:pStyle w:val="BodyText"/>
        <w:ind w:left="2589"/>
      </w:pPr>
      <w:r>
        <w:t>堵。</w:t>
      </w:r>
    </w:p>
    <w:p>
      <w:pPr>
        <w:pStyle w:val="BodyText"/>
        <w:spacing w:before="9"/>
        <w:rPr>
          <w:sz w:val="29"/>
        </w:rPr>
      </w:pPr>
    </w:p>
    <w:p>
      <w:pPr>
        <w:pStyle w:val="ListParagraph"/>
        <w:numPr>
          <w:ilvl w:val="0"/>
          <w:numId w:val="14"/>
        </w:numPr>
        <w:tabs>
          <w:tab w:val="left" w:pos="2588"/>
          <w:tab w:val="left" w:pos="2589"/>
        </w:tabs>
        <w:spacing w:before="0" w:after="0" w:line="240" w:lineRule="auto"/>
        <w:ind w:left="2589" w:right="0" w:hanging="638"/>
        <w:jc w:val="left"/>
        <w:rPr>
          <w:sz w:val="42"/>
        </w:rPr>
      </w:pPr>
      <w:r>
        <w:rPr>
          <w:sz w:val="42"/>
        </w:rPr>
        <w:t>检测过程及结果应详细记录并标示在施工图上。</w:t>
      </w:r>
    </w:p>
    <w:p>
      <w:pPr>
        <w:pStyle w:val="ListParagraph"/>
        <w:numPr>
          <w:ilvl w:val="0"/>
          <w:numId w:val="14"/>
        </w:numPr>
        <w:tabs>
          <w:tab w:val="left" w:pos="2588"/>
          <w:tab w:val="left" w:pos="2589"/>
        </w:tabs>
        <w:spacing w:before="399" w:after="0" w:line="240" w:lineRule="auto"/>
        <w:ind w:left="2589" w:right="0" w:hanging="638"/>
        <w:jc w:val="left"/>
        <w:rPr>
          <w:sz w:val="42"/>
        </w:rPr>
      </w:pPr>
      <w:r>
        <w:rPr>
          <w:sz w:val="42"/>
        </w:rPr>
        <w:t>检测人员应在检测记录上签字并签署明确结论、意见和建议。</w:t>
      </w:r>
    </w:p>
    <w:p>
      <w:pPr>
        <w:pStyle w:val="BodyText"/>
        <w:spacing w:before="6"/>
        <w:rPr>
          <w:sz w:val="26"/>
        </w:rPr>
      </w:pPr>
    </w:p>
    <w:p>
      <w:pPr>
        <w:spacing w:after="0"/>
        <w:rPr>
          <w:sz w:val="26"/>
        </w:rPr>
        <w:sectPr>
          <w:headerReference w:type="default" r:id="rId43"/>
          <w:footerReference w:type="default" r:id="rId44"/>
          <w:pgSz w:w="17860" w:h="25270"/>
          <w:pgMar w:top="1040" w:right="0" w:bottom="1240" w:left="1440" w:header="712" w:footer="1057"/>
          <w:pgNumType w:start="20"/>
          <w:cols w:space="708"/>
        </w:sectPr>
      </w:pPr>
    </w:p>
    <w:p>
      <w:pPr>
        <w:pStyle w:val="BodyText"/>
        <w:spacing w:before="101"/>
        <w:ind w:right="246"/>
        <w:jc w:val="right"/>
        <w:rPr>
          <w:rFonts w:ascii="Wingdings" w:hAnsi="Wingdings"/>
        </w:rPr>
      </w:pPr>
      <w:r>
        <w:rPr>
          <w:rFonts w:ascii="Wingdings" w:hAnsi="Wingdings"/>
          <w:w w:val="100"/>
        </w:rPr>
        <w:sym w:font="Wingdings" w:char="F0FC"/>
      </w:r>
    </w:p>
    <w:p>
      <w:pPr>
        <w:pStyle w:val="BodyText"/>
        <w:rPr>
          <w:rFonts w:ascii="Wingdings" w:hAnsi="Wingdings"/>
          <w:sz w:val="40"/>
        </w:rPr>
      </w:pPr>
    </w:p>
    <w:p>
      <w:pPr>
        <w:pStyle w:val="BodyText"/>
        <w:spacing w:before="1"/>
        <w:ind w:left="954"/>
      </w:pPr>
      <w:r>
        <w:t>录在案。</w:t>
      </w:r>
    </w:p>
    <w:p>
      <w:pPr>
        <w:pStyle w:val="BodyText"/>
        <w:spacing w:before="59"/>
        <w:ind w:left="323"/>
      </w:pPr>
      <w:r>
        <w:br w:type="column"/>
      </w:r>
      <w:r>
        <w:t>对质检不合格处应及时标记并补焊。经再检合格后方可销号并记</w:t>
      </w:r>
    </w:p>
    <w:p>
      <w:pPr>
        <w:spacing w:after="0"/>
        <w:sectPr>
          <w:headerReference w:type="default" r:id="rId45"/>
          <w:footerReference w:type="default" r:id="rId46"/>
          <w:type w:val="continuous"/>
          <w:pgSz w:w="17860" w:h="25270"/>
          <w:pgMar w:top="1040" w:right="0" w:bottom="1240" w:left="1440" w:header="708" w:footer="708"/>
          <w:pgNumType w:start="21"/>
          <w:cols w:num="2" w:space="708" w:equalWidth="0">
            <w:col w:w="2640" w:space="40"/>
            <w:col w:w="13740" w:space="0"/>
          </w:cols>
        </w:sectPr>
      </w:pPr>
    </w:p>
    <w:p>
      <w:pPr>
        <w:pStyle w:val="BodyText"/>
        <w:spacing w:before="1"/>
        <w:rPr>
          <w:sz w:val="25"/>
        </w:rPr>
      </w:pPr>
    </w:p>
    <w:p>
      <w:pPr>
        <w:pStyle w:val="ListParagraph"/>
        <w:numPr>
          <w:ilvl w:val="0"/>
          <w:numId w:val="14"/>
        </w:numPr>
        <w:tabs>
          <w:tab w:val="left" w:pos="2588"/>
          <w:tab w:val="left" w:pos="2589"/>
        </w:tabs>
        <w:spacing w:before="59" w:after="0" w:line="240" w:lineRule="auto"/>
        <w:ind w:left="2589" w:right="0" w:hanging="638"/>
        <w:jc w:val="left"/>
        <w:rPr>
          <w:sz w:val="42"/>
        </w:rPr>
      </w:pPr>
      <w:r>
        <w:rPr>
          <w:sz w:val="42"/>
        </w:rPr>
        <w:t>质量保障小组应负责检测的监督及管理。</w:t>
      </w:r>
    </w:p>
    <w:p>
      <w:pPr>
        <w:pStyle w:val="ListParagraph"/>
        <w:numPr>
          <w:ilvl w:val="0"/>
          <w:numId w:val="14"/>
        </w:numPr>
        <w:tabs>
          <w:tab w:val="left" w:pos="2588"/>
          <w:tab w:val="left" w:pos="2589"/>
        </w:tabs>
        <w:spacing w:before="398" w:after="0" w:line="240" w:lineRule="auto"/>
        <w:ind w:left="2589" w:right="0" w:hanging="638"/>
        <w:jc w:val="left"/>
        <w:rPr>
          <w:sz w:val="42"/>
        </w:rPr>
      </w:pPr>
      <w:r>
        <w:rPr>
          <w:spacing w:val="8"/>
          <w:sz w:val="42"/>
        </w:rPr>
        <w:t>应随时保护已焊接合格的</w:t>
      </w:r>
      <w:r>
        <w:rPr>
          <w:sz w:val="42"/>
        </w:rPr>
        <w:t>HDPE</w:t>
      </w:r>
      <w:r>
        <w:rPr>
          <w:spacing w:val="-13"/>
          <w:sz w:val="42"/>
        </w:rPr>
        <w:t xml:space="preserve"> 土工膜不受任何损坏。</w:t>
      </w:r>
    </w:p>
    <w:p>
      <w:pPr>
        <w:pStyle w:val="BodyText"/>
        <w:spacing w:before="217"/>
        <w:ind w:left="2013"/>
      </w:pPr>
      <w:r>
        <w:t>②气密性检测</w:t>
      </w:r>
    </w:p>
    <w:p>
      <w:pPr>
        <w:spacing w:after="0"/>
        <w:sectPr>
          <w:headerReference w:type="default" r:id="rId47"/>
          <w:footerReference w:type="default" r:id="rId48"/>
          <w:type w:val="continuous"/>
          <w:pgSz w:w="17860" w:h="25270"/>
          <w:pgMar w:top="1040" w:right="0" w:bottom="1240" w:left="1440" w:header="708" w:footer="708"/>
          <w:pgNumType w:start="22"/>
          <w:cols w:space="708"/>
        </w:sectPr>
      </w:pPr>
    </w:p>
    <w:p>
      <w:pPr>
        <w:pStyle w:val="BodyText"/>
        <w:rPr>
          <w:sz w:val="20"/>
        </w:rPr>
      </w:pPr>
    </w:p>
    <w:p>
      <w:pPr>
        <w:pStyle w:val="BodyText"/>
        <w:rPr>
          <w:sz w:val="20"/>
        </w:rPr>
      </w:pPr>
    </w:p>
    <w:p>
      <w:pPr>
        <w:pStyle w:val="BodyText"/>
        <w:rPr>
          <w:sz w:val="20"/>
        </w:rPr>
      </w:pPr>
    </w:p>
    <w:p>
      <w:pPr>
        <w:pStyle w:val="BodyText"/>
        <w:spacing w:before="8"/>
        <w:rPr>
          <w:sz w:val="26"/>
        </w:rPr>
      </w:pPr>
    </w:p>
    <w:p>
      <w:pPr>
        <w:pStyle w:val="BodyText"/>
        <w:spacing w:before="42" w:line="364" w:lineRule="auto"/>
        <w:ind w:left="1113" w:right="1768" w:firstLine="899"/>
      </w:pPr>
      <w:r>
        <w:t>焊缝检测方法应采用充气法，即双焊缝加压检测法，检测设备采用气压式检测仪；检测仪由气泵、压力表、接头的橡皮管、针嘴组成。</w:t>
      </w:r>
    </w:p>
    <w:p>
      <w:pPr>
        <w:pStyle w:val="BodyText"/>
        <w:spacing w:before="2" w:line="364" w:lineRule="auto"/>
        <w:ind w:left="1113" w:right="1408" w:firstLine="838"/>
      </w:pPr>
      <w:r>
        <w:rPr>
          <w:spacing w:val="-1"/>
        </w:rPr>
        <w:t>加压检测法检测程序：将受测焊缝的两端密封。将针嘴插入双焊缝中。</w:t>
      </w:r>
      <w:r>
        <w:rPr>
          <w:spacing w:val="-15"/>
        </w:rPr>
        <w:t xml:space="preserve">将气泵加压到 </w:t>
      </w:r>
      <w:r>
        <w:t>160－200kPa</w:t>
      </w:r>
      <w:r>
        <w:rPr>
          <w:spacing w:val="-2"/>
        </w:rPr>
        <w:t>，关闭阀门，停止加压，保持压力</w:t>
      </w:r>
      <w:r>
        <w:t>5</w:t>
      </w:r>
      <w:r>
        <w:rPr>
          <w:spacing w:val="-18"/>
        </w:rPr>
        <w:t xml:space="preserve"> 分钟，若压</w:t>
      </w:r>
      <w:r>
        <w:rPr>
          <w:spacing w:val="-27"/>
        </w:rPr>
        <w:t xml:space="preserve">力值降低幅度不超过 </w:t>
      </w:r>
      <w:r>
        <w:rPr>
          <w:spacing w:val="-13"/>
        </w:rPr>
        <w:t>30KPa</w:t>
      </w:r>
      <w:r>
        <w:rPr>
          <w:spacing w:val="-11"/>
        </w:rPr>
        <w:t>，则该条焊缝检测合格。如果压力外泄超过上述值或不稳定，标出问题区并依技术规范规定检测并修补。加压检测完毕， 立即对检测时所做的冲气打压穿孔全部用挤压焊接法补堵。</w:t>
      </w:r>
    </w:p>
    <w:p>
      <w:pPr>
        <w:pStyle w:val="BodyText"/>
        <w:spacing w:before="203"/>
        <w:ind w:left="1951"/>
      </w:pPr>
      <w:r>
        <w:t>充气压力测试的结果由现场质检员记录。</w:t>
      </w:r>
    </w:p>
    <w:p>
      <w:pPr>
        <w:pStyle w:val="BodyText"/>
        <w:spacing w:before="199"/>
        <w:ind w:left="2131"/>
      </w:pPr>
      <w:r>
        <w:t>③真空盒检测</w:t>
      </w:r>
    </w:p>
    <w:p>
      <w:pPr>
        <w:pStyle w:val="BodyText"/>
        <w:spacing w:before="283" w:line="364" w:lineRule="auto"/>
        <w:ind w:left="1113" w:right="1622" w:firstLine="1018"/>
      </w:pPr>
      <w:r>
        <w:t>其目的在于检验单轨焊缝的气密性，也是检验焊缝施工质量的手段之</w:t>
      </w:r>
      <w:r>
        <w:rPr>
          <w:spacing w:val="-34"/>
        </w:rPr>
        <w:t>一。真空检测时，要注意以下几点：第一，真空表的负压值不应低于</w:t>
      </w:r>
      <w:r>
        <w:t>0.02Mpa</w:t>
      </w:r>
      <w:r>
        <w:rPr>
          <w:spacing w:val="-47"/>
        </w:rPr>
        <w:t xml:space="preserve"> , </w:t>
      </w:r>
      <w:r>
        <w:rPr>
          <w:spacing w:val="-54"/>
        </w:rPr>
        <w:t xml:space="preserve">并仔细观察 </w:t>
      </w:r>
      <w:r>
        <w:t>30</w:t>
      </w:r>
      <w:r>
        <w:rPr>
          <w:spacing w:val="-12"/>
        </w:rPr>
        <w:t xml:space="preserve"> 秒钟，焊缝上无肥皂泡产生即为合格；第二，涂刷在焊缝上</w:t>
      </w:r>
      <w:r>
        <w:t>的肥皂液应具有需要的浓度，不得以洗衣粉代替，肥皂液的涂刷宽度和长度要大于真空盒的宽度和长度，且应涂涮均匀，不得有漏刷现象；第三， 后一段的测试要将前一段已经测试的焊缝压盖一部分，其覆盖长度不应小</w:t>
      </w:r>
      <w:r>
        <w:rPr>
          <w:spacing w:val="-53"/>
        </w:rPr>
        <w:t xml:space="preserve">于 </w:t>
      </w:r>
      <w:r>
        <w:t>75mm。</w:t>
      </w:r>
    </w:p>
    <w:p>
      <w:pPr>
        <w:pStyle w:val="BodyText"/>
        <w:spacing w:before="6"/>
        <w:ind w:left="2131"/>
      </w:pPr>
      <w:r>
        <w:t>④剪力测试和剥离测试</w:t>
      </w:r>
    </w:p>
    <w:p>
      <w:pPr>
        <w:pStyle w:val="BodyText"/>
        <w:spacing w:before="7"/>
        <w:rPr>
          <w:sz w:val="37"/>
        </w:rPr>
      </w:pPr>
    </w:p>
    <w:p>
      <w:pPr>
        <w:pStyle w:val="BodyText"/>
        <w:spacing w:line="417" w:lineRule="auto"/>
        <w:ind w:left="1113" w:right="1811" w:firstLine="856"/>
        <w:jc w:val="both"/>
      </w:pPr>
      <w:r>
        <w:t>这两项实验是检验焊缝施工质量的基本手段。在每天上、下午开始施工前，都必须做该项试验，作为调整焊机状态的标准。剪力实验是检测焊缝的剪切强度，剥离实验的目的是检测焊缝的剥离强度。</w:t>
      </w:r>
    </w:p>
    <w:p>
      <w:pPr>
        <w:pStyle w:val="BodyText"/>
        <w:ind w:left="1969"/>
      </w:pPr>
      <w:r>
        <w:t>每班施工前的试焊小样进行焊前剥离及剪切现场测试。此外，每完成</w:t>
      </w:r>
    </w:p>
    <w:p>
      <w:pPr>
        <w:pStyle w:val="BodyText"/>
        <w:rPr>
          <w:sz w:val="31"/>
        </w:rPr>
      </w:pPr>
    </w:p>
    <w:p>
      <w:pPr>
        <w:pStyle w:val="BodyText"/>
        <w:spacing w:before="1" w:line="417" w:lineRule="auto"/>
        <w:ind w:left="1951" w:right="4594" w:hanging="839"/>
      </w:pPr>
      <w:r>
        <w:t>150m 长焊缝即进行一次取样及现场剥离及剪切现场测试。现场撕裂及剪切测试每组试样个数为 3 个。</w:t>
      </w:r>
    </w:p>
    <w:p>
      <w:pPr>
        <w:pStyle w:val="BodyText"/>
        <w:ind w:left="1951"/>
      </w:pPr>
      <w:r>
        <w:rPr>
          <w:spacing w:val="-12"/>
        </w:rPr>
        <w:t>现场测试取每组</w:t>
      </w:r>
      <w:r>
        <w:t>（3</w:t>
      </w:r>
      <w:r>
        <w:rPr>
          <w:spacing w:val="-55"/>
        </w:rPr>
        <w:t xml:space="preserve"> 个</w:t>
      </w:r>
      <w:r>
        <w:rPr>
          <w:spacing w:val="-73"/>
        </w:rPr>
        <w:t>）</w:t>
      </w:r>
      <w:r>
        <w:t>试样测试的全部试样强度都应大于母材强度作</w:t>
      </w:r>
    </w:p>
    <w:p>
      <w:pPr>
        <w:spacing w:after="0"/>
        <w:sectPr>
          <w:headerReference w:type="default" r:id="rId49"/>
          <w:footerReference w:type="default" r:id="rId50"/>
          <w:pgSz w:w="17860" w:h="25270"/>
          <w:pgMar w:top="1040" w:right="0" w:bottom="1240" w:left="1440" w:header="712" w:footer="1057"/>
          <w:pgNumType w:start="23"/>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22"/>
        </w:rPr>
      </w:pPr>
    </w:p>
    <w:p>
      <w:pPr>
        <w:pStyle w:val="BodyText"/>
        <w:spacing w:before="42"/>
        <w:ind w:left="1113"/>
      </w:pPr>
      <w:r>
        <w:t>为合格标准。</w:t>
      </w:r>
    </w:p>
    <w:p>
      <w:pPr>
        <w:pStyle w:val="BodyText"/>
        <w:spacing w:before="1"/>
        <w:rPr>
          <w:sz w:val="31"/>
        </w:rPr>
      </w:pPr>
    </w:p>
    <w:p>
      <w:pPr>
        <w:pStyle w:val="BodyText"/>
        <w:ind w:left="1969"/>
      </w:pPr>
      <w:r>
        <w:t>11、工程验收</w:t>
      </w:r>
    </w:p>
    <w:p>
      <w:pPr>
        <w:pStyle w:val="BodyText"/>
        <w:rPr>
          <w:sz w:val="31"/>
        </w:rPr>
      </w:pPr>
    </w:p>
    <w:p>
      <w:pPr>
        <w:pStyle w:val="BodyText"/>
        <w:spacing w:before="1"/>
        <w:ind w:left="1969"/>
      </w:pPr>
      <w:r>
        <w:t>工程完工后应及时要求业主和监理进行验收。</w:t>
      </w:r>
    </w:p>
    <w:p>
      <w:pPr>
        <w:pStyle w:val="BodyText"/>
        <w:rPr>
          <w:sz w:val="31"/>
        </w:rPr>
      </w:pPr>
    </w:p>
    <w:p>
      <w:pPr>
        <w:pStyle w:val="BodyText"/>
        <w:spacing w:line="417" w:lineRule="auto"/>
        <w:ind w:left="1113" w:right="1811" w:firstLine="856"/>
      </w:pPr>
      <w:r>
        <w:t>验收时应提供完整和正确的施工技术文件（</w:t>
      </w:r>
      <w:r>
        <w:rPr>
          <w:spacing w:val="-2"/>
        </w:rPr>
        <w:t>包括各阶段的施工记录、</w:t>
      </w:r>
      <w:r>
        <w:t>检测记录、阶段验收报告、竣工图、竣工报告等</w:t>
      </w:r>
      <w:r>
        <w:rPr>
          <w:spacing w:val="-237"/>
        </w:rPr>
        <w:t>）</w:t>
      </w:r>
      <w:r>
        <w:t>。</w:t>
      </w:r>
    </w:p>
    <w:p>
      <w:pPr>
        <w:pStyle w:val="BodyText"/>
        <w:ind w:left="1969"/>
      </w:pPr>
      <w:r>
        <w:t>现场随机抽检焊缝和结点质量。</w:t>
      </w:r>
    </w:p>
    <w:p>
      <w:pPr>
        <w:pStyle w:val="BodyText"/>
        <w:spacing w:before="1"/>
        <w:rPr>
          <w:sz w:val="31"/>
        </w:rPr>
      </w:pPr>
    </w:p>
    <w:p>
      <w:pPr>
        <w:pStyle w:val="BodyText"/>
        <w:ind w:left="1951"/>
      </w:pPr>
      <w:r>
        <w:t>必要时可取样化验膜下水质，鉴定防渗效果。</w:t>
      </w:r>
    </w:p>
    <w:p>
      <w:pPr>
        <w:pStyle w:val="BodyText"/>
        <w:spacing w:before="1"/>
        <w:rPr>
          <w:sz w:val="31"/>
        </w:rPr>
      </w:pPr>
    </w:p>
    <w:p>
      <w:pPr>
        <w:pStyle w:val="BodyText"/>
        <w:ind w:left="1969"/>
      </w:pPr>
      <w:r>
        <w:t>12、主要施工设备</w:t>
      </w:r>
    </w:p>
    <w:p>
      <w:pPr>
        <w:pStyle w:val="BodyText"/>
        <w:rPr>
          <w:sz w:val="31"/>
        </w:rPr>
      </w:pPr>
    </w:p>
    <w:p>
      <w:pPr>
        <w:pStyle w:val="BodyText"/>
        <w:spacing w:line="417" w:lineRule="auto"/>
        <w:ind w:left="1113" w:right="1624" w:firstLine="856"/>
      </w:pPr>
      <w:r>
        <w:t>本投标施工单位是国内较早使用HDPE 膜焊接设备的单位之一，拥有大量的进口及国产施工设备，能够满足同时进行数个大型项目的需要，拟投入本次工程的施工设备见表。</w:t>
      </w:r>
    </w:p>
    <w:p>
      <w:pPr>
        <w:pStyle w:val="BodyText"/>
        <w:spacing w:line="417" w:lineRule="auto"/>
        <w:ind w:left="1113" w:right="1608" w:firstLine="856"/>
      </w:pPr>
      <w:r>
        <w:t>另外，本投标施工单位的实验室拥有专业的HDPE 膜质量检测设备，且距工程地点很近，能够提供现场不便检测的项目服务。</w:t>
      </w:r>
    </w:p>
    <w:p>
      <w:pPr>
        <w:pStyle w:val="Heading2"/>
        <w:tabs>
          <w:tab w:val="left" w:pos="2912"/>
        </w:tabs>
      </w:pPr>
      <w:r>
        <w:t>第五节</w:t>
        <w:tab/>
        <w:t>导渗、导气系统</w:t>
      </w:r>
    </w:p>
    <w:p>
      <w:pPr>
        <w:pStyle w:val="BodyText"/>
        <w:spacing w:before="11"/>
        <w:rPr>
          <w:sz w:val="61"/>
        </w:rPr>
      </w:pPr>
    </w:p>
    <w:p>
      <w:pPr>
        <w:pStyle w:val="BodyText"/>
        <w:spacing w:line="417" w:lineRule="auto"/>
        <w:ind w:left="1113" w:right="1653" w:firstLine="856"/>
      </w:pPr>
      <w:r>
        <w:rPr>
          <w:spacing w:val="-11"/>
        </w:rPr>
        <w:t xml:space="preserve">导渗盲沟最底部为 </w:t>
      </w:r>
      <w:r>
        <w:t>150mm</w:t>
      </w:r>
      <w:r>
        <w:rPr>
          <w:spacing w:val="-6"/>
        </w:rPr>
        <w:t xml:space="preserve"> 厚粗砂层，上设</w:t>
      </w:r>
      <w:r>
        <w:t>d300</w:t>
      </w:r>
      <w:r>
        <w:rPr>
          <w:spacing w:val="-13"/>
        </w:rPr>
        <w:t xml:space="preserve"> 聚丙烯中空管。周围铺</w:t>
      </w:r>
      <w:r>
        <w:rPr>
          <w:spacing w:val="-26"/>
        </w:rPr>
        <w:t xml:space="preserve">设 </w:t>
      </w:r>
      <w:r>
        <w:t>1000mm</w:t>
      </w:r>
      <w:r>
        <w:rPr>
          <w:spacing w:val="-14"/>
        </w:rPr>
        <w:t xml:space="preserve"> 厚卵石层，外包 </w:t>
      </w:r>
      <w:r>
        <w:t>100g/m</w:t>
      </w:r>
      <w:r>
        <w:rPr>
          <w:position w:val="3"/>
          <w:sz w:val="29"/>
        </w:rPr>
        <w:t>2</w:t>
      </w:r>
      <w:r>
        <w:t>土工布。所选用的卵石为严格筛选后的级配石料，石料坚实，并具有浑圆的表面。聚丙烯中空管为预制成品，压</w:t>
      </w:r>
      <w:r>
        <w:rPr>
          <w:spacing w:val="-16"/>
        </w:rPr>
        <w:t xml:space="preserve">缩强度不小于 </w:t>
      </w:r>
      <w:r>
        <w:t>400Kpa。</w:t>
      </w:r>
    </w:p>
    <w:p>
      <w:pPr>
        <w:pStyle w:val="BodyText"/>
        <w:spacing w:line="417" w:lineRule="auto"/>
        <w:ind w:left="1113" w:right="1609" w:firstLine="856"/>
        <w:jc w:val="both"/>
      </w:pPr>
      <w:r>
        <w:rPr>
          <w:spacing w:val="-12"/>
        </w:rPr>
        <w:t xml:space="preserve">导气石笼全场共 </w:t>
      </w:r>
      <w:r>
        <w:t>24</w:t>
      </w:r>
      <w:r>
        <w:rPr>
          <w:spacing w:val="-12"/>
        </w:rPr>
        <w:t xml:space="preserve"> 座，梅花型设点。导气石笼的最外围是铅丝网笼， </w:t>
      </w:r>
      <w:r>
        <w:rPr>
          <w:spacing w:val="7"/>
        </w:rPr>
        <w:t>施工时购买成品。中心为</w:t>
      </w:r>
      <w:r>
        <w:t>d200</w:t>
      </w:r>
      <w:r>
        <w:rPr>
          <w:spacing w:val="-10"/>
        </w:rPr>
        <w:t xml:space="preserve"> 聚丙烯中空管，四周是级配石料填充。导气</w:t>
      </w:r>
      <w:r>
        <w:rPr>
          <w:spacing w:val="-7"/>
        </w:rPr>
        <w:t>石笼的高度随垃圾填埋高度的增加分阶段建设，初期修建</w:t>
      </w:r>
      <w:r>
        <w:t>1.5</w:t>
      </w:r>
      <w:r>
        <w:rPr>
          <w:spacing w:val="-36"/>
        </w:rPr>
        <w:t xml:space="preserve"> 米。</w:t>
      </w:r>
    </w:p>
    <w:p>
      <w:pPr>
        <w:spacing w:after="0" w:line="417" w:lineRule="auto"/>
        <w:jc w:val="both"/>
        <w:sectPr>
          <w:headerReference w:type="default" r:id="rId51"/>
          <w:footerReference w:type="default" r:id="rId52"/>
          <w:pgSz w:w="17860" w:h="25270"/>
          <w:pgMar w:top="1040" w:right="0" w:bottom="1240" w:left="1440" w:header="712" w:footer="1057"/>
          <w:pgNumType w:start="24"/>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18"/>
        </w:rPr>
      </w:pPr>
    </w:p>
    <w:p>
      <w:pPr>
        <w:pStyle w:val="Heading2"/>
        <w:tabs>
          <w:tab w:val="left" w:pos="2912"/>
        </w:tabs>
        <w:spacing w:before="37"/>
      </w:pPr>
      <w:r>
        <w:t>第六节</w:t>
        <w:tab/>
        <w:t>污水调节池</w:t>
      </w:r>
    </w:p>
    <w:p>
      <w:pPr>
        <w:pStyle w:val="BodyText"/>
        <w:spacing w:before="1"/>
        <w:rPr>
          <w:sz w:val="62"/>
        </w:rPr>
      </w:pPr>
    </w:p>
    <w:p>
      <w:pPr>
        <w:pStyle w:val="ListParagraph"/>
        <w:numPr>
          <w:ilvl w:val="0"/>
          <w:numId w:val="19"/>
        </w:numPr>
        <w:tabs>
          <w:tab w:val="left" w:pos="2374"/>
        </w:tabs>
        <w:spacing w:before="0" w:after="0" w:line="240" w:lineRule="auto"/>
        <w:ind w:left="2374" w:right="0" w:hanging="423"/>
        <w:jc w:val="left"/>
        <w:rPr>
          <w:sz w:val="42"/>
        </w:rPr>
      </w:pPr>
      <w:r>
        <w:rPr>
          <w:sz w:val="42"/>
        </w:rPr>
        <w:t>基坑挖土</w:t>
      </w:r>
    </w:p>
    <w:p>
      <w:pPr>
        <w:pStyle w:val="BodyText"/>
        <w:spacing w:before="1"/>
        <w:rPr>
          <w:sz w:val="31"/>
        </w:rPr>
      </w:pPr>
    </w:p>
    <w:p>
      <w:pPr>
        <w:pStyle w:val="BodyText"/>
        <w:spacing w:line="417" w:lineRule="auto"/>
        <w:ind w:left="1113" w:right="1617" w:firstLine="853"/>
      </w:pPr>
      <w:r>
        <w:t>因基坑较深，挖土采用挖掘机施工，基底四周预留80cm 工作面，放坡1：0.7。挖土时技术员跟班测量标高，待接近基底时，测设标高控制桩， 基底预留 15cm 土层，采用人工清除，防止机械超挖。挖出的土方堆至 2m 以外，留够回填用土，余土用汽车运至堆土处堆放。</w:t>
      </w:r>
    </w:p>
    <w:p>
      <w:pPr>
        <w:pStyle w:val="BodyText"/>
        <w:spacing w:line="417" w:lineRule="auto"/>
        <w:ind w:left="1113" w:right="1478" w:firstLine="946"/>
      </w:pPr>
      <w:r>
        <w:t>基坑挖完后，马上进行钎探。探眼布置按规范布眼，钎眼用细砂灌实</w:t>
      </w:r>
      <w:r>
        <w:rPr>
          <w:spacing w:val="3"/>
        </w:rPr>
        <w:t>后盖砖，并编号以备核察，钎探采用</w:t>
      </w:r>
      <w:r>
        <w:t>2</w:t>
      </w:r>
      <w:r>
        <w:rPr>
          <w:spacing w:val="-65"/>
        </w:rPr>
        <w:t xml:space="preserve"> 钎 </w:t>
      </w:r>
      <w:r>
        <w:t>2</w:t>
      </w:r>
      <w:r>
        <w:rPr>
          <w:spacing w:val="-22"/>
        </w:rPr>
        <w:t xml:space="preserve"> 组作业，人员配备为 </w:t>
      </w:r>
      <w:r>
        <w:t>3+3</w:t>
      </w:r>
      <w:r>
        <w:rPr>
          <w:spacing w:val="-31"/>
        </w:rPr>
        <w:t xml:space="preserve"> 组合， </w:t>
      </w:r>
      <w:r>
        <w:t>提拔探钎由倒链进行，以加快施工进度。钎探完毕及时组织各方验槽，以利下道工序施工。</w:t>
      </w:r>
    </w:p>
    <w:p>
      <w:pPr>
        <w:pStyle w:val="BodyText"/>
        <w:spacing w:line="417" w:lineRule="auto"/>
        <w:ind w:left="1113" w:right="1670" w:firstLine="946"/>
      </w:pPr>
      <w:r>
        <w:rPr>
          <w:spacing w:val="-6"/>
        </w:rPr>
        <w:t xml:space="preserve">回填土方，采用 </w:t>
      </w:r>
      <w:r>
        <w:t>1</w:t>
      </w:r>
      <w:r>
        <w:rPr>
          <w:spacing w:val="-9"/>
        </w:rPr>
        <w:t xml:space="preserve"> 辆铲车、</w:t>
      </w:r>
      <w:r>
        <w:t>2</w:t>
      </w:r>
      <w:r>
        <w:rPr>
          <w:spacing w:val="-8"/>
        </w:rPr>
        <w:t xml:space="preserve"> 辆自卸汽车倒运土方，人工分层夯填， </w:t>
      </w:r>
      <w:r>
        <w:t>分层厚度及土试验按规范执行。</w:t>
      </w:r>
    </w:p>
    <w:p>
      <w:pPr>
        <w:pStyle w:val="BodyText"/>
        <w:spacing w:line="417" w:lineRule="auto"/>
        <w:ind w:left="1113" w:right="1721" w:firstLine="946"/>
      </w:pPr>
      <w:r>
        <w:t>池外排水管沟，采用人工挖槽，清理后，设置管道，再进行基坑上层土方回填，填土前管道做临时封堵。</w:t>
      </w:r>
    </w:p>
    <w:p>
      <w:pPr>
        <w:pStyle w:val="BodyText"/>
        <w:spacing w:line="537" w:lineRule="exact"/>
        <w:ind w:left="2059"/>
      </w:pPr>
      <w:r>
        <w:t>⒉垫层施工</w:t>
      </w:r>
    </w:p>
    <w:p>
      <w:pPr>
        <w:pStyle w:val="BodyText"/>
        <w:spacing w:before="11"/>
        <w:rPr>
          <w:sz w:val="30"/>
        </w:rPr>
      </w:pPr>
    </w:p>
    <w:p>
      <w:pPr>
        <w:pStyle w:val="BodyText"/>
        <w:spacing w:before="1" w:line="417" w:lineRule="auto"/>
        <w:ind w:left="1113" w:right="1668" w:firstLine="946"/>
      </w:pPr>
      <w:r>
        <w:rPr>
          <w:spacing w:val="-9"/>
        </w:rPr>
        <w:t xml:space="preserve">砼施工：采用 </w:t>
      </w:r>
      <w:r>
        <w:t>C10</w:t>
      </w:r>
      <w:r>
        <w:rPr>
          <w:spacing w:val="-9"/>
        </w:rPr>
        <w:t xml:space="preserve"> 商砼供料，汽车泵布料机水平及垂直运输，平板振</w:t>
      </w:r>
      <w:r>
        <w:t>捣器捣实。</w:t>
      </w:r>
    </w:p>
    <w:p>
      <w:pPr>
        <w:pStyle w:val="BodyText"/>
        <w:ind w:left="2059"/>
      </w:pPr>
      <w:r>
        <w:t>⒊钢筋工程</w:t>
      </w:r>
    </w:p>
    <w:p>
      <w:pPr>
        <w:pStyle w:val="BodyText"/>
        <w:rPr>
          <w:sz w:val="31"/>
        </w:rPr>
      </w:pPr>
    </w:p>
    <w:p>
      <w:pPr>
        <w:pStyle w:val="BodyText"/>
        <w:spacing w:before="1"/>
        <w:ind w:left="2059"/>
      </w:pPr>
      <w:r>
        <w:t>①钢筋接收</w:t>
      </w:r>
    </w:p>
    <w:p>
      <w:pPr>
        <w:pStyle w:val="BodyText"/>
        <w:rPr>
          <w:sz w:val="31"/>
        </w:rPr>
      </w:pPr>
    </w:p>
    <w:p>
      <w:pPr>
        <w:pStyle w:val="BodyText"/>
        <w:spacing w:line="417" w:lineRule="auto"/>
        <w:ind w:left="1113" w:right="1721" w:firstLine="946"/>
      </w:pPr>
      <w:r>
        <w:t>钢材进场，收集钢材合格证明，并请监理旁站取样试验，双控资料及时归档，做好追踪记录。</w:t>
      </w:r>
    </w:p>
    <w:p>
      <w:pPr>
        <w:pStyle w:val="BodyText"/>
        <w:ind w:left="1113"/>
      </w:pPr>
      <w:r>
        <w:t>②钢筋下料、绑扎</w:t>
      </w:r>
    </w:p>
    <w:p>
      <w:pPr>
        <w:spacing w:after="0"/>
        <w:sectPr>
          <w:headerReference w:type="default" r:id="rId53"/>
          <w:footerReference w:type="default" r:id="rId54"/>
          <w:pgSz w:w="17860" w:h="25270"/>
          <w:pgMar w:top="1040" w:right="0" w:bottom="1240" w:left="1440" w:header="712" w:footer="1057"/>
          <w:pgNumType w:start="25"/>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22"/>
        </w:rPr>
      </w:pPr>
    </w:p>
    <w:p>
      <w:pPr>
        <w:pStyle w:val="BodyText"/>
        <w:spacing w:before="42" w:line="417" w:lineRule="auto"/>
        <w:ind w:left="1113" w:right="1634" w:firstLine="946"/>
        <w:jc w:val="right"/>
      </w:pPr>
      <w:r>
        <w:pict>
          <v:line id="_x0000_s1040" style="mso-position-horizontal-relative:page;position:absolute;z-index:-251656192" from="337pt,76.6pt" to="434pt,76.6pt" stroked="t" strokecolor="black" strokeweight="2pt">
            <v:stroke dashstyle="solid"/>
          </v:line>
        </w:pict>
      </w:r>
      <w:r>
        <w:t>A.</w:t>
      </w:r>
      <w:r>
        <w:rPr>
          <w:spacing w:val="-15"/>
        </w:rPr>
        <w:t xml:space="preserve">该工程 </w:t>
      </w:r>
      <w:r>
        <w:t>I</w:t>
      </w:r>
      <w:r>
        <w:rPr>
          <w:spacing w:val="-8"/>
        </w:rPr>
        <w:t xml:space="preserve"> 级钢筋较多，冷拉后严格按照设计及规范要求下料；底板筋下层筋绑扎后，架设</w:t>
      </w:r>
      <w:r>
        <w:rPr>
          <w:spacing w:val="-3"/>
        </w:rPr>
        <w:t>Φ14@1000</w:t>
      </w:r>
      <w:r>
        <w:rPr>
          <w:spacing w:val="-1"/>
        </w:rPr>
        <w:t>的铁马凳，以利上层钢筋网绑扎和固定。</w:t>
      </w:r>
      <w:r>
        <w:t>B.墙筋插铁，通高设置，不设接头。底板砼浇筑前，水平筋仅绑至扩</w:t>
      </w:r>
    </w:p>
    <w:p>
      <w:pPr>
        <w:pStyle w:val="BodyText"/>
        <w:spacing w:line="537" w:lineRule="exact"/>
        <w:ind w:left="1113"/>
      </w:pPr>
      <w:r>
        <w:t>大角上 250mm，以上部分扎临时固定筋，并用钢管斜撑临时固定。</w:t>
      </w:r>
    </w:p>
    <w:p>
      <w:pPr>
        <w:pStyle w:val="BodyText"/>
        <w:spacing w:before="1"/>
        <w:rPr>
          <w:sz w:val="31"/>
        </w:rPr>
      </w:pPr>
    </w:p>
    <w:p>
      <w:pPr>
        <w:pStyle w:val="BodyText"/>
        <w:spacing w:line="417" w:lineRule="auto"/>
        <w:ind w:left="1113" w:right="1690" w:firstLine="946"/>
      </w:pPr>
      <w:r>
        <w:t>C.底板筋绑扎时，在柱子墩边线预埋</w:t>
      </w:r>
      <w:r>
        <w:rPr>
          <w:spacing w:val="-7"/>
        </w:rPr>
        <w:t>Φ25</w:t>
      </w:r>
      <w:r>
        <w:rPr>
          <w:spacing w:val="-12"/>
        </w:rPr>
        <w:t xml:space="preserve"> 的钢筋，间距 </w:t>
      </w:r>
      <w:r>
        <w:t>7.8m</w:t>
      </w:r>
      <w:r>
        <w:rPr>
          <w:spacing w:val="-15"/>
        </w:rPr>
        <w:t xml:space="preserve"> 一根， </w:t>
      </w:r>
      <w:r>
        <w:t>用于临时固定和支撑墙模使用。</w:t>
      </w:r>
    </w:p>
    <w:p>
      <w:pPr>
        <w:pStyle w:val="BodyText"/>
        <w:spacing w:line="417" w:lineRule="auto"/>
        <w:ind w:left="2059" w:right="1463"/>
      </w:pPr>
      <w:r>
        <w:t>D.</w:t>
      </w:r>
      <w:r>
        <w:rPr>
          <w:spacing w:val="-13"/>
        </w:rPr>
        <w:t>墙体水平筋采用绑扎搭接接头，搭接长度和位置按设计和规范要求。</w:t>
      </w:r>
      <w:r>
        <w:t>E.墙体钢筋绑扎后立模前，在墙模上中各加一排</w:t>
      </w:r>
      <w:r>
        <w:rPr>
          <w:spacing w:val="-14"/>
        </w:rPr>
        <w:t>Φ12</w:t>
      </w:r>
      <w:r>
        <w:rPr>
          <w:spacing w:val="-25"/>
        </w:rPr>
        <w:t xml:space="preserve"> 定位筋</w:t>
      </w:r>
      <w:r>
        <w:t>（带止水</w:t>
      </w:r>
    </w:p>
    <w:p>
      <w:pPr>
        <w:pStyle w:val="BodyText"/>
        <w:spacing w:line="537" w:lineRule="exact"/>
        <w:ind w:left="1113"/>
      </w:pPr>
      <w:r>
        <w:t>环）@2400 梅花型布置，用于保证墙体断面尺寸，定位筋与墙筋点焊连接。</w:t>
      </w:r>
    </w:p>
    <w:p>
      <w:pPr>
        <w:pStyle w:val="BodyText"/>
        <w:spacing w:before="1"/>
        <w:rPr>
          <w:sz w:val="31"/>
        </w:rPr>
      </w:pPr>
    </w:p>
    <w:p>
      <w:pPr>
        <w:pStyle w:val="BodyText"/>
        <w:spacing w:line="417" w:lineRule="auto"/>
        <w:ind w:left="1113" w:right="1690" w:firstLine="946"/>
      </w:pPr>
      <w:r>
        <w:t>F.顶板钢筋按设计要求下料，配筋，上下层网片间及负筋下加</w:t>
      </w:r>
      <w:r>
        <w:rPr>
          <w:spacing w:val="-24"/>
        </w:rPr>
        <w:t>Φ12</w:t>
      </w:r>
      <w:r>
        <w:rPr>
          <w:spacing w:val="-47"/>
        </w:rPr>
        <w:t xml:space="preserve"> 支</w:t>
      </w:r>
      <w:r>
        <w:t>撑马蹬@1m。</w:t>
      </w:r>
    </w:p>
    <w:p>
      <w:pPr>
        <w:pStyle w:val="BodyText"/>
        <w:ind w:left="1113"/>
      </w:pPr>
      <w:r>
        <w:t>③钢筋隐蔽</w:t>
      </w:r>
    </w:p>
    <w:p>
      <w:pPr>
        <w:pStyle w:val="BodyText"/>
        <w:rPr>
          <w:sz w:val="31"/>
        </w:rPr>
      </w:pPr>
    </w:p>
    <w:p>
      <w:pPr>
        <w:pStyle w:val="BodyText"/>
        <w:spacing w:line="417" w:lineRule="auto"/>
        <w:ind w:left="1113" w:right="1721" w:firstLine="946"/>
      </w:pPr>
      <w:r>
        <w:t>钢筋绑扎成型后，由技术员、质检员、钢筋班队长联合验收，发现问题当即处理。</w:t>
      </w:r>
    </w:p>
    <w:p>
      <w:pPr>
        <w:pStyle w:val="BodyText"/>
        <w:spacing w:line="537" w:lineRule="exact"/>
        <w:ind w:left="2059"/>
      </w:pPr>
      <w:r>
        <w:t>4.模板工程</w:t>
      </w:r>
    </w:p>
    <w:p>
      <w:pPr>
        <w:pStyle w:val="BodyText"/>
        <w:spacing w:before="1"/>
        <w:rPr>
          <w:sz w:val="31"/>
        </w:rPr>
      </w:pPr>
    </w:p>
    <w:p>
      <w:pPr>
        <w:pStyle w:val="BodyText"/>
        <w:tabs>
          <w:tab w:val="left" w:pos="5005"/>
        </w:tabs>
        <w:spacing w:line="417" w:lineRule="auto"/>
        <w:ind w:left="1113" w:right="1683" w:firstLine="946"/>
      </w:pPr>
      <w:r>
        <w:t>①模板均选用</w:t>
        <w:tab/>
        <w:t>1.8</w:t>
      </w:r>
      <w:r>
        <w:rPr>
          <w:spacing w:val="-12"/>
        </w:rPr>
        <w:t xml:space="preserve"> </w:t>
      </w:r>
      <w:r>
        <w:t>厚竹胶合板，尺寸为</w:t>
      </w:r>
      <w:r>
        <w:rPr>
          <w:spacing w:val="-9"/>
        </w:rPr>
        <w:t xml:space="preserve"> </w:t>
      </w:r>
      <w:r>
        <w:rPr>
          <w:spacing w:val="-5"/>
        </w:rPr>
        <w:t>1.22×2.44m</w:t>
      </w:r>
      <w:r>
        <w:rPr>
          <w:spacing w:val="-5"/>
          <w:position w:val="3"/>
          <w:sz w:val="29"/>
        </w:rPr>
        <w:t>2</w:t>
      </w:r>
      <w:r>
        <w:rPr>
          <w:spacing w:val="-5"/>
        </w:rPr>
        <w:t>，</w:t>
      </w:r>
      <w:r>
        <w:t>墙模加固</w:t>
      </w:r>
      <w:r>
        <w:rPr>
          <w:spacing w:val="-15"/>
        </w:rPr>
        <w:t>依</w:t>
      </w:r>
      <w:r>
        <w:rPr>
          <w:spacing w:val="104"/>
        </w:rPr>
        <w:t>靠</w:t>
      </w:r>
      <w:r>
        <w:t>M12</w:t>
      </w:r>
      <w:r>
        <w:rPr>
          <w:spacing w:val="-108"/>
        </w:rPr>
        <w:t xml:space="preserve"> </w:t>
      </w:r>
      <w:r>
        <w:t>止水对拉螺栓，@600—800。</w:t>
      </w:r>
    </w:p>
    <w:p>
      <w:pPr>
        <w:pStyle w:val="BodyText"/>
        <w:ind w:left="2059"/>
      </w:pPr>
      <w:r>
        <w:t>②模板加工</w:t>
      </w:r>
    </w:p>
    <w:p>
      <w:pPr>
        <w:pStyle w:val="BodyText"/>
        <w:spacing w:before="1"/>
        <w:rPr>
          <w:sz w:val="31"/>
        </w:rPr>
      </w:pPr>
    </w:p>
    <w:p>
      <w:pPr>
        <w:pStyle w:val="BodyText"/>
        <w:spacing w:line="417" w:lineRule="auto"/>
        <w:ind w:left="1113" w:right="1721" w:firstLine="946"/>
      </w:pPr>
      <w:r>
        <w:t>严格按照设计的模板设计图加工制作，并按照配模方案进行支设，严禁混用。</w:t>
      </w:r>
    </w:p>
    <w:p>
      <w:pPr>
        <w:pStyle w:val="BodyText"/>
        <w:spacing w:line="537" w:lineRule="exact"/>
        <w:ind w:left="2059"/>
      </w:pPr>
      <w:r>
        <w:t>③模板支设</w:t>
      </w:r>
    </w:p>
    <w:p>
      <w:pPr>
        <w:pStyle w:val="BodyText"/>
        <w:spacing w:before="1"/>
        <w:rPr>
          <w:sz w:val="31"/>
        </w:rPr>
      </w:pPr>
    </w:p>
    <w:p>
      <w:pPr>
        <w:pStyle w:val="ListParagraph"/>
        <w:numPr>
          <w:ilvl w:val="0"/>
          <w:numId w:val="12"/>
        </w:numPr>
        <w:tabs>
          <w:tab w:val="left" w:pos="2482"/>
        </w:tabs>
        <w:spacing w:before="0" w:after="0" w:line="240" w:lineRule="auto"/>
        <w:ind w:left="2482" w:right="0" w:hanging="423"/>
        <w:jc w:val="left"/>
        <w:rPr>
          <w:sz w:val="42"/>
        </w:rPr>
      </w:pPr>
      <w:r>
        <w:rPr>
          <w:sz w:val="42"/>
        </w:rPr>
        <w:t>墙模采用现拼大模板，</w:t>
      </w:r>
      <w:r>
        <w:rPr>
          <w:spacing w:val="3"/>
          <w:sz w:val="42"/>
        </w:rPr>
        <w:t>12T</w:t>
      </w:r>
      <w:r>
        <w:rPr>
          <w:sz w:val="42"/>
        </w:rPr>
        <w:t xml:space="preserve"> 汽车吊运输，采用埋设的钢筋支点做斜</w:t>
      </w:r>
    </w:p>
    <w:p>
      <w:pPr>
        <w:spacing w:after="0" w:line="240" w:lineRule="auto"/>
        <w:jc w:val="left"/>
        <w:rPr>
          <w:sz w:val="42"/>
        </w:rPr>
        <w:sectPr>
          <w:headerReference w:type="default" r:id="rId55"/>
          <w:footerReference w:type="default" r:id="rId56"/>
          <w:pgSz w:w="17860" w:h="25270"/>
          <w:pgMar w:top="1040" w:right="0" w:bottom="1240" w:left="1440" w:header="712" w:footer="1057"/>
          <w:pgNumType w:start="26"/>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22"/>
        </w:rPr>
      </w:pPr>
    </w:p>
    <w:p>
      <w:pPr>
        <w:pStyle w:val="BodyText"/>
        <w:spacing w:before="42"/>
        <w:ind w:left="1113"/>
      </w:pPr>
      <w:r>
        <w:t>撑临时固定，调整后利用满堂脚手架和斜撑加固。</w:t>
      </w:r>
    </w:p>
    <w:p>
      <w:pPr>
        <w:pStyle w:val="BodyText"/>
        <w:spacing w:before="1"/>
        <w:rPr>
          <w:sz w:val="31"/>
        </w:rPr>
      </w:pPr>
    </w:p>
    <w:p>
      <w:pPr>
        <w:pStyle w:val="ListParagraph"/>
        <w:numPr>
          <w:ilvl w:val="0"/>
          <w:numId w:val="20"/>
        </w:numPr>
        <w:tabs>
          <w:tab w:val="left" w:pos="2482"/>
        </w:tabs>
        <w:spacing w:before="0" w:after="0" w:line="417" w:lineRule="auto"/>
        <w:ind w:left="2059" w:right="2564" w:firstLine="0"/>
        <w:jc w:val="left"/>
        <w:rPr>
          <w:sz w:val="42"/>
        </w:rPr>
      </w:pPr>
      <w:r>
        <w:rPr>
          <w:spacing w:val="-1"/>
          <w:sz w:val="42"/>
        </w:rPr>
        <w:t>顶板底模严格按照配模方案图铺设，注意设置养护支撑位置。</w:t>
      </w:r>
      <w:r>
        <w:rPr>
          <w:sz w:val="42"/>
        </w:rPr>
        <w:t>C.木模板支设完成后，用纸胶带将板缝粘堵，以免漏浆。</w:t>
      </w:r>
    </w:p>
    <w:p>
      <w:pPr>
        <w:pStyle w:val="BodyText"/>
        <w:spacing w:line="537" w:lineRule="exact"/>
        <w:ind w:left="2059"/>
      </w:pPr>
      <w:r>
        <w:t>D.配套模板编号与配模图编号相同。</w:t>
      </w:r>
    </w:p>
    <w:p>
      <w:pPr>
        <w:pStyle w:val="BodyText"/>
        <w:rPr>
          <w:sz w:val="31"/>
        </w:rPr>
      </w:pPr>
    </w:p>
    <w:p>
      <w:pPr>
        <w:pStyle w:val="BodyText"/>
        <w:spacing w:before="1" w:line="417" w:lineRule="auto"/>
        <w:ind w:left="1113" w:right="1689" w:firstLine="946"/>
      </w:pPr>
      <w:r>
        <w:t>E.</w:t>
      </w:r>
      <w:r>
        <w:rPr>
          <w:spacing w:val="-16"/>
        </w:rPr>
        <w:t xml:space="preserve">变形缝处模板采用厚木丝板制作，二水池间用 </w:t>
      </w:r>
      <w:r>
        <w:t>10cm</w:t>
      </w:r>
      <w:r>
        <w:rPr>
          <w:spacing w:val="-16"/>
        </w:rPr>
        <w:t xml:space="preserve"> 厚硬质聚苯乙稀</w:t>
      </w:r>
      <w:r>
        <w:t>塑料板泡沫制作。支设成永久模板。模板采用固定橡胶止水带的钢筋套固定。</w:t>
      </w:r>
    </w:p>
    <w:p>
      <w:pPr>
        <w:pStyle w:val="BodyText"/>
        <w:spacing w:line="538" w:lineRule="exact"/>
        <w:ind w:left="2059"/>
      </w:pPr>
      <w:r>
        <w:t>④墙板模的控制</w:t>
      </w:r>
    </w:p>
    <w:p>
      <w:pPr>
        <w:pStyle w:val="BodyText"/>
        <w:rPr>
          <w:sz w:val="31"/>
        </w:rPr>
      </w:pPr>
    </w:p>
    <w:p>
      <w:pPr>
        <w:pStyle w:val="ListParagraph"/>
        <w:numPr>
          <w:ilvl w:val="0"/>
          <w:numId w:val="11"/>
        </w:numPr>
        <w:tabs>
          <w:tab w:val="left" w:pos="2482"/>
        </w:tabs>
        <w:spacing w:before="0" w:after="0" w:line="240" w:lineRule="auto"/>
        <w:ind w:left="2482" w:right="0" w:hanging="423"/>
        <w:jc w:val="left"/>
        <w:rPr>
          <w:sz w:val="42"/>
        </w:rPr>
      </w:pPr>
      <w:r>
        <w:rPr>
          <w:sz w:val="42"/>
        </w:rPr>
        <w:t>墙模水平度采用挂通长铅丝控制。</w:t>
      </w:r>
    </w:p>
    <w:p>
      <w:pPr>
        <w:pStyle w:val="BodyText"/>
        <w:spacing w:before="1"/>
        <w:rPr>
          <w:sz w:val="31"/>
        </w:rPr>
      </w:pPr>
    </w:p>
    <w:p>
      <w:pPr>
        <w:pStyle w:val="ListParagraph"/>
        <w:numPr>
          <w:ilvl w:val="0"/>
          <w:numId w:val="11"/>
        </w:numPr>
        <w:tabs>
          <w:tab w:val="left" w:pos="2482"/>
        </w:tabs>
        <w:spacing w:before="0" w:after="0" w:line="417" w:lineRule="auto"/>
        <w:ind w:left="1113" w:right="1463" w:firstLine="946"/>
        <w:jc w:val="left"/>
        <w:rPr>
          <w:sz w:val="42"/>
        </w:rPr>
      </w:pPr>
      <w:r>
        <w:rPr>
          <w:spacing w:val="-15"/>
          <w:sz w:val="42"/>
        </w:rPr>
        <w:t xml:space="preserve">垂直度采用二步控制。一步，班组安装初步固定后采用锤球法控制， </w:t>
      </w:r>
      <w:r>
        <w:rPr>
          <w:sz w:val="42"/>
        </w:rPr>
        <w:t>二步是安装后固定时，由技术员、质检员采用经纬仪测量法控制。</w:t>
      </w:r>
    </w:p>
    <w:p>
      <w:pPr>
        <w:pStyle w:val="BodyText"/>
        <w:ind w:left="2059"/>
      </w:pPr>
      <w:r>
        <w:t>⑤模板的拆除</w:t>
      </w:r>
    </w:p>
    <w:p>
      <w:pPr>
        <w:pStyle w:val="BodyText"/>
        <w:rPr>
          <w:sz w:val="31"/>
        </w:rPr>
      </w:pPr>
    </w:p>
    <w:p>
      <w:pPr>
        <w:pStyle w:val="ListParagraph"/>
        <w:numPr>
          <w:ilvl w:val="0"/>
          <w:numId w:val="10"/>
        </w:numPr>
        <w:tabs>
          <w:tab w:val="left" w:pos="2482"/>
        </w:tabs>
        <w:spacing w:before="1" w:after="0" w:line="417" w:lineRule="auto"/>
        <w:ind w:left="1113" w:right="1689" w:firstLine="946"/>
        <w:jc w:val="left"/>
        <w:rPr>
          <w:sz w:val="42"/>
        </w:rPr>
      </w:pPr>
      <w:r>
        <w:rPr>
          <w:spacing w:val="-10"/>
          <w:sz w:val="42"/>
        </w:rPr>
        <w:t xml:space="preserve">墙柱模拆除时间控制在 </w:t>
      </w:r>
      <w:r>
        <w:rPr>
          <w:sz w:val="42"/>
        </w:rPr>
        <w:t>6h</w:t>
      </w:r>
      <w:r>
        <w:rPr>
          <w:spacing w:val="-17"/>
          <w:sz w:val="42"/>
        </w:rPr>
        <w:t xml:space="preserve"> 左右，为便于拆模和基层处理，支模前应</w:t>
      </w:r>
      <w:r>
        <w:rPr>
          <w:sz w:val="42"/>
        </w:rPr>
        <w:t>委派专人检查脱模剂涂刷质量，脱模剂选用水质脱模剂。拆除前先松动对拉螺栓，将拆除的螺帽回收，周转使用，对拉螺栓采用气焊割除。</w:t>
      </w:r>
    </w:p>
    <w:p>
      <w:pPr>
        <w:pStyle w:val="ListParagraph"/>
        <w:numPr>
          <w:ilvl w:val="0"/>
          <w:numId w:val="10"/>
        </w:numPr>
        <w:tabs>
          <w:tab w:val="left" w:pos="2482"/>
        </w:tabs>
        <w:spacing w:before="0" w:after="0" w:line="537" w:lineRule="exact"/>
        <w:ind w:left="2482" w:right="0" w:hanging="423"/>
        <w:jc w:val="left"/>
        <w:rPr>
          <w:sz w:val="42"/>
        </w:rPr>
      </w:pPr>
      <w:r>
        <w:rPr>
          <w:sz w:val="42"/>
        </w:rPr>
        <w:t>顶板模拆除时间</w:t>
      </w:r>
    </w:p>
    <w:p>
      <w:pPr>
        <w:pStyle w:val="BodyText"/>
        <w:spacing w:before="1"/>
        <w:rPr>
          <w:sz w:val="31"/>
        </w:rPr>
      </w:pPr>
    </w:p>
    <w:p>
      <w:pPr>
        <w:pStyle w:val="BodyText"/>
        <w:spacing w:line="417" w:lineRule="auto"/>
        <w:ind w:left="1113" w:right="1688" w:firstLine="946"/>
      </w:pPr>
      <w:r>
        <w:t>由于砼中掺加带有缓凝的减水剂，早期强度</w:t>
      </w:r>
      <w:r>
        <w:rPr>
          <w:spacing w:val="5"/>
        </w:rPr>
        <w:t>（3d）</w:t>
      </w:r>
      <w:r>
        <w:rPr>
          <w:spacing w:val="6"/>
        </w:rPr>
        <w:t xml:space="preserve">提高约提高 </w:t>
      </w:r>
      <w:r>
        <w:t xml:space="preserve">60%， </w:t>
      </w:r>
      <w:r>
        <w:rPr>
          <w:spacing w:val="-5"/>
        </w:rPr>
        <w:t xml:space="preserve">并利用砼板自身承载能力，在平均气温 </w:t>
      </w:r>
      <w:r>
        <w:t>26</w:t>
      </w:r>
      <w:r>
        <w:rPr>
          <w:spacing w:val="-11"/>
        </w:rPr>
        <w:t xml:space="preserve">°时，第 </w:t>
      </w:r>
      <w:r>
        <w:t>3</w:t>
      </w:r>
      <w:r>
        <w:rPr>
          <w:spacing w:val="-14"/>
        </w:rPr>
        <w:t xml:space="preserve"> 天强度百分率为 </w:t>
      </w:r>
      <w:r>
        <w:rPr>
          <w:spacing w:val="-5"/>
        </w:rPr>
        <w:t>50%</w:t>
      </w:r>
    </w:p>
    <w:p>
      <w:pPr>
        <w:pStyle w:val="BodyText"/>
        <w:spacing w:line="417" w:lineRule="auto"/>
        <w:ind w:left="1113" w:right="1674"/>
      </w:pPr>
      <w:r>
        <w:t>×1.6%=80</w:t>
      </w:r>
      <w:r>
        <w:rPr>
          <w:spacing w:val="-2"/>
        </w:rPr>
        <w:t xml:space="preserve">%，底模拆除控制在第 </w:t>
      </w:r>
      <w:r>
        <w:t>4</w:t>
      </w:r>
      <w:r>
        <w:rPr>
          <w:spacing w:val="-2"/>
        </w:rPr>
        <w:t xml:space="preserve"> 天，以满足强度要求</w:t>
      </w:r>
      <w:r>
        <w:t>（</w:t>
      </w:r>
      <w:r>
        <w:rPr>
          <w:spacing w:val="-3"/>
        </w:rPr>
        <w:t>另采用养护支撑</w:t>
      </w:r>
      <w:r>
        <w:t>方案作为第二保障，详见脚手架部分</w:t>
      </w:r>
      <w:r>
        <w:rPr>
          <w:spacing w:val="-232"/>
        </w:rPr>
        <w:t>）</w:t>
      </w:r>
      <w:r>
        <w:t>。</w:t>
      </w:r>
    </w:p>
    <w:p>
      <w:pPr>
        <w:pStyle w:val="BodyText"/>
        <w:spacing w:line="537" w:lineRule="exact"/>
        <w:ind w:left="2059"/>
      </w:pPr>
      <w:r>
        <w:t>C 顶板模拆除的控制</w:t>
      </w:r>
    </w:p>
    <w:p>
      <w:pPr>
        <w:pStyle w:val="BodyText"/>
        <w:spacing w:before="1"/>
        <w:rPr>
          <w:sz w:val="31"/>
        </w:rPr>
      </w:pPr>
    </w:p>
    <w:p>
      <w:pPr>
        <w:pStyle w:val="BodyText"/>
        <w:ind w:left="2059"/>
      </w:pPr>
      <w:r>
        <w:rPr>
          <w:spacing w:val="-9"/>
        </w:rPr>
        <w:t xml:space="preserve">根据施工进度，同步留置 </w:t>
      </w:r>
      <w:r>
        <w:t>3d</w:t>
      </w:r>
      <w:r>
        <w:rPr>
          <w:spacing w:val="-65"/>
        </w:rPr>
        <w:t xml:space="preserve"> 和 </w:t>
      </w:r>
      <w:r>
        <w:t>28d</w:t>
      </w:r>
      <w:r>
        <w:rPr>
          <w:spacing w:val="-41"/>
        </w:rPr>
        <w:t xml:space="preserve"> 试块各 </w:t>
      </w:r>
      <w:r>
        <w:t>1</w:t>
      </w:r>
      <w:r>
        <w:rPr>
          <w:spacing w:val="-34"/>
        </w:rPr>
        <w:t xml:space="preserve"> 组，其中 </w:t>
      </w:r>
      <w:r>
        <w:t>3d</w:t>
      </w:r>
      <w:r>
        <w:rPr>
          <w:spacing w:val="-18"/>
        </w:rPr>
        <w:t xml:space="preserve"> 试块用于检</w:t>
      </w:r>
    </w:p>
    <w:p>
      <w:pPr>
        <w:spacing w:after="0"/>
        <w:sectPr>
          <w:headerReference w:type="default" r:id="rId57"/>
          <w:footerReference w:type="default" r:id="rId58"/>
          <w:pgSz w:w="17860" w:h="25270"/>
          <w:pgMar w:top="1040" w:right="0" w:bottom="1240" w:left="1440" w:header="712" w:footer="1057"/>
          <w:pgNumType w:start="27"/>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22"/>
        </w:rPr>
      </w:pPr>
    </w:p>
    <w:p>
      <w:pPr>
        <w:pStyle w:val="BodyText"/>
        <w:spacing w:before="42" w:line="417" w:lineRule="auto"/>
        <w:ind w:left="2059" w:right="8787" w:hanging="947"/>
      </w:pPr>
      <w:r>
        <w:rPr>
          <w:spacing w:val="-12"/>
        </w:rPr>
        <w:t xml:space="preserve">验砼强度是否达到 </w:t>
      </w:r>
      <w:r>
        <w:t>50% fcmk</w:t>
      </w:r>
      <w:r>
        <w:rPr>
          <w:spacing w:val="-32"/>
        </w:rPr>
        <w:t xml:space="preserve"> 以上。</w:t>
      </w:r>
      <w:r>
        <w:t>5.砼工程</w:t>
      </w:r>
    </w:p>
    <w:p>
      <w:pPr>
        <w:pStyle w:val="BodyText"/>
        <w:spacing w:line="537" w:lineRule="exact"/>
        <w:ind w:left="2059"/>
      </w:pPr>
      <w:r>
        <w:t>①该工程根据工期要求，砼项目均采用商品砼、汽车泵布料机施工。</w:t>
      </w:r>
    </w:p>
    <w:p>
      <w:pPr>
        <w:pStyle w:val="BodyText"/>
        <w:spacing w:before="1"/>
        <w:rPr>
          <w:sz w:val="31"/>
        </w:rPr>
      </w:pPr>
    </w:p>
    <w:p>
      <w:pPr>
        <w:pStyle w:val="BodyText"/>
        <w:ind w:left="2059"/>
      </w:pPr>
      <w:r>
        <w:t>②商品砼技术要求</w:t>
      </w:r>
    </w:p>
    <w:p>
      <w:pPr>
        <w:pStyle w:val="BodyText"/>
        <w:rPr>
          <w:sz w:val="31"/>
        </w:rPr>
      </w:pPr>
    </w:p>
    <w:p>
      <w:pPr>
        <w:pStyle w:val="BodyText"/>
        <w:spacing w:before="1"/>
        <w:ind w:left="2059"/>
      </w:pPr>
      <w:r>
        <w:t>A 水泥：采用 PO32.5，双控合格。</w:t>
      </w:r>
    </w:p>
    <w:p>
      <w:pPr>
        <w:pStyle w:val="BodyText"/>
        <w:spacing w:before="1"/>
        <w:rPr>
          <w:sz w:val="31"/>
        </w:rPr>
      </w:pPr>
    </w:p>
    <w:p>
      <w:pPr>
        <w:pStyle w:val="BodyText"/>
        <w:spacing w:line="417" w:lineRule="auto"/>
        <w:ind w:left="1113" w:right="1643" w:firstLine="946"/>
      </w:pPr>
      <w:r>
        <w:t>B</w:t>
      </w:r>
      <w:r>
        <w:rPr>
          <w:spacing w:val="-14"/>
        </w:rPr>
        <w:t xml:space="preserve"> 骨料：采用含泥量</w:t>
      </w:r>
      <w:r>
        <w:t>&lt;3</w:t>
      </w:r>
      <w:r>
        <w:rPr>
          <w:spacing w:val="-1"/>
        </w:rPr>
        <w:t>%的中砂；石子采用含泥量</w:t>
      </w:r>
      <w:r>
        <w:t>&lt;5</w:t>
      </w:r>
      <w:r>
        <w:rPr>
          <w:spacing w:val="-32"/>
        </w:rPr>
        <w:t xml:space="preserve">%的 </w:t>
      </w:r>
      <w:r>
        <w:t>1～4cm</w:t>
      </w:r>
      <w:r>
        <w:rPr>
          <w:spacing w:val="-29"/>
        </w:rPr>
        <w:t xml:space="preserve"> 石子， </w:t>
      </w:r>
      <w:r>
        <w:t>且级配良好。</w:t>
      </w:r>
    </w:p>
    <w:p>
      <w:pPr>
        <w:pStyle w:val="BodyText"/>
        <w:spacing w:line="537" w:lineRule="exact"/>
        <w:ind w:left="2059"/>
      </w:pPr>
      <w:r>
        <w:t>C 外加剂：</w:t>
      </w:r>
    </w:p>
    <w:p>
      <w:pPr>
        <w:pStyle w:val="BodyText"/>
        <w:spacing w:before="1"/>
        <w:rPr>
          <w:sz w:val="31"/>
        </w:rPr>
      </w:pPr>
    </w:p>
    <w:p>
      <w:pPr>
        <w:pStyle w:val="BodyText"/>
        <w:ind w:left="2059"/>
      </w:pPr>
      <w:r>
        <w:t>掺加水泥重 1%高效减水剂，其中顶板减水剂不替代水泥，以达到 3d</w:t>
      </w:r>
    </w:p>
    <w:p>
      <w:pPr>
        <w:pStyle w:val="BodyText"/>
        <w:rPr>
          <w:sz w:val="31"/>
        </w:rPr>
      </w:pPr>
    </w:p>
    <w:p>
      <w:pPr>
        <w:pStyle w:val="BodyText"/>
        <w:ind w:left="1113"/>
      </w:pPr>
      <w:r>
        <w:t>强度提高 60%的目的。</w:t>
      </w:r>
    </w:p>
    <w:p>
      <w:pPr>
        <w:pStyle w:val="BodyText"/>
        <w:spacing w:before="1"/>
        <w:rPr>
          <w:sz w:val="31"/>
        </w:rPr>
      </w:pPr>
    </w:p>
    <w:p>
      <w:pPr>
        <w:pStyle w:val="BodyText"/>
        <w:spacing w:line="417" w:lineRule="auto"/>
        <w:ind w:left="2059" w:right="3099"/>
      </w:pPr>
      <w:r>
        <w:rPr>
          <w:spacing w:val="-16"/>
        </w:rPr>
        <w:t xml:space="preserve">掺加水泥重 </w:t>
      </w:r>
      <w:r>
        <w:t>12</w:t>
      </w:r>
      <w:r>
        <w:rPr>
          <w:spacing w:val="52"/>
        </w:rPr>
        <w:t>%的</w:t>
      </w:r>
      <w:r>
        <w:t>VEA</w:t>
      </w:r>
      <w:r>
        <w:rPr>
          <w:spacing w:val="-12"/>
        </w:rPr>
        <w:t xml:space="preserve"> 微膨胀剂，提高砼抗渗，抗收缩能力。</w:t>
      </w:r>
      <w:r>
        <w:t>D</w:t>
      </w:r>
      <w:r>
        <w:rPr>
          <w:spacing w:val="-27"/>
        </w:rPr>
        <w:t xml:space="preserve"> 水灰比</w:t>
      </w:r>
      <w:r>
        <w:t>：≯0.5</w:t>
      </w:r>
    </w:p>
    <w:p>
      <w:pPr>
        <w:pStyle w:val="BodyText"/>
        <w:ind w:left="2059"/>
      </w:pPr>
      <w:r>
        <w:t>E 坍落度：控制在 20～22cm 左右。</w:t>
      </w:r>
    </w:p>
    <w:p>
      <w:pPr>
        <w:pStyle w:val="BodyText"/>
        <w:spacing w:before="1"/>
        <w:rPr>
          <w:sz w:val="31"/>
        </w:rPr>
      </w:pPr>
    </w:p>
    <w:p>
      <w:pPr>
        <w:pStyle w:val="BodyText"/>
        <w:spacing w:line="417" w:lineRule="auto"/>
        <w:ind w:left="1113" w:right="1721" w:firstLine="946"/>
        <w:jc w:val="right"/>
      </w:pPr>
      <w:r>
        <w:t>③砼浇捣：污水调节池的底板分二段平行施工，施工段内砼一次浇筑不留施工缝，后浇带处砼浇捣时，严禁碰动封堵模板，并随时进行调整。底板及墙板采用插入式振捣棒振捣，顶板采用平板振捣器振捣，振捣</w:t>
      </w:r>
    </w:p>
    <w:p>
      <w:pPr>
        <w:pStyle w:val="BodyText"/>
        <w:ind w:left="1113"/>
      </w:pPr>
      <w:r>
        <w:t>手选用经验丰富的操作工人。</w:t>
      </w:r>
    </w:p>
    <w:p>
      <w:pPr>
        <w:pStyle w:val="BodyText"/>
        <w:rPr>
          <w:sz w:val="31"/>
        </w:rPr>
      </w:pPr>
    </w:p>
    <w:p>
      <w:pPr>
        <w:pStyle w:val="BodyText"/>
        <w:spacing w:line="417" w:lineRule="auto"/>
        <w:ind w:left="1113" w:right="1690" w:firstLine="946"/>
      </w:pPr>
      <w:r>
        <w:rPr>
          <w:spacing w:val="-16"/>
        </w:rPr>
        <w:t xml:space="preserve">④竖向构件砼浇筑前，铺以 </w:t>
      </w:r>
      <w:r>
        <w:t>5cm</w:t>
      </w:r>
      <w:r>
        <w:rPr>
          <w:spacing w:val="-22"/>
        </w:rPr>
        <w:t xml:space="preserve"> 厚同成份无石子砼</w:t>
      </w:r>
      <w:r>
        <w:t>（</w:t>
      </w:r>
      <w:r>
        <w:rPr>
          <w:spacing w:val="-48"/>
        </w:rPr>
        <w:t xml:space="preserve">按 </w:t>
      </w:r>
      <w:r>
        <w:t>10cm</w:t>
      </w:r>
      <w:r>
        <w:rPr>
          <w:spacing w:val="-25"/>
        </w:rPr>
        <w:t xml:space="preserve"> 厚计算后</w:t>
      </w:r>
      <w:r>
        <w:rPr>
          <w:w w:val="100"/>
        </w:rPr>
        <w:t>下料</w:t>
      </w:r>
      <w:r>
        <w:rPr>
          <w:spacing w:val="-213"/>
          <w:w w:val="100"/>
        </w:rPr>
        <w:t>）</w:t>
      </w:r>
      <w:r>
        <w:rPr>
          <w:w w:val="100"/>
        </w:rPr>
        <w:t>，然后再浇筑砼。浇筑时</w:t>
      </w:r>
      <w:r>
        <w:rPr>
          <w:spacing w:val="-113"/>
        </w:rPr>
        <w:t xml:space="preserve"> </w:t>
      </w:r>
      <w:r>
        <w:rPr>
          <w:w w:val="100"/>
        </w:rPr>
        <w:t>50cm</w:t>
      </w:r>
      <w:r>
        <w:rPr>
          <w:spacing w:val="-113"/>
        </w:rPr>
        <w:t xml:space="preserve"> </w:t>
      </w:r>
      <w:r>
        <w:rPr>
          <w:w w:val="100"/>
        </w:rPr>
        <w:t>左右为一层，分层浇筑振捣密实。</w:t>
      </w:r>
    </w:p>
    <w:p>
      <w:pPr>
        <w:pStyle w:val="BodyText"/>
        <w:spacing w:line="417" w:lineRule="auto"/>
        <w:ind w:left="1113" w:right="1626" w:firstLine="946"/>
      </w:pPr>
      <w:r>
        <w:t>⑤墙顶板砼一次浇捣，不留施工缝，竖向构件浇筑后需沉积1h，再进行顶板砼浇捣，严禁一次浇捣到位。底板和顶板采用斜面浇筑法，墙采用分层浇筑法，分层厚度为 60cm 左右，严禁超过 1m，以保证砼接茬质量。</w:t>
      </w:r>
    </w:p>
    <w:p>
      <w:pPr>
        <w:spacing w:after="0" w:line="417" w:lineRule="auto"/>
        <w:sectPr>
          <w:headerReference w:type="default" r:id="rId59"/>
          <w:footerReference w:type="default" r:id="rId60"/>
          <w:pgSz w:w="17860" w:h="25270"/>
          <w:pgMar w:top="1040" w:right="0" w:bottom="1240" w:left="1440" w:header="712" w:footer="1057"/>
          <w:pgNumType w:start="28"/>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22"/>
        </w:rPr>
      </w:pPr>
    </w:p>
    <w:p>
      <w:pPr>
        <w:pStyle w:val="BodyText"/>
        <w:spacing w:before="42"/>
        <w:ind w:left="2059"/>
      </w:pPr>
      <w:r>
        <w:t>⑥施工缝的留置</w:t>
      </w:r>
    </w:p>
    <w:p>
      <w:pPr>
        <w:pStyle w:val="BodyText"/>
        <w:spacing w:before="1"/>
        <w:rPr>
          <w:sz w:val="31"/>
        </w:rPr>
      </w:pPr>
    </w:p>
    <w:p>
      <w:pPr>
        <w:pStyle w:val="BodyText"/>
        <w:spacing w:line="417" w:lineRule="auto"/>
        <w:ind w:left="2059" w:right="2793"/>
      </w:pPr>
      <w:r>
        <w:rPr>
          <w:spacing w:val="-7"/>
        </w:rPr>
        <w:t xml:space="preserve">墙体水平施工缝留置在扩大面上 </w:t>
      </w:r>
      <w:r>
        <w:t>25cm</w:t>
      </w:r>
      <w:r>
        <w:rPr>
          <w:spacing w:val="-12"/>
        </w:rPr>
        <w:t xml:space="preserve"> 处，不留置竖向施工缝。</w:t>
      </w:r>
      <w:r>
        <w:t>墙体水平施工缝的处理</w:t>
      </w:r>
    </w:p>
    <w:p>
      <w:pPr>
        <w:pStyle w:val="BodyText"/>
        <w:spacing w:line="417" w:lineRule="auto"/>
        <w:ind w:left="1113" w:right="1680" w:firstLine="946"/>
      </w:pPr>
      <w:r>
        <w:rPr>
          <w:spacing w:val="-16"/>
        </w:rPr>
        <w:t xml:space="preserve">在绑扎墙筋时，在中间加焊 </w:t>
      </w:r>
      <w:r>
        <w:t>300×3mm</w:t>
      </w:r>
      <w:r>
        <w:rPr>
          <w:spacing w:val="-15"/>
        </w:rPr>
        <w:t xml:space="preserve"> 的止水钢板，止水钢板采用焊接</w:t>
      </w:r>
      <w:r>
        <w:t>接头，设置时，注意迎水面方向。</w:t>
      </w:r>
    </w:p>
    <w:p>
      <w:pPr>
        <w:pStyle w:val="BodyText"/>
        <w:ind w:left="2059"/>
      </w:pPr>
      <w:r>
        <w:t>⑦砼养护</w:t>
      </w:r>
    </w:p>
    <w:p>
      <w:pPr>
        <w:pStyle w:val="BodyText"/>
        <w:rPr>
          <w:sz w:val="31"/>
        </w:rPr>
      </w:pPr>
    </w:p>
    <w:p>
      <w:pPr>
        <w:pStyle w:val="BodyText"/>
        <w:spacing w:line="417" w:lineRule="auto"/>
        <w:ind w:left="2059" w:right="2144"/>
      </w:pPr>
      <w:r>
        <w:t>A.底板砼采用浇水养护，以保证板面湿润为度，防止蓄水或干燥。B.竖向构件采用薄膜覆盖养护。</w:t>
      </w:r>
    </w:p>
    <w:p>
      <w:pPr>
        <w:pStyle w:val="BodyText"/>
        <w:spacing w:line="417" w:lineRule="auto"/>
        <w:ind w:left="2059" w:right="2144"/>
      </w:pPr>
      <w:r>
        <w:t>C.顶板砼采用蓄水养护，严格控制蓄水深度，以板面存明水为度。6.刚性防水施工方法</w:t>
      </w:r>
    </w:p>
    <w:p>
      <w:pPr>
        <w:pStyle w:val="BodyText"/>
        <w:spacing w:line="417" w:lineRule="auto"/>
        <w:ind w:left="1113" w:right="1721" w:firstLine="946"/>
      </w:pPr>
      <w:r>
        <w:t>①严格按照施工工艺标准操作，但由于大模板墙体较光滑，故在第一遍素灰中掺加适量TG 胶成为胶浆，以增强粘结力防止空鼓。</w:t>
      </w:r>
    </w:p>
    <w:p>
      <w:pPr>
        <w:pStyle w:val="BodyText"/>
        <w:spacing w:line="417" w:lineRule="auto"/>
        <w:ind w:left="1113" w:right="1721" w:firstLine="946"/>
      </w:pPr>
      <w:r>
        <w:t>②素灰与抹灰水泥砂浆要交替进行，由于每层厚度较薄，操作时应注意单向施工，不得往返。</w:t>
      </w:r>
    </w:p>
    <w:p>
      <w:pPr>
        <w:pStyle w:val="BodyText"/>
        <w:spacing w:line="537" w:lineRule="exact"/>
        <w:ind w:left="2059"/>
      </w:pPr>
      <w:r>
        <w:t>③施工缝接茬要搭接严密，不得遗漏。</w:t>
      </w:r>
    </w:p>
    <w:p>
      <w:pPr>
        <w:pStyle w:val="BodyText"/>
        <w:spacing w:before="12"/>
        <w:rPr>
          <w:sz w:val="30"/>
        </w:rPr>
      </w:pPr>
    </w:p>
    <w:p>
      <w:pPr>
        <w:pStyle w:val="ListParagraph"/>
        <w:numPr>
          <w:ilvl w:val="0"/>
          <w:numId w:val="9"/>
        </w:numPr>
        <w:tabs>
          <w:tab w:val="left" w:pos="2482"/>
        </w:tabs>
        <w:spacing w:before="0" w:after="0" w:line="240" w:lineRule="auto"/>
        <w:ind w:left="2482" w:right="0" w:hanging="423"/>
        <w:jc w:val="left"/>
        <w:rPr>
          <w:sz w:val="42"/>
        </w:rPr>
      </w:pPr>
      <w:r>
        <w:rPr>
          <w:sz w:val="42"/>
        </w:rPr>
        <w:t>脚手架及模板支撑系统</w:t>
      </w:r>
    </w:p>
    <w:p>
      <w:pPr>
        <w:pStyle w:val="BodyText"/>
        <w:spacing w:before="2"/>
        <w:rPr>
          <w:sz w:val="31"/>
        </w:rPr>
      </w:pPr>
    </w:p>
    <w:p>
      <w:pPr>
        <w:pStyle w:val="BodyText"/>
        <w:spacing w:line="417" w:lineRule="auto"/>
        <w:ind w:left="1113" w:right="1627" w:firstLine="946"/>
      </w:pPr>
      <w:r>
        <w:t>①脚手架均采用Φ4.8×3.5</w:t>
      </w:r>
      <w:r>
        <w:rPr>
          <w:spacing w:val="-11"/>
        </w:rPr>
        <w:t xml:space="preserve"> 的钢架管搭设，池内满堂脚手架分二步搭</w:t>
      </w:r>
      <w:r>
        <w:t>设，以便与墙模同时施工，缩短主导工序。</w:t>
      </w:r>
    </w:p>
    <w:p>
      <w:pPr>
        <w:pStyle w:val="BodyText"/>
        <w:spacing w:line="417" w:lineRule="auto"/>
        <w:ind w:left="1113" w:right="1671" w:firstLine="946"/>
        <w:jc w:val="both"/>
      </w:pPr>
      <w:r>
        <w:rPr>
          <w:spacing w:val="-10"/>
        </w:rPr>
        <w:t xml:space="preserve">②满堂脚手架，主杆间距 </w:t>
      </w:r>
      <w:r>
        <w:t>0.9m</w:t>
      </w:r>
      <w:r>
        <w:rPr>
          <w:spacing w:val="-17"/>
        </w:rPr>
        <w:t xml:space="preserve">，水平杆间距 </w:t>
      </w:r>
      <w:r>
        <w:t>1.5</w:t>
      </w:r>
      <w:r>
        <w:rPr>
          <w:spacing w:val="-14"/>
        </w:rPr>
        <w:t xml:space="preserve"> 米，搭设时严格控制</w:t>
      </w:r>
      <w:r>
        <w:rPr>
          <w:spacing w:val="-20"/>
        </w:rPr>
        <w:t xml:space="preserve">立杆间距 </w:t>
      </w:r>
      <w:r>
        <w:t>0.9m</w:t>
      </w:r>
      <w:r>
        <w:rPr>
          <w:spacing w:val="-11"/>
        </w:rPr>
        <w:t xml:space="preserve"> 左右，严禁超出，模板檩条间距</w:t>
      </w:r>
      <w:r>
        <w:t>30cm</w:t>
      </w:r>
      <w:r>
        <w:rPr>
          <w:spacing w:val="17"/>
        </w:rPr>
        <w:t>，采用</w:t>
      </w:r>
      <w:r>
        <w:t>100×50</w:t>
      </w:r>
      <w:r>
        <w:rPr>
          <w:spacing w:val="-25"/>
        </w:rPr>
        <w:t xml:space="preserve"> 的木方铺置，胶合板与木方临时固定。</w:t>
      </w:r>
    </w:p>
    <w:p>
      <w:pPr>
        <w:pStyle w:val="BodyText"/>
        <w:spacing w:line="538" w:lineRule="exact"/>
        <w:ind w:left="2059"/>
      </w:pPr>
      <w:r>
        <w:t>③外墙采用双排脚手架随支外墙模随搭设，立杆间距1.5m，大横杆间</w:t>
      </w:r>
    </w:p>
    <w:p>
      <w:pPr>
        <w:spacing w:after="0" w:line="538" w:lineRule="exact"/>
        <w:sectPr>
          <w:headerReference w:type="default" r:id="rId61"/>
          <w:footerReference w:type="default" r:id="rId62"/>
          <w:pgSz w:w="17860" w:h="25270"/>
          <w:pgMar w:top="1040" w:right="0" w:bottom="1240" w:left="1440" w:header="712" w:footer="1057"/>
          <w:pgNumType w:start="29"/>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22"/>
        </w:rPr>
      </w:pPr>
    </w:p>
    <w:p>
      <w:pPr>
        <w:pStyle w:val="BodyText"/>
        <w:spacing w:before="42"/>
        <w:ind w:left="1113"/>
      </w:pPr>
      <w:r>
        <w:rPr>
          <w:spacing w:val="-53"/>
        </w:rPr>
        <w:t xml:space="preserve">距 </w:t>
      </w:r>
      <w:r>
        <w:t>1.8m</w:t>
      </w:r>
      <w:r>
        <w:rPr>
          <w:spacing w:val="-11"/>
        </w:rPr>
        <w:t xml:space="preserve">，操作面小横杆间距 </w:t>
      </w:r>
      <w:r>
        <w:t>0.9m，脚手架外侧搭设护身栏和挡脚板。</w:t>
      </w:r>
    </w:p>
    <w:p>
      <w:pPr>
        <w:pStyle w:val="BodyText"/>
        <w:spacing w:before="1"/>
        <w:rPr>
          <w:sz w:val="31"/>
        </w:rPr>
      </w:pPr>
    </w:p>
    <w:p>
      <w:pPr>
        <w:pStyle w:val="BodyText"/>
        <w:ind w:left="2059"/>
      </w:pPr>
      <w:r>
        <w:t>④马道搭设</w:t>
      </w:r>
    </w:p>
    <w:p>
      <w:pPr>
        <w:pStyle w:val="BodyText"/>
        <w:rPr>
          <w:sz w:val="31"/>
        </w:rPr>
      </w:pPr>
    </w:p>
    <w:p>
      <w:pPr>
        <w:pStyle w:val="BodyText"/>
        <w:spacing w:before="1" w:line="417" w:lineRule="auto"/>
        <w:ind w:left="1113" w:right="1721" w:firstLine="946"/>
      </w:pPr>
      <w:r>
        <w:t>在东侧、西侧各搭设一钢马道，用于人员和材料运输且马道高度要超过顶板上标高 20cm，马道单独搭设，以便于填土前的作业使用。</w:t>
      </w:r>
    </w:p>
    <w:p>
      <w:pPr>
        <w:pStyle w:val="BodyText"/>
        <w:spacing w:line="537" w:lineRule="exact"/>
        <w:ind w:left="2059"/>
      </w:pPr>
      <w:r>
        <w:t>⑤养护支撑设置</w:t>
      </w:r>
    </w:p>
    <w:p>
      <w:pPr>
        <w:pStyle w:val="BodyText"/>
        <w:spacing w:before="1"/>
        <w:rPr>
          <w:sz w:val="31"/>
        </w:rPr>
      </w:pPr>
    </w:p>
    <w:p>
      <w:pPr>
        <w:pStyle w:val="BodyText"/>
        <w:spacing w:line="417" w:lineRule="auto"/>
        <w:ind w:left="1113" w:right="1681" w:firstLine="946"/>
      </w:pPr>
      <w:r>
        <w:rPr>
          <w:spacing w:val="-9"/>
        </w:rPr>
        <w:t xml:space="preserve">养护支撑作为顶板砼养护 </w:t>
      </w:r>
      <w:r>
        <w:t>3d</w:t>
      </w:r>
      <w:r>
        <w:rPr>
          <w:spacing w:val="-18"/>
        </w:rPr>
        <w:t xml:space="preserve"> 后拆模的保险措施，严格控制其间距和位</w:t>
      </w:r>
      <w:r>
        <w:t>置准确。</w:t>
      </w:r>
    </w:p>
    <w:p>
      <w:pPr>
        <w:pStyle w:val="ListParagraph"/>
        <w:numPr>
          <w:ilvl w:val="0"/>
          <w:numId w:val="8"/>
        </w:numPr>
        <w:tabs>
          <w:tab w:val="left" w:pos="2482"/>
        </w:tabs>
        <w:spacing w:before="0" w:after="0" w:line="417" w:lineRule="auto"/>
        <w:ind w:left="1113" w:right="1690" w:firstLine="946"/>
        <w:jc w:val="left"/>
        <w:rPr>
          <w:sz w:val="42"/>
        </w:rPr>
      </w:pPr>
      <w:r>
        <w:rPr>
          <w:sz w:val="42"/>
        </w:rPr>
        <w:t>养护支撑采用Φ4.8×3.5</w:t>
      </w:r>
      <w:r>
        <w:rPr>
          <w:spacing w:val="-13"/>
          <w:sz w:val="42"/>
        </w:rPr>
        <w:t xml:space="preserve"> 钢管做主柱，快撑钢调节杆上加铺 </w:t>
      </w:r>
      <w:r>
        <w:rPr>
          <w:spacing w:val="-6"/>
          <w:sz w:val="42"/>
        </w:rPr>
        <w:t xml:space="preserve">100× </w:t>
      </w:r>
      <w:r>
        <w:rPr>
          <w:sz w:val="42"/>
        </w:rPr>
        <w:t>100×4</w:t>
      </w:r>
      <w:r>
        <w:rPr>
          <w:spacing w:val="-14"/>
          <w:sz w:val="42"/>
        </w:rPr>
        <w:t xml:space="preserve"> 的钢模板做柱头。</w:t>
      </w:r>
    </w:p>
    <w:p>
      <w:pPr>
        <w:pStyle w:val="ListParagraph"/>
        <w:numPr>
          <w:ilvl w:val="0"/>
          <w:numId w:val="8"/>
        </w:numPr>
        <w:tabs>
          <w:tab w:val="left" w:pos="2482"/>
        </w:tabs>
        <w:spacing w:before="0" w:after="0" w:line="537" w:lineRule="exact"/>
        <w:ind w:left="2482" w:right="0" w:hanging="423"/>
        <w:jc w:val="left"/>
        <w:rPr>
          <w:sz w:val="42"/>
        </w:rPr>
      </w:pPr>
      <w:r>
        <w:rPr>
          <w:sz w:val="42"/>
        </w:rPr>
        <w:t>养护支撑的位置</w:t>
      </w:r>
    </w:p>
    <w:p>
      <w:pPr>
        <w:pStyle w:val="BodyText"/>
        <w:rPr>
          <w:sz w:val="31"/>
        </w:rPr>
      </w:pPr>
    </w:p>
    <w:p>
      <w:pPr>
        <w:pStyle w:val="BodyText"/>
        <w:spacing w:line="417" w:lineRule="auto"/>
        <w:ind w:left="1113" w:right="1581" w:firstLine="946"/>
      </w:pPr>
      <w:r>
        <w:rPr>
          <w:spacing w:val="3"/>
        </w:rPr>
        <w:t>养护支撑以中间支柱为中心，以</w:t>
      </w:r>
      <w:r>
        <w:t>1.95</w:t>
      </w:r>
      <w:r>
        <w:rPr>
          <w:spacing w:val="-11"/>
        </w:rPr>
        <w:t xml:space="preserve"> 米为间距布置，使纵向、横向成</w:t>
      </w:r>
      <w:r>
        <w:t>为一排（列</w:t>
      </w:r>
      <w:r>
        <w:rPr>
          <w:spacing w:val="-217"/>
        </w:rPr>
        <w:t>）</w:t>
      </w:r>
      <w:r>
        <w:t>。</w:t>
      </w:r>
    </w:p>
    <w:p>
      <w:pPr>
        <w:pStyle w:val="ListParagraph"/>
        <w:numPr>
          <w:ilvl w:val="0"/>
          <w:numId w:val="8"/>
        </w:numPr>
        <w:tabs>
          <w:tab w:val="left" w:pos="2482"/>
        </w:tabs>
        <w:spacing w:before="0" w:after="0" w:line="240" w:lineRule="auto"/>
        <w:ind w:left="2482" w:right="0" w:hanging="423"/>
        <w:jc w:val="left"/>
        <w:rPr>
          <w:sz w:val="42"/>
        </w:rPr>
      </w:pPr>
      <w:r>
        <w:rPr>
          <w:sz w:val="42"/>
        </w:rPr>
        <w:t>养护支撑的搭设</w:t>
      </w:r>
    </w:p>
    <w:p>
      <w:pPr>
        <w:pStyle w:val="BodyText"/>
        <w:spacing w:before="1"/>
        <w:rPr>
          <w:sz w:val="31"/>
        </w:rPr>
      </w:pPr>
    </w:p>
    <w:p>
      <w:pPr>
        <w:pStyle w:val="BodyText"/>
        <w:spacing w:line="417" w:lineRule="auto"/>
        <w:ind w:left="1113" w:right="1721" w:firstLine="946"/>
      </w:pPr>
      <w:r>
        <w:t>养护支撑支设前在底板砼上标出位置，与满堂脚手架同期搭设，拆除架子时，不拆除，待砼强度达到 100%时拆除。</w:t>
      </w:r>
    </w:p>
    <w:p>
      <w:pPr>
        <w:pStyle w:val="BodyText"/>
        <w:spacing w:line="537" w:lineRule="exact"/>
        <w:ind w:left="2059"/>
      </w:pPr>
      <w:r>
        <w:t>⑥脚手架及养护立杆，马道的搭设方案详见附图。</w:t>
      </w:r>
    </w:p>
    <w:p>
      <w:pPr>
        <w:pStyle w:val="BodyText"/>
        <w:spacing w:before="1"/>
        <w:rPr>
          <w:sz w:val="31"/>
        </w:rPr>
      </w:pPr>
    </w:p>
    <w:p>
      <w:pPr>
        <w:pStyle w:val="ListParagraph"/>
        <w:numPr>
          <w:ilvl w:val="0"/>
          <w:numId w:val="9"/>
        </w:numPr>
        <w:tabs>
          <w:tab w:val="left" w:pos="2482"/>
        </w:tabs>
        <w:spacing w:before="0" w:after="0" w:line="240" w:lineRule="auto"/>
        <w:ind w:left="2482" w:right="0" w:hanging="423"/>
        <w:jc w:val="left"/>
        <w:rPr>
          <w:sz w:val="42"/>
        </w:rPr>
      </w:pPr>
      <w:r>
        <w:rPr>
          <w:sz w:val="42"/>
        </w:rPr>
        <w:t>机械选择</w:t>
      </w:r>
    </w:p>
    <w:p>
      <w:pPr>
        <w:pStyle w:val="BodyText"/>
        <w:spacing w:before="1"/>
        <w:rPr>
          <w:sz w:val="31"/>
        </w:rPr>
      </w:pPr>
    </w:p>
    <w:p>
      <w:pPr>
        <w:pStyle w:val="BodyText"/>
        <w:ind w:left="2059"/>
      </w:pPr>
      <w:r>
        <w:t>①汽车布料机的选择</w:t>
      </w:r>
    </w:p>
    <w:p>
      <w:pPr>
        <w:pStyle w:val="BodyText"/>
        <w:spacing w:before="1"/>
        <w:rPr>
          <w:sz w:val="31"/>
        </w:rPr>
      </w:pPr>
    </w:p>
    <w:p>
      <w:pPr>
        <w:pStyle w:val="BodyText"/>
        <w:spacing w:line="417" w:lineRule="auto"/>
        <w:ind w:left="1113" w:right="1680" w:firstLine="946"/>
      </w:pPr>
      <w:r>
        <w:rPr>
          <w:spacing w:val="-10"/>
        </w:rPr>
        <w:t xml:space="preserve">根据施工进度，选用 </w:t>
      </w:r>
      <w:r>
        <w:t>Q≥60m3/h</w:t>
      </w:r>
      <w:r>
        <w:rPr>
          <w:spacing w:val="-57"/>
        </w:rPr>
        <w:t xml:space="preserve"> 且 </w:t>
      </w:r>
      <w:r>
        <w:t>L≥25</w:t>
      </w:r>
      <w:r>
        <w:rPr>
          <w:spacing w:val="-11"/>
        </w:rPr>
        <w:t xml:space="preserve"> 米的车泵，取其有效使用率</w:t>
      </w:r>
      <w:r>
        <w:rPr>
          <w:spacing w:val="-53"/>
        </w:rPr>
        <w:t xml:space="preserve">为 </w:t>
      </w:r>
      <w:r>
        <w:t>50</w:t>
      </w:r>
      <w:r>
        <w:rPr>
          <w:spacing w:val="-22"/>
        </w:rPr>
        <w:t xml:space="preserve">%，按照 </w:t>
      </w:r>
      <w:r>
        <w:t>30m</w:t>
      </w:r>
      <w:r>
        <w:rPr>
          <w:position w:val="3"/>
          <w:sz w:val="21"/>
        </w:rPr>
        <w:t>3</w:t>
      </w:r>
      <w:r>
        <w:t>/h</w:t>
      </w:r>
      <w:r>
        <w:rPr>
          <w:spacing w:val="-28"/>
        </w:rPr>
        <w:t xml:space="preserve"> 计算。</w:t>
      </w:r>
    </w:p>
    <w:p>
      <w:pPr>
        <w:pStyle w:val="BodyText"/>
        <w:spacing w:line="537" w:lineRule="exact"/>
        <w:ind w:left="2059"/>
      </w:pPr>
      <w:r>
        <w:t>②砼输送车的配备</w:t>
      </w:r>
    </w:p>
    <w:p>
      <w:pPr>
        <w:pStyle w:val="BodyText"/>
        <w:spacing w:before="1"/>
        <w:rPr>
          <w:sz w:val="31"/>
        </w:rPr>
      </w:pPr>
    </w:p>
    <w:p>
      <w:pPr>
        <w:pStyle w:val="BodyText"/>
        <w:ind w:left="2059"/>
      </w:pPr>
      <w:r>
        <w:t>由于开发区唯一的商砼供应站距离该工程约 10km，故需7m</w:t>
      </w:r>
      <w:r>
        <w:rPr>
          <w:position w:val="3"/>
          <w:sz w:val="21"/>
        </w:rPr>
        <w:t>3</w:t>
      </w:r>
      <w:r>
        <w:t>/车的运输</w:t>
      </w:r>
    </w:p>
    <w:p>
      <w:pPr>
        <w:spacing w:after="0"/>
        <w:sectPr>
          <w:headerReference w:type="default" r:id="rId63"/>
          <w:footerReference w:type="default" r:id="rId64"/>
          <w:pgSz w:w="17860" w:h="25270"/>
          <w:pgMar w:top="1040" w:right="0" w:bottom="1240" w:left="1440" w:header="712" w:footer="1057"/>
          <w:pgNumType w:start="30"/>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22"/>
        </w:rPr>
      </w:pPr>
    </w:p>
    <w:p>
      <w:pPr>
        <w:pStyle w:val="BodyText"/>
        <w:spacing w:before="42"/>
        <w:ind w:left="1113"/>
      </w:pPr>
      <w:r>
        <w:rPr>
          <w:spacing w:val="-53"/>
        </w:rPr>
        <w:t xml:space="preserve">车 </w:t>
      </w:r>
      <w:r>
        <w:t>3</w:t>
      </w:r>
      <w:r>
        <w:rPr>
          <w:spacing w:val="-36"/>
        </w:rPr>
        <w:t xml:space="preserve"> 辆。</w:t>
      </w:r>
    </w:p>
    <w:p>
      <w:pPr>
        <w:pStyle w:val="BodyText"/>
        <w:spacing w:before="1"/>
        <w:rPr>
          <w:sz w:val="31"/>
        </w:rPr>
      </w:pPr>
    </w:p>
    <w:p>
      <w:pPr>
        <w:pStyle w:val="BodyText"/>
        <w:ind w:left="2059"/>
      </w:pPr>
      <w:r>
        <w:t>③其他机械、详见附表</w:t>
      </w:r>
    </w:p>
    <w:p>
      <w:pPr>
        <w:pStyle w:val="BodyText"/>
        <w:rPr>
          <w:sz w:val="31"/>
        </w:rPr>
      </w:pPr>
    </w:p>
    <w:p>
      <w:pPr>
        <w:pStyle w:val="ListParagraph"/>
        <w:numPr>
          <w:ilvl w:val="0"/>
          <w:numId w:val="9"/>
        </w:numPr>
        <w:tabs>
          <w:tab w:val="left" w:pos="2482"/>
        </w:tabs>
        <w:spacing w:before="1" w:after="0" w:line="240" w:lineRule="auto"/>
        <w:ind w:left="2482" w:right="0" w:hanging="423"/>
        <w:jc w:val="left"/>
        <w:rPr>
          <w:sz w:val="42"/>
        </w:rPr>
      </w:pPr>
      <w:r>
        <w:rPr>
          <w:sz w:val="42"/>
        </w:rPr>
        <w:t>安装工程</w:t>
      </w:r>
    </w:p>
    <w:p>
      <w:pPr>
        <w:pStyle w:val="BodyText"/>
        <w:rPr>
          <w:sz w:val="31"/>
        </w:rPr>
      </w:pPr>
    </w:p>
    <w:p>
      <w:pPr>
        <w:pStyle w:val="BodyText"/>
        <w:spacing w:line="417" w:lineRule="auto"/>
        <w:ind w:left="1113" w:right="1721" w:firstLine="946"/>
      </w:pPr>
      <w:r>
        <w:t>①钢筋绑扎过程中，将钢套管与之焊牢，支模前严格检查钢套管，坐标尺寸，防水能力是否符合要求。</w:t>
      </w:r>
    </w:p>
    <w:p>
      <w:pPr>
        <w:pStyle w:val="BodyText"/>
        <w:spacing w:line="417" w:lineRule="auto"/>
        <w:ind w:left="1113" w:right="1721" w:firstLine="946"/>
      </w:pPr>
      <w:r>
        <w:t>②进排水管及连道管与钢套管间缝按设计要求进行防水处理，并由专业人员施工。</w:t>
      </w:r>
    </w:p>
    <w:p>
      <w:pPr>
        <w:tabs>
          <w:tab w:val="left" w:pos="2794"/>
        </w:tabs>
        <w:spacing w:before="0" w:line="328" w:lineRule="auto"/>
        <w:ind w:left="1113" w:right="5933" w:firstLine="946"/>
        <w:jc w:val="left"/>
        <w:rPr>
          <w:b/>
          <w:sz w:val="42"/>
        </w:rPr>
      </w:pPr>
      <w:r>
        <w:rPr>
          <w:sz w:val="42"/>
        </w:rPr>
        <w:t>套管在公司加工场用钢板加工后，运至现场</w:t>
      </w:r>
      <w:r>
        <w:rPr>
          <w:spacing w:val="-17"/>
          <w:sz w:val="42"/>
        </w:rPr>
        <w:t>。</w:t>
      </w:r>
      <w:r>
        <w:rPr>
          <w:b/>
          <w:sz w:val="42"/>
        </w:rPr>
        <w:t>第七节</w:t>
        <w:tab/>
        <w:t>电气工程安装</w:t>
      </w:r>
    </w:p>
    <w:p>
      <w:pPr>
        <w:pStyle w:val="BodyText"/>
        <w:spacing w:before="278"/>
        <w:ind w:left="2059"/>
      </w:pPr>
      <w:r>
        <w:t>（一）电气安装工程施工前期准备</w:t>
      </w:r>
    </w:p>
    <w:p>
      <w:pPr>
        <w:pStyle w:val="BodyText"/>
        <w:spacing w:before="1"/>
        <w:rPr>
          <w:sz w:val="31"/>
        </w:rPr>
      </w:pPr>
    </w:p>
    <w:p>
      <w:pPr>
        <w:pStyle w:val="BodyText"/>
        <w:ind w:left="2059"/>
      </w:pPr>
      <w:r>
        <w:t>1、工程前期准备</w:t>
      </w:r>
    </w:p>
    <w:p>
      <w:pPr>
        <w:pStyle w:val="BodyText"/>
        <w:spacing w:before="1"/>
        <w:rPr>
          <w:sz w:val="31"/>
        </w:rPr>
      </w:pPr>
    </w:p>
    <w:p>
      <w:pPr>
        <w:pStyle w:val="BodyText"/>
        <w:spacing w:line="417" w:lineRule="auto"/>
        <w:ind w:left="1113" w:right="1721" w:firstLine="946"/>
        <w:jc w:val="both"/>
      </w:pPr>
      <w:r>
        <w:t>认真审阅设计施工图，掌握工程的全部内容和设计要求，对设计不明或认为不合理的地方，应向建设单位提出意见和建议，共同协商解决。必要时请设计单位处理。对修改或变更事项，应与建设单位共同做出详细记录以利执行和查考。</w:t>
      </w:r>
    </w:p>
    <w:p>
      <w:pPr>
        <w:pStyle w:val="BodyText"/>
        <w:spacing w:line="537" w:lineRule="exact"/>
        <w:ind w:left="2059"/>
      </w:pPr>
      <w:r>
        <w:t>2、设备及材料定购及验收</w:t>
      </w:r>
    </w:p>
    <w:p>
      <w:pPr>
        <w:pStyle w:val="BodyText"/>
        <w:spacing w:before="2"/>
        <w:rPr>
          <w:sz w:val="31"/>
        </w:rPr>
      </w:pPr>
    </w:p>
    <w:p>
      <w:pPr>
        <w:pStyle w:val="BodyText"/>
        <w:spacing w:line="417" w:lineRule="auto"/>
        <w:ind w:left="1113" w:right="1721" w:firstLine="946"/>
      </w:pPr>
      <w:r>
        <w:t>对到货的设备和器材进行清点、检查，确认这些设备的型号、规格是否符合设计要求。设备外观有无损伤，器材有无受潮。</w:t>
      </w:r>
    </w:p>
    <w:p>
      <w:pPr>
        <w:pStyle w:val="BodyText"/>
        <w:spacing w:line="537" w:lineRule="exact"/>
        <w:ind w:left="2059"/>
      </w:pPr>
      <w:r>
        <w:t>3、编制施工进度计划</w:t>
      </w:r>
    </w:p>
    <w:p>
      <w:pPr>
        <w:pStyle w:val="BodyText"/>
        <w:spacing w:before="1"/>
        <w:rPr>
          <w:sz w:val="31"/>
        </w:rPr>
      </w:pPr>
    </w:p>
    <w:p>
      <w:pPr>
        <w:pStyle w:val="BodyText"/>
        <w:spacing w:line="417" w:lineRule="auto"/>
        <w:ind w:left="1113" w:right="1721" w:firstLine="946"/>
      </w:pPr>
      <w:r>
        <w:t>勘察现场施工情况，确认是否具备施工条件。根据现场土建及其它专业的施工进度，制定电气施工进度计划。</w:t>
      </w:r>
    </w:p>
    <w:p>
      <w:pPr>
        <w:pStyle w:val="BodyText"/>
        <w:spacing w:line="537" w:lineRule="exact"/>
        <w:ind w:left="2059"/>
      </w:pPr>
      <w:r>
        <w:t>（二）主要施工工艺及方法</w:t>
      </w:r>
    </w:p>
    <w:p>
      <w:pPr>
        <w:spacing w:after="0" w:line="537" w:lineRule="exact"/>
        <w:sectPr>
          <w:headerReference w:type="default" r:id="rId65"/>
          <w:footerReference w:type="default" r:id="rId66"/>
          <w:pgSz w:w="17860" w:h="25270"/>
          <w:pgMar w:top="1040" w:right="0" w:bottom="1240" w:left="1440" w:header="712" w:footer="1057"/>
          <w:pgNumType w:start="31"/>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22"/>
        </w:rPr>
      </w:pPr>
    </w:p>
    <w:p>
      <w:pPr>
        <w:pStyle w:val="BodyText"/>
        <w:spacing w:before="42"/>
        <w:ind w:left="2059"/>
      </w:pPr>
      <w:r>
        <w:t>1、配电柜（盘）安装工艺流程</w:t>
      </w:r>
    </w:p>
    <w:p>
      <w:pPr>
        <w:pStyle w:val="BodyText"/>
        <w:spacing w:before="1"/>
        <w:rPr>
          <w:sz w:val="31"/>
        </w:rPr>
      </w:pPr>
    </w:p>
    <w:p>
      <w:pPr>
        <w:pStyle w:val="BodyText"/>
        <w:spacing w:line="417" w:lineRule="auto"/>
        <w:ind w:left="1113" w:right="1721" w:firstLine="946"/>
      </w:pPr>
      <w:r>
        <w:t>设备保管及开箱检查→柜（盘）二次搬运→柜（盘）布置→基础型钢制作安装→基础型钢接地→柜（盘）安装</w:t>
      </w:r>
    </w:p>
    <w:p>
      <w:pPr>
        <w:pStyle w:val="ListParagraph"/>
        <w:numPr>
          <w:ilvl w:val="0"/>
          <w:numId w:val="7"/>
        </w:numPr>
        <w:tabs>
          <w:tab w:val="left" w:pos="2691"/>
        </w:tabs>
        <w:spacing w:before="0" w:after="0" w:line="417" w:lineRule="auto"/>
        <w:ind w:left="1113" w:right="1404" w:firstLine="946"/>
        <w:jc w:val="left"/>
        <w:rPr>
          <w:sz w:val="42"/>
        </w:rPr>
      </w:pPr>
      <w:r>
        <w:rPr>
          <w:sz w:val="42"/>
        </w:rPr>
        <w:t>设备保管及开箱检查：设备和器材到达现场后，安装单位与建设单</w:t>
      </w:r>
      <w:r>
        <w:rPr>
          <w:spacing w:val="-1"/>
          <w:sz w:val="42"/>
        </w:rPr>
        <w:t xml:space="preserve">位应在规定期限内，共同开箱验收检查，可按各厂家规定及合同协议要求， </w:t>
      </w:r>
      <w:r>
        <w:rPr>
          <w:spacing w:val="-2"/>
          <w:sz w:val="42"/>
        </w:rPr>
        <w:t xml:space="preserve">检查设备和器材的包装及密封,设备和器材的型号、规格应符合设计要求， </w:t>
      </w:r>
      <w:r>
        <w:rPr>
          <w:spacing w:val="-3"/>
          <w:sz w:val="42"/>
        </w:rPr>
        <w:t>附件、备件的供应范围和数量按合同要求。制造商的产品技术文件应齐全。</w:t>
      </w:r>
    </w:p>
    <w:p>
      <w:pPr>
        <w:pStyle w:val="ListParagraph"/>
        <w:numPr>
          <w:ilvl w:val="0"/>
          <w:numId w:val="7"/>
        </w:numPr>
        <w:tabs>
          <w:tab w:val="left" w:pos="2691"/>
        </w:tabs>
        <w:spacing w:before="0" w:after="0" w:line="417" w:lineRule="auto"/>
        <w:ind w:left="1113" w:right="1514" w:firstLine="946"/>
        <w:jc w:val="left"/>
        <w:rPr>
          <w:sz w:val="42"/>
        </w:rPr>
      </w:pPr>
      <w:r>
        <w:rPr>
          <w:sz w:val="42"/>
        </w:rPr>
        <w:t>柜（盘）二次搬运：应根据柜（盘）</w:t>
      </w:r>
      <w:r>
        <w:rPr>
          <w:spacing w:val="-2"/>
          <w:sz w:val="42"/>
        </w:rPr>
        <w:t>的重量及形体大小，结合现场</w:t>
      </w:r>
      <w:r>
        <w:rPr>
          <w:sz w:val="42"/>
        </w:rPr>
        <w:t>施工条件，决定采用所需的运输设备。柜（盘）等在搬运和安装过程中， 应采取防震、防潮、防止框架变形和漆面受损等安全措施。</w:t>
      </w:r>
    </w:p>
    <w:p>
      <w:pPr>
        <w:pStyle w:val="ListParagraph"/>
        <w:numPr>
          <w:ilvl w:val="0"/>
          <w:numId w:val="7"/>
        </w:numPr>
        <w:tabs>
          <w:tab w:val="left" w:pos="2691"/>
        </w:tabs>
        <w:spacing w:before="0" w:after="0" w:line="417" w:lineRule="auto"/>
        <w:ind w:left="1113" w:right="1514" w:firstLine="946"/>
        <w:jc w:val="left"/>
        <w:rPr>
          <w:sz w:val="42"/>
        </w:rPr>
      </w:pPr>
      <w:r>
        <w:rPr>
          <w:sz w:val="42"/>
        </w:rPr>
        <w:t>柜（盘）</w:t>
      </w:r>
      <w:r>
        <w:rPr>
          <w:spacing w:val="-1"/>
          <w:sz w:val="42"/>
        </w:rPr>
        <w:t>布置：应考虑设备的操作、搬运、检修和试验的方便，并</w:t>
      </w:r>
      <w:r>
        <w:rPr>
          <w:sz w:val="42"/>
        </w:rPr>
        <w:t>应考虑电缆的进出线方便。</w:t>
      </w:r>
    </w:p>
    <w:p>
      <w:pPr>
        <w:pStyle w:val="ListParagraph"/>
        <w:numPr>
          <w:ilvl w:val="0"/>
          <w:numId w:val="7"/>
        </w:numPr>
        <w:tabs>
          <w:tab w:val="left" w:pos="2691"/>
        </w:tabs>
        <w:spacing w:before="0" w:after="0" w:line="417" w:lineRule="auto"/>
        <w:ind w:left="1113" w:right="1514" w:firstLine="946"/>
        <w:jc w:val="left"/>
        <w:rPr>
          <w:sz w:val="42"/>
        </w:rPr>
      </w:pPr>
      <w:r>
        <w:rPr>
          <w:sz w:val="42"/>
        </w:rPr>
        <w:t>基础型钢制作安装：型钢可根据配电柜（盘）</w:t>
      </w:r>
      <w:r>
        <w:rPr>
          <w:spacing w:val="-3"/>
          <w:sz w:val="42"/>
        </w:rPr>
        <w:t>的安装尺寸及钢材规</w:t>
      </w:r>
      <w:r>
        <w:rPr>
          <w:sz w:val="42"/>
        </w:rPr>
        <w:t>格大小而定，基础型钢制作好后，应按图纸所标位置或有关规定，配合土建工程进行预埋。</w:t>
      </w:r>
    </w:p>
    <w:p>
      <w:pPr>
        <w:pStyle w:val="ListParagraph"/>
        <w:numPr>
          <w:ilvl w:val="0"/>
          <w:numId w:val="7"/>
        </w:numPr>
        <w:tabs>
          <w:tab w:val="left" w:pos="2691"/>
        </w:tabs>
        <w:spacing w:before="0" w:after="0" w:line="537" w:lineRule="exact"/>
        <w:ind w:left="2690" w:right="0" w:hanging="632"/>
        <w:jc w:val="left"/>
        <w:rPr>
          <w:sz w:val="42"/>
        </w:rPr>
      </w:pPr>
      <w:r>
        <w:rPr>
          <w:sz w:val="42"/>
        </w:rPr>
        <w:t>基础型钢接地：埋设的配电柜（盘）的基础型钢应有明显的可靠接</w:t>
      </w:r>
    </w:p>
    <w:p>
      <w:pPr>
        <w:pStyle w:val="BodyText"/>
        <w:spacing w:before="12"/>
        <w:rPr>
          <w:sz w:val="30"/>
        </w:rPr>
      </w:pPr>
    </w:p>
    <w:p>
      <w:pPr>
        <w:pStyle w:val="BodyText"/>
        <w:ind w:left="1113"/>
      </w:pPr>
      <w:r>
        <w:t>地。</w:t>
      </w:r>
    </w:p>
    <w:p>
      <w:pPr>
        <w:pStyle w:val="BodyText"/>
        <w:spacing w:before="1"/>
        <w:rPr>
          <w:sz w:val="31"/>
        </w:rPr>
      </w:pPr>
    </w:p>
    <w:p>
      <w:pPr>
        <w:pStyle w:val="ListParagraph"/>
        <w:numPr>
          <w:ilvl w:val="0"/>
          <w:numId w:val="7"/>
        </w:numPr>
        <w:tabs>
          <w:tab w:val="left" w:pos="2691"/>
        </w:tabs>
        <w:spacing w:before="0" w:after="0" w:line="240" w:lineRule="auto"/>
        <w:ind w:left="2690" w:right="0" w:hanging="632"/>
        <w:jc w:val="left"/>
        <w:rPr>
          <w:sz w:val="42"/>
        </w:rPr>
      </w:pPr>
      <w:r>
        <w:rPr>
          <w:sz w:val="42"/>
        </w:rPr>
        <w:t>柜（盘）安装：应在土建室内装饰工程完工后进行。</w:t>
      </w:r>
    </w:p>
    <w:p>
      <w:pPr>
        <w:pStyle w:val="BodyText"/>
        <w:rPr>
          <w:sz w:val="31"/>
        </w:rPr>
      </w:pPr>
    </w:p>
    <w:p>
      <w:pPr>
        <w:pStyle w:val="BodyText"/>
        <w:spacing w:line="417" w:lineRule="auto"/>
        <w:ind w:left="1113" w:right="1300" w:firstLine="946"/>
      </w:pPr>
      <w:r>
        <w:t>工艺流程为：柜（盘）组立→柜（盘）接地→柜（盘）安装→柜（盘</w:t>
      </w:r>
      <w:r>
        <w:rPr>
          <w:spacing w:val="-17"/>
        </w:rPr>
        <w:t xml:space="preserve">） </w:t>
      </w:r>
      <w:r>
        <w:t>上的电器安装→端子排安装→柜（盘）配线→柜（盘）面装饰→柜（盘） 试验调整</w:t>
      </w:r>
    </w:p>
    <w:p>
      <w:pPr>
        <w:pStyle w:val="BodyText"/>
        <w:spacing w:line="538" w:lineRule="exact"/>
        <w:ind w:left="2059"/>
      </w:pPr>
      <w:r>
        <w:t>2、成套配电箱柜安装</w:t>
      </w:r>
    </w:p>
    <w:p>
      <w:pPr>
        <w:spacing w:after="0" w:line="538" w:lineRule="exact"/>
        <w:sectPr>
          <w:headerReference w:type="default" r:id="rId67"/>
          <w:footerReference w:type="default" r:id="rId68"/>
          <w:pgSz w:w="17860" w:h="25270"/>
          <w:pgMar w:top="1040" w:right="0" w:bottom="1240" w:left="1440" w:header="712" w:footer="1057"/>
          <w:pgNumType w:start="32"/>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22"/>
        </w:rPr>
      </w:pPr>
    </w:p>
    <w:p>
      <w:pPr>
        <w:pStyle w:val="BodyText"/>
        <w:spacing w:before="42" w:line="417" w:lineRule="auto"/>
        <w:ind w:left="1113" w:right="1463" w:firstLine="946"/>
      </w:pPr>
      <w:r>
        <w:rPr>
          <w:spacing w:val="-12"/>
        </w:rPr>
        <w:t xml:space="preserve">配电箱柜是电气系统的控制中心，直接关系到整个系统的运行及安全， </w:t>
      </w:r>
      <w:r>
        <w:t>因而也是安装工程质量控制的重点。</w:t>
      </w:r>
    </w:p>
    <w:p>
      <w:pPr>
        <w:pStyle w:val="ListParagraph"/>
        <w:numPr>
          <w:ilvl w:val="0"/>
          <w:numId w:val="6"/>
        </w:numPr>
        <w:tabs>
          <w:tab w:val="left" w:pos="3112"/>
        </w:tabs>
        <w:spacing w:before="0" w:after="0" w:line="537" w:lineRule="exact"/>
        <w:ind w:left="3112" w:right="0" w:hanging="1053"/>
        <w:jc w:val="left"/>
        <w:rPr>
          <w:sz w:val="42"/>
        </w:rPr>
      </w:pPr>
      <w:r>
        <w:rPr>
          <w:sz w:val="42"/>
        </w:rPr>
        <w:t>箱柜的布置及安装要点</w:t>
      </w:r>
    </w:p>
    <w:p>
      <w:pPr>
        <w:pStyle w:val="BodyText"/>
        <w:spacing w:before="1"/>
        <w:rPr>
          <w:sz w:val="31"/>
        </w:rPr>
      </w:pPr>
    </w:p>
    <w:p>
      <w:pPr>
        <w:pStyle w:val="ListParagraph"/>
        <w:numPr>
          <w:ilvl w:val="0"/>
          <w:numId w:val="5"/>
        </w:numPr>
        <w:tabs>
          <w:tab w:val="left" w:pos="2691"/>
        </w:tabs>
        <w:spacing w:before="0" w:after="0" w:line="417" w:lineRule="auto"/>
        <w:ind w:left="1113" w:right="1615" w:firstLine="946"/>
        <w:jc w:val="left"/>
        <w:rPr>
          <w:sz w:val="42"/>
        </w:rPr>
      </w:pPr>
      <w:r>
        <w:rPr>
          <w:spacing w:val="-12"/>
          <w:sz w:val="42"/>
        </w:rPr>
        <w:t>低压配电柜、箱的平面位置应按图施工，标准层竖井内的空间位置</w:t>
      </w:r>
      <w:r>
        <w:rPr>
          <w:sz w:val="42"/>
        </w:rPr>
        <w:t>应按统一标准尺寸控制，为了安全和操作方便，不应安装于门后或妨碍操作的设备旁。</w:t>
      </w:r>
    </w:p>
    <w:p>
      <w:pPr>
        <w:pStyle w:val="ListParagraph"/>
        <w:numPr>
          <w:ilvl w:val="0"/>
          <w:numId w:val="5"/>
        </w:numPr>
        <w:tabs>
          <w:tab w:val="left" w:pos="2691"/>
        </w:tabs>
        <w:spacing w:before="0" w:after="0" w:line="417" w:lineRule="auto"/>
        <w:ind w:left="1113" w:right="1482" w:firstLine="946"/>
        <w:jc w:val="left"/>
        <w:rPr>
          <w:sz w:val="42"/>
        </w:rPr>
      </w:pPr>
      <w:r>
        <w:rPr>
          <w:spacing w:val="-21"/>
          <w:sz w:val="42"/>
        </w:rPr>
        <w:t>单独柜</w:t>
      </w:r>
      <w:r>
        <w:rPr>
          <w:sz w:val="42"/>
        </w:rPr>
        <w:t>（盘</w:t>
      </w:r>
      <w:r>
        <w:rPr>
          <w:spacing w:val="-61"/>
          <w:sz w:val="42"/>
        </w:rPr>
        <w:t>）</w:t>
      </w:r>
      <w:r>
        <w:rPr>
          <w:spacing w:val="-11"/>
          <w:sz w:val="42"/>
        </w:rPr>
        <w:t>只找柜面和侧面的垂直度。成列柜</w:t>
      </w:r>
      <w:r>
        <w:rPr>
          <w:sz w:val="42"/>
        </w:rPr>
        <w:t>（盘</w:t>
      </w:r>
      <w:r>
        <w:rPr>
          <w:spacing w:val="-69"/>
          <w:sz w:val="42"/>
        </w:rPr>
        <w:t>）</w:t>
      </w:r>
      <w:r>
        <w:rPr>
          <w:sz w:val="42"/>
        </w:rPr>
        <w:t>各台就位后</w:t>
      </w:r>
      <w:r>
        <w:rPr>
          <w:spacing w:val="-6"/>
          <w:sz w:val="42"/>
        </w:rPr>
        <w:t xml:space="preserve">，先找正两端的柜，再从柜下至上 </w:t>
      </w:r>
      <w:r>
        <w:rPr>
          <w:sz w:val="42"/>
        </w:rPr>
        <w:t>2/3</w:t>
      </w:r>
      <w:r>
        <w:rPr>
          <w:spacing w:val="-4"/>
          <w:sz w:val="42"/>
        </w:rPr>
        <w:t xml:space="preserve"> 高的位置绷上小线，逐台找正。找</w:t>
      </w:r>
      <w:r>
        <w:rPr>
          <w:spacing w:val="-15"/>
          <w:sz w:val="42"/>
        </w:rPr>
        <w:t xml:space="preserve">正时采用 </w:t>
      </w:r>
      <w:r>
        <w:rPr>
          <w:sz w:val="42"/>
        </w:rPr>
        <w:t>0.5mm</w:t>
      </w:r>
      <w:r>
        <w:rPr>
          <w:spacing w:val="-13"/>
          <w:sz w:val="42"/>
        </w:rPr>
        <w:t xml:space="preserve"> 铁片进行调整，每处垫片最多不能超过 </w:t>
      </w:r>
      <w:r>
        <w:rPr>
          <w:sz w:val="42"/>
        </w:rPr>
        <w:t>3</w:t>
      </w:r>
      <w:r>
        <w:rPr>
          <w:spacing w:val="-9"/>
          <w:sz w:val="42"/>
        </w:rPr>
        <w:t xml:space="preserve"> 片。然后按固定</w:t>
      </w:r>
      <w:r>
        <w:rPr>
          <w:spacing w:val="-20"/>
          <w:sz w:val="42"/>
        </w:rPr>
        <w:t>螺栓尺寸，在基础型钢架上用手电钻钻孔。一般若无要求时，低压柜钻φ12.2孔，高压柜钻φ16.2</w:t>
      </w:r>
      <w:r>
        <w:rPr>
          <w:spacing w:val="-2"/>
          <w:sz w:val="42"/>
        </w:rPr>
        <w:t xml:space="preserve"> 孔，分别用</w:t>
      </w:r>
      <w:r>
        <w:rPr>
          <w:sz w:val="42"/>
        </w:rPr>
        <w:t>M12、M16</w:t>
      </w:r>
      <w:r>
        <w:rPr>
          <w:spacing w:val="-13"/>
          <w:sz w:val="42"/>
        </w:rPr>
        <w:t xml:space="preserve"> 镀锌螺栓螺孔固定。</w:t>
      </w:r>
    </w:p>
    <w:p>
      <w:pPr>
        <w:pStyle w:val="ListParagraph"/>
        <w:numPr>
          <w:ilvl w:val="0"/>
          <w:numId w:val="5"/>
        </w:numPr>
        <w:tabs>
          <w:tab w:val="left" w:pos="2691"/>
        </w:tabs>
        <w:spacing w:before="0" w:after="0" w:line="417" w:lineRule="auto"/>
        <w:ind w:left="1113" w:right="1514" w:firstLine="946"/>
        <w:jc w:val="left"/>
        <w:rPr>
          <w:sz w:val="42"/>
        </w:rPr>
      </w:pPr>
      <w:r>
        <w:rPr>
          <w:spacing w:val="-1"/>
          <w:sz w:val="42"/>
        </w:rPr>
        <w:t xml:space="preserve">成排配电柜，柜与柜之间应用螺栓进行固定，根据柜的高度不同， </w:t>
      </w:r>
      <w:r>
        <w:rPr>
          <w:sz w:val="42"/>
        </w:rPr>
        <w:t>选择相应的固定点，以保证配电柜的稳固性。</w:t>
      </w:r>
    </w:p>
    <w:p>
      <w:pPr>
        <w:pStyle w:val="ListParagraph"/>
        <w:numPr>
          <w:ilvl w:val="0"/>
          <w:numId w:val="6"/>
        </w:numPr>
        <w:tabs>
          <w:tab w:val="left" w:pos="3112"/>
        </w:tabs>
        <w:spacing w:before="0" w:after="0" w:line="537" w:lineRule="exact"/>
        <w:ind w:left="3112" w:right="0" w:hanging="1053"/>
        <w:jc w:val="left"/>
        <w:rPr>
          <w:sz w:val="42"/>
        </w:rPr>
      </w:pPr>
      <w:r>
        <w:rPr>
          <w:sz w:val="42"/>
        </w:rPr>
        <w:t>基础型钢安装</w:t>
      </w:r>
    </w:p>
    <w:p>
      <w:pPr>
        <w:pStyle w:val="BodyText"/>
        <w:spacing w:before="12"/>
        <w:rPr>
          <w:sz w:val="30"/>
        </w:rPr>
      </w:pPr>
    </w:p>
    <w:p>
      <w:pPr>
        <w:pStyle w:val="ListParagraph"/>
        <w:numPr>
          <w:ilvl w:val="0"/>
          <w:numId w:val="4"/>
        </w:numPr>
        <w:tabs>
          <w:tab w:val="left" w:pos="2691"/>
        </w:tabs>
        <w:spacing w:before="0" w:after="0" w:line="417" w:lineRule="auto"/>
        <w:ind w:left="1113" w:right="1514" w:firstLine="946"/>
        <w:jc w:val="left"/>
        <w:rPr>
          <w:sz w:val="42"/>
        </w:rPr>
      </w:pPr>
      <w:r>
        <w:rPr>
          <w:spacing w:val="-1"/>
          <w:sz w:val="42"/>
        </w:rPr>
        <w:t>调直型钢，将有弯的型钢调直，然后按图纸要求预制加工基础型钢</w:t>
      </w:r>
      <w:r>
        <w:rPr>
          <w:sz w:val="42"/>
        </w:rPr>
        <w:t>架，并刷好防锈漆。</w:t>
      </w:r>
    </w:p>
    <w:p>
      <w:pPr>
        <w:pStyle w:val="ListParagraph"/>
        <w:numPr>
          <w:ilvl w:val="0"/>
          <w:numId w:val="4"/>
        </w:numPr>
        <w:tabs>
          <w:tab w:val="left" w:pos="2691"/>
        </w:tabs>
        <w:spacing w:before="0" w:after="0" w:line="417" w:lineRule="auto"/>
        <w:ind w:left="1113" w:right="1460" w:firstLine="946"/>
        <w:jc w:val="left"/>
        <w:rPr>
          <w:sz w:val="42"/>
        </w:rPr>
      </w:pPr>
      <w:r>
        <w:rPr>
          <w:spacing w:val="-14"/>
          <w:sz w:val="42"/>
        </w:rPr>
        <w:t>按施工图纸所标位置，将预制加工好的基础型钢架放在预留铁件上</w:t>
      </w:r>
      <w:r>
        <w:rPr>
          <w:spacing w:val="-5"/>
          <w:sz w:val="42"/>
        </w:rPr>
        <w:t>，用水准仪或水平尺找平、找正。</w:t>
      </w:r>
    </w:p>
    <w:p>
      <w:pPr>
        <w:pStyle w:val="ListParagraph"/>
        <w:numPr>
          <w:ilvl w:val="0"/>
          <w:numId w:val="4"/>
        </w:numPr>
        <w:tabs>
          <w:tab w:val="left" w:pos="2691"/>
        </w:tabs>
        <w:spacing w:before="0" w:after="0" w:line="417" w:lineRule="auto"/>
        <w:ind w:left="1113" w:right="1514" w:firstLine="946"/>
        <w:jc w:val="left"/>
        <w:rPr>
          <w:sz w:val="42"/>
        </w:rPr>
      </w:pPr>
      <w:r>
        <w:rPr>
          <w:spacing w:val="-1"/>
          <w:sz w:val="42"/>
        </w:rPr>
        <w:t>基础型钢与接地线连接：基础型钢安装完毕后，将室外地线扁钢分</w:t>
      </w:r>
      <w:r>
        <w:rPr>
          <w:sz w:val="42"/>
        </w:rPr>
        <w:t>别引入室内（与变压器安装地线配合）与基础型钢的两端焊牢，焊接长度</w:t>
      </w:r>
      <w:r>
        <w:rPr>
          <w:spacing w:val="-16"/>
          <w:sz w:val="42"/>
        </w:rPr>
        <w:t xml:space="preserve">为扁钢宽度的 </w:t>
      </w:r>
      <w:r>
        <w:rPr>
          <w:sz w:val="42"/>
        </w:rPr>
        <w:t>2</w:t>
      </w:r>
      <w:r>
        <w:rPr>
          <w:spacing w:val="-11"/>
          <w:sz w:val="42"/>
        </w:rPr>
        <w:t xml:space="preserve"> 倍，然后将基础型钢刷两遍灰漆。</w:t>
      </w:r>
    </w:p>
    <w:p>
      <w:pPr>
        <w:pStyle w:val="BodyText"/>
        <w:spacing w:line="538" w:lineRule="exact"/>
        <w:ind w:left="2481"/>
      </w:pPr>
      <w:r>
        <w:t>3、配线工程</w:t>
      </w:r>
    </w:p>
    <w:p>
      <w:pPr>
        <w:spacing w:after="0" w:line="538" w:lineRule="exact"/>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9" w:history="1">
        <w:r>
          <w:rPr>
            <w:rFonts w:ascii="SimSun" w:eastAsia="SimSun" w:hAnsi="SimSun" w:cs="SimSun"/>
            <w:b/>
            <w:bCs/>
            <w:color w:val="0000EE"/>
            <w:sz w:val="30"/>
            <w:szCs w:val="30"/>
            <w:u w:val="single" w:color="0000EE"/>
          </w:rPr>
          <w:t>https://d.book118.com/645014313022011100</w:t>
        </w:r>
      </w:hyperlink>
    </w:p>
    <w:p>
      <w:pPr>
        <w:spacing w:after="0" w:line="538" w:lineRule="exact"/>
      </w:pPr>
    </w:p>
    <w:sectPr>
      <w:headerReference w:type="default" r:id="rId70"/>
      <w:footerReference w:type="default" r:id="rId71"/>
      <w:pgSz w:w="17860" w:h="25270"/>
      <w:pgMar w:top="1040" w:right="0" w:bottom="1240" w:left="1440" w:header="712" w:footer="1057"/>
      <w:pgNumType w:start="33"/>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楷体">
    <w:altName w:val="楷体"/>
    <w:charset w:val="86"/>
    <w:family w:val="modern"/>
    <w:pitch w:val="fixed"/>
    <w:sig w:usb0="00000000" w:usb1="00000000" w:usb2="00000000" w:usb3="00000000" w:csb0="00040000" w:csb1="00000000"/>
  </w:font>
  <w:font w:name="Wingdings">
    <w:altName w:val="Wingdings"/>
    <w:charset w:val="02"/>
    <w:family w:val="auto"/>
    <w:pitch w:val="variable"/>
    <w:sig w:usb0="00000000" w:usb1="00000000" w:usb2="00000000" w:usb3="00000000" w:csb0="80000000" w:csb1="00000000"/>
  </w:font>
  <w:font w:name="幼圆">
    <w:altName w:val="幼圆"/>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59.45pt;height:17.2pt;margin-top:1199.19pt;margin-left:322.71pt;mso-position-horizontal-relative:page;mso-position-vertical-relative:page;position:absolute;z-index:-251658240" filled="f" stroked="f">
          <v:textbox inset="0,0,0,0">
            <w:txbxContent>
              <w:p>
                <w:pPr>
                  <w:spacing w:before="15" w:line="328" w:lineRule="exact"/>
                  <w:ind w:left="20" w:right="0" w:firstLine="0"/>
                  <w:jc w:val="left"/>
                  <w:rPr>
                    <w:rFonts w:ascii="宋体" w:eastAsia="宋体" w:hint="eastAsia"/>
                    <w:sz w:val="27"/>
                  </w:rPr>
                </w:pPr>
                <w:r>
                  <w:rPr>
                    <w:rFonts w:ascii="宋体" w:eastAsia="宋体" w:hint="eastAsia"/>
                    <w:sz w:val="27"/>
                  </w:rPr>
                  <w:t>专业</w:t>
                </w:r>
                <w:r>
                  <w:rPr>
                    <w:rFonts w:ascii="Times New Roman" w:eastAsia="Times New Roman"/>
                    <w:sz w:val="27"/>
                  </w:rPr>
                  <w:t>.</w:t>
                </w:r>
                <w:r>
                  <w:rPr>
                    <w:rFonts w:ascii="宋体" w:eastAsia="宋体" w:hint="eastAsia"/>
                    <w:sz w:val="27"/>
                  </w:rPr>
                  <w:t>整理</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59.45pt;height:17.2pt;margin-top:1199.19pt;margin-left:322.71pt;mso-position-horizontal-relative:page;mso-position-vertical-relative:page;position:absolute;z-index:-251657216" filled="f" stroked="f">
          <v:textbox inset="0,0,0,0">
            <w:txbxContent>
              <w:p>
                <w:pPr>
                  <w:spacing w:before="15" w:line="328" w:lineRule="exact"/>
                  <w:ind w:left="20" w:right="0" w:firstLine="0"/>
                  <w:jc w:val="left"/>
                  <w:rPr>
                    <w:rFonts w:ascii="宋体" w:eastAsia="宋体" w:hint="eastAsia"/>
                    <w:sz w:val="27"/>
                  </w:rPr>
                </w:pPr>
                <w:r>
                  <w:rPr>
                    <w:rFonts w:ascii="宋体" w:eastAsia="宋体" w:hint="eastAsia"/>
                    <w:sz w:val="27"/>
                  </w:rPr>
                  <w:t>专业</w:t>
                </w:r>
                <w:r>
                  <w:rPr>
                    <w:rFonts w:ascii="Times New Roman" w:eastAsia="Times New Roman"/>
                    <w:sz w:val="27"/>
                  </w:rPr>
                  <w:t>.</w:t>
                </w:r>
                <w:r>
                  <w:rPr>
                    <w:rFonts w:ascii="宋体" w:eastAsia="宋体" w:hint="eastAsia"/>
                    <w:sz w:val="27"/>
                  </w:rPr>
                  <w:t>整理</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59.45pt;height:17.2pt;margin-top:1199.19pt;margin-left:322.71pt;mso-position-horizontal-relative:page;mso-position-vertical-relative:page;position:absolute;z-index:-251656192" filled="f" stroked="f">
          <v:textbox inset="0,0,0,0">
            <w:txbxContent>
              <w:p>
                <w:pPr>
                  <w:spacing w:before="15" w:line="328" w:lineRule="exact"/>
                  <w:ind w:left="20" w:right="0" w:firstLine="0"/>
                  <w:jc w:val="left"/>
                  <w:rPr>
                    <w:rFonts w:ascii="宋体" w:eastAsia="宋体" w:hint="eastAsia"/>
                    <w:sz w:val="27"/>
                  </w:rPr>
                </w:pPr>
                <w:r>
                  <w:rPr>
                    <w:rFonts w:ascii="宋体" w:eastAsia="宋体" w:hint="eastAsia"/>
                    <w:sz w:val="27"/>
                  </w:rPr>
                  <w:t>专业</w:t>
                </w:r>
                <w:r>
                  <w:rPr>
                    <w:rFonts w:ascii="Times New Roman" w:eastAsia="Times New Roman"/>
                    <w:sz w:val="27"/>
                  </w:rPr>
                  <w:t>.</w:t>
                </w:r>
                <w:r>
                  <w:rPr>
                    <w:rFonts w:ascii="宋体" w:eastAsia="宋体" w:hint="eastAsia"/>
                    <w:sz w:val="27"/>
                  </w:rPr>
                  <w:t>整理</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59.45pt;height:17.2pt;margin-top:1199.19pt;margin-left:322.71pt;mso-position-horizontal-relative:page;mso-position-vertical-relative:page;position:absolute;z-index:-251655168" filled="f" stroked="f">
          <v:textbox inset="0,0,0,0">
            <w:txbxContent>
              <w:p>
                <w:pPr>
                  <w:spacing w:before="15" w:line="328" w:lineRule="exact"/>
                  <w:ind w:left="20" w:right="0" w:firstLine="0"/>
                  <w:jc w:val="left"/>
                  <w:rPr>
                    <w:rFonts w:ascii="宋体" w:eastAsia="宋体" w:hint="eastAsia"/>
                    <w:sz w:val="27"/>
                  </w:rPr>
                </w:pPr>
                <w:r>
                  <w:rPr>
                    <w:rFonts w:ascii="宋体" w:eastAsia="宋体" w:hint="eastAsia"/>
                    <w:sz w:val="27"/>
                  </w:rPr>
                  <w:t>专业</w:t>
                </w:r>
                <w:r>
                  <w:rPr>
                    <w:rFonts w:ascii="Times New Roman" w:eastAsia="Times New Roman"/>
                    <w:sz w:val="27"/>
                  </w:rPr>
                  <w:t>.</w:t>
                </w:r>
                <w:r>
                  <w:rPr>
                    <w:rFonts w:ascii="宋体" w:eastAsia="宋体" w:hint="eastAsia"/>
                    <w:sz w:val="27"/>
                  </w:rPr>
                  <w:t>整理</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3" type="#_x0000_t202" style="width:59.45pt;height:17.2pt;margin-top:1199.19pt;margin-left:322.71pt;mso-position-horizontal-relative:page;mso-position-vertical-relative:page;position:absolute;z-index:-251654144" filled="f" stroked="f">
          <v:textbox inset="0,0,0,0">
            <w:txbxContent>
              <w:p>
                <w:pPr>
                  <w:spacing w:before="15" w:line="328" w:lineRule="exact"/>
                  <w:ind w:left="20" w:right="0" w:firstLine="0"/>
                  <w:jc w:val="left"/>
                  <w:rPr>
                    <w:rFonts w:ascii="宋体" w:eastAsia="宋体" w:hint="eastAsia"/>
                    <w:sz w:val="27"/>
                  </w:rPr>
                </w:pPr>
                <w:r>
                  <w:rPr>
                    <w:rFonts w:ascii="宋体" w:eastAsia="宋体" w:hint="eastAsia"/>
                    <w:sz w:val="27"/>
                  </w:rPr>
                  <w:t>专业</w:t>
                </w:r>
                <w:r>
                  <w:rPr>
                    <w:rFonts w:ascii="Times New Roman" w:eastAsia="Times New Roman"/>
                    <w:sz w:val="27"/>
                  </w:rPr>
                  <w:t>.</w:t>
                </w:r>
                <w:r>
                  <w:rPr>
                    <w:rFonts w:ascii="宋体" w:eastAsia="宋体" w:hint="eastAsia"/>
                    <w:sz w:val="27"/>
                  </w:rPr>
                  <w:t>整理</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59.45pt;height:17.2pt;margin-top:1199.19pt;margin-left:322.71pt;mso-position-horizontal-relative:page;mso-position-vertical-relative:page;position:absolute;z-index:-251653120" filled="f" stroked="f">
          <v:textbox inset="0,0,0,0">
            <w:txbxContent>
              <w:p>
                <w:pPr>
                  <w:spacing w:before="15" w:line="328" w:lineRule="exact"/>
                  <w:ind w:left="20" w:right="0" w:firstLine="0"/>
                  <w:jc w:val="left"/>
                  <w:rPr>
                    <w:rFonts w:ascii="宋体" w:eastAsia="宋体" w:hint="eastAsia"/>
                    <w:sz w:val="27"/>
                  </w:rPr>
                </w:pPr>
                <w:r>
                  <w:rPr>
                    <w:rFonts w:ascii="宋体" w:eastAsia="宋体" w:hint="eastAsia"/>
                    <w:sz w:val="27"/>
                  </w:rPr>
                  <w:t>专业</w:t>
                </w:r>
                <w:r>
                  <w:rPr>
                    <w:rFonts w:ascii="Times New Roman" w:eastAsia="Times New Roman"/>
                    <w:sz w:val="27"/>
                  </w:rPr>
                  <w:t>.</w:t>
                </w:r>
                <w:r>
                  <w:rPr>
                    <w:rFonts w:ascii="宋体" w:eastAsia="宋体" w:hint="eastAsia"/>
                    <w:sz w:val="27"/>
                  </w:rPr>
                  <w:t>整理</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3" type="#_x0000_t202" style="width:59.45pt;height:17.2pt;margin-top:1199.19pt;margin-left:322.71pt;mso-position-horizontal-relative:page;mso-position-vertical-relative:page;position:absolute;z-index:-251652096" filled="f" stroked="f">
          <v:textbox inset="0,0,0,0">
            <w:txbxContent>
              <w:p>
                <w:pPr>
                  <w:spacing w:before="15" w:line="328" w:lineRule="exact"/>
                  <w:ind w:left="20" w:right="0" w:firstLine="0"/>
                  <w:jc w:val="left"/>
                  <w:rPr>
                    <w:rFonts w:ascii="宋体" w:eastAsia="宋体" w:hint="eastAsia"/>
                    <w:sz w:val="27"/>
                  </w:rPr>
                </w:pPr>
                <w:r>
                  <w:rPr>
                    <w:rFonts w:ascii="宋体" w:eastAsia="宋体" w:hint="eastAsia"/>
                    <w:sz w:val="27"/>
                  </w:rPr>
                  <w:t>专业</w:t>
                </w:r>
                <w:r>
                  <w:rPr>
                    <w:rFonts w:ascii="Times New Roman" w:eastAsia="Times New Roman"/>
                    <w:sz w:val="27"/>
                  </w:rPr>
                  <w:t>.</w:t>
                </w:r>
                <w:r>
                  <w:rPr>
                    <w:rFonts w:ascii="宋体" w:eastAsia="宋体" w:hint="eastAsia"/>
                    <w:sz w:val="27"/>
                  </w:rPr>
                  <w:t>整理</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8" type="#_x0000_t202" style="width:59.45pt;height:17.2pt;margin-top:1199.19pt;margin-left:322.71pt;mso-position-horizontal-relative:page;mso-position-vertical-relative:page;position:absolute;z-index:-251651072" filled="f" stroked="f">
          <v:textbox inset="0,0,0,0">
            <w:txbxContent>
              <w:p>
                <w:pPr>
                  <w:spacing w:before="15" w:line="328" w:lineRule="exact"/>
                  <w:ind w:left="20" w:right="0" w:firstLine="0"/>
                  <w:jc w:val="left"/>
                  <w:rPr>
                    <w:rFonts w:ascii="宋体" w:eastAsia="宋体" w:hint="eastAsia"/>
                    <w:sz w:val="27"/>
                  </w:rPr>
                </w:pPr>
                <w:r>
                  <w:rPr>
                    <w:rFonts w:ascii="宋体" w:eastAsia="宋体" w:hint="eastAsia"/>
                    <w:sz w:val="27"/>
                  </w:rPr>
                  <w:t>专业</w:t>
                </w:r>
                <w:r>
                  <w:rPr>
                    <w:rFonts w:ascii="Times New Roman" w:eastAsia="Times New Roman"/>
                    <w:sz w:val="27"/>
                  </w:rPr>
                  <w:t>.</w:t>
                </w:r>
                <w:r>
                  <w:rPr>
                    <w:rFonts w:ascii="宋体" w:eastAsia="宋体" w:hint="eastAsia"/>
                    <w:sz w:val="27"/>
                  </w:rPr>
                  <w:t>整理</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3" type="#_x0000_t202" style="width:59.45pt;height:17.2pt;margin-top:1199.19pt;margin-left:322.71pt;mso-position-horizontal-relative:page;mso-position-vertical-relative:page;position:absolute;z-index:-251650048" filled="f" stroked="f">
          <v:textbox inset="0,0,0,0">
            <w:txbxContent>
              <w:p>
                <w:pPr>
                  <w:spacing w:before="15" w:line="328" w:lineRule="exact"/>
                  <w:ind w:left="20" w:right="0" w:firstLine="0"/>
                  <w:jc w:val="left"/>
                  <w:rPr>
                    <w:rFonts w:ascii="宋体" w:eastAsia="宋体" w:hint="eastAsia"/>
                    <w:sz w:val="27"/>
                  </w:rPr>
                </w:pPr>
                <w:r>
                  <w:rPr>
                    <w:rFonts w:ascii="宋体" w:eastAsia="宋体" w:hint="eastAsia"/>
                    <w:sz w:val="27"/>
                  </w:rPr>
                  <w:t>专业</w:t>
                </w:r>
                <w:r>
                  <w:rPr>
                    <w:rFonts w:ascii="Times New Roman" w:eastAsia="Times New Roman"/>
                    <w:sz w:val="27"/>
                  </w:rPr>
                  <w:t>.</w:t>
                </w:r>
                <w:r>
                  <w:rPr>
                    <w:rFonts w:ascii="宋体" w:eastAsia="宋体" w:hint="eastAsia"/>
                    <w:sz w:val="27"/>
                  </w:rPr>
                  <w:t>整理</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8" type="#_x0000_t202" style="width:59.45pt;height:17.2pt;margin-top:1199.19pt;margin-left:322.71pt;mso-position-horizontal-relative:page;mso-position-vertical-relative:page;position:absolute;z-index:-251649024" filled="f" stroked="f">
          <v:textbox inset="0,0,0,0">
            <w:txbxContent>
              <w:p>
                <w:pPr>
                  <w:spacing w:before="15" w:line="328" w:lineRule="exact"/>
                  <w:ind w:left="20" w:right="0" w:firstLine="0"/>
                  <w:jc w:val="left"/>
                  <w:rPr>
                    <w:rFonts w:ascii="宋体" w:eastAsia="宋体" w:hint="eastAsia"/>
                    <w:sz w:val="27"/>
                  </w:rPr>
                </w:pPr>
                <w:r>
                  <w:rPr>
                    <w:rFonts w:ascii="宋体" w:eastAsia="宋体" w:hint="eastAsia"/>
                    <w:sz w:val="27"/>
                  </w:rPr>
                  <w:t>专业</w:t>
                </w:r>
                <w:r>
                  <w:rPr>
                    <w:rFonts w:ascii="Times New Roman" w:eastAsia="Times New Roman"/>
                    <w:sz w:val="27"/>
                  </w:rPr>
                  <w:t>.</w:t>
                </w:r>
                <w:r>
                  <w:rPr>
                    <w:rFonts w:ascii="宋体" w:eastAsia="宋体" w:hint="eastAsia"/>
                    <w:sz w:val="27"/>
                  </w:rPr>
                  <w:t>整理</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3" type="#_x0000_t202" style="width:59.45pt;height:17.2pt;margin-top:1199.19pt;margin-left:322.71pt;mso-position-horizontal-relative:page;mso-position-vertical-relative:page;position:absolute;z-index:-251648000" filled="f" stroked="f">
          <v:textbox inset="0,0,0,0">
            <w:txbxContent>
              <w:p>
                <w:pPr>
                  <w:spacing w:before="15" w:line="328" w:lineRule="exact"/>
                  <w:ind w:left="20" w:right="0" w:firstLine="0"/>
                  <w:jc w:val="left"/>
                  <w:rPr>
                    <w:rFonts w:ascii="宋体" w:eastAsia="宋体" w:hint="eastAsia"/>
                    <w:sz w:val="27"/>
                  </w:rPr>
                </w:pPr>
                <w:r>
                  <w:rPr>
                    <w:rFonts w:ascii="宋体" w:eastAsia="宋体" w:hint="eastAsia"/>
                    <w:sz w:val="27"/>
                  </w:rPr>
                  <w:t>专业</w:t>
                </w:r>
                <w:r>
                  <w:rPr>
                    <w:rFonts w:ascii="Times New Roman" w:eastAsia="Times New Roman"/>
                    <w:sz w:val="27"/>
                  </w:rPr>
                  <w:t>.</w:t>
                </w:r>
                <w:r>
                  <w:rPr>
                    <w:rFonts w:ascii="宋体" w:eastAsia="宋体" w:hint="eastAsia"/>
                    <w:sz w:val="27"/>
                  </w:rPr>
                  <w:t>整理</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8" type="#_x0000_t202" style="width:59.45pt;height:17.2pt;margin-top:1199.19pt;margin-left:322.71pt;mso-position-horizontal-relative:page;mso-position-vertical-relative:page;position:absolute;z-index:-251646976" filled="f" stroked="f">
          <v:textbox inset="0,0,0,0">
            <w:txbxContent>
              <w:p>
                <w:pPr>
                  <w:spacing w:before="15" w:line="328" w:lineRule="exact"/>
                  <w:ind w:left="20" w:right="0" w:firstLine="0"/>
                  <w:jc w:val="left"/>
                  <w:rPr>
                    <w:rFonts w:ascii="宋体" w:eastAsia="宋体" w:hint="eastAsia"/>
                    <w:sz w:val="27"/>
                  </w:rPr>
                </w:pPr>
                <w:r>
                  <w:rPr>
                    <w:rFonts w:ascii="宋体" w:eastAsia="宋体" w:hint="eastAsia"/>
                    <w:sz w:val="27"/>
                  </w:rPr>
                  <w:t>专业</w:t>
                </w:r>
                <w:r>
                  <w:rPr>
                    <w:rFonts w:ascii="Times New Roman" w:eastAsia="Times New Roman"/>
                    <w:sz w:val="27"/>
                  </w:rPr>
                  <w:t>.</w:t>
                </w:r>
                <w:r>
                  <w:rPr>
                    <w:rFonts w:ascii="宋体" w:eastAsia="宋体" w:hint="eastAsia"/>
                    <w:sz w:val="27"/>
                  </w:rPr>
                  <w:t>整理</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3" type="#_x0000_t202" style="width:59.45pt;height:17.2pt;margin-top:1199.19pt;margin-left:322.71pt;mso-position-horizontal-relative:page;mso-position-vertical-relative:page;position:absolute;z-index:-251645952" filled="f" stroked="f">
          <v:textbox inset="0,0,0,0">
            <w:txbxContent>
              <w:p>
                <w:pPr>
                  <w:spacing w:before="15" w:line="328" w:lineRule="exact"/>
                  <w:ind w:left="20" w:right="0" w:firstLine="0"/>
                  <w:jc w:val="left"/>
                  <w:rPr>
                    <w:rFonts w:ascii="宋体" w:eastAsia="宋体" w:hint="eastAsia"/>
                    <w:sz w:val="27"/>
                  </w:rPr>
                </w:pPr>
                <w:r>
                  <w:rPr>
                    <w:rFonts w:ascii="宋体" w:eastAsia="宋体" w:hint="eastAsia"/>
                    <w:sz w:val="27"/>
                  </w:rPr>
                  <w:t>专业</w:t>
                </w:r>
                <w:r>
                  <w:rPr>
                    <w:rFonts w:ascii="Times New Roman" w:eastAsia="Times New Roman"/>
                    <w:sz w:val="27"/>
                  </w:rPr>
                  <w:t>.</w:t>
                </w:r>
                <w:r>
                  <w:rPr>
                    <w:rFonts w:ascii="宋体" w:eastAsia="宋体" w:hint="eastAsia"/>
                    <w:sz w:val="27"/>
                  </w:rPr>
                  <w:t>整理</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8" type="#_x0000_t202" style="width:59.45pt;height:17.2pt;margin-top:1199.19pt;margin-left:322.71pt;mso-position-horizontal-relative:page;mso-position-vertical-relative:page;position:absolute;z-index:-251644928" filled="f" stroked="f">
          <v:textbox inset="0,0,0,0">
            <w:txbxContent>
              <w:p>
                <w:pPr>
                  <w:spacing w:before="15" w:line="328" w:lineRule="exact"/>
                  <w:ind w:left="20" w:right="0" w:firstLine="0"/>
                  <w:jc w:val="left"/>
                  <w:rPr>
                    <w:rFonts w:ascii="宋体" w:eastAsia="宋体" w:hint="eastAsia"/>
                    <w:sz w:val="27"/>
                  </w:rPr>
                </w:pPr>
                <w:r>
                  <w:rPr>
                    <w:rFonts w:ascii="宋体" w:eastAsia="宋体" w:hint="eastAsia"/>
                    <w:sz w:val="27"/>
                  </w:rPr>
                  <w:t>专业</w:t>
                </w:r>
                <w:r>
                  <w:rPr>
                    <w:rFonts w:ascii="Times New Roman" w:eastAsia="Times New Roman"/>
                    <w:sz w:val="27"/>
                  </w:rPr>
                  <w:t>.</w:t>
                </w:r>
                <w:r>
                  <w:rPr>
                    <w:rFonts w:ascii="宋体" w:eastAsia="宋体" w:hint="eastAsia"/>
                    <w:sz w:val="27"/>
                  </w:rPr>
                  <w:t>整理</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3" type="#_x0000_t202" style="width:59.45pt;height:17.2pt;margin-top:1199.19pt;margin-left:322.71pt;mso-position-horizontal-relative:page;mso-position-vertical-relative:page;position:absolute;z-index:-251643904" filled="f" stroked="f">
          <v:textbox inset="0,0,0,0">
            <w:txbxContent>
              <w:p>
                <w:pPr>
                  <w:spacing w:before="15" w:line="328" w:lineRule="exact"/>
                  <w:ind w:left="20" w:right="0" w:firstLine="0"/>
                  <w:jc w:val="left"/>
                  <w:rPr>
                    <w:rFonts w:ascii="宋体" w:eastAsia="宋体" w:hint="eastAsia"/>
                    <w:sz w:val="27"/>
                  </w:rPr>
                </w:pPr>
                <w:r>
                  <w:rPr>
                    <w:rFonts w:ascii="宋体" w:eastAsia="宋体" w:hint="eastAsia"/>
                    <w:sz w:val="27"/>
                  </w:rPr>
                  <w:t>专业</w:t>
                </w:r>
                <w:r>
                  <w:rPr>
                    <w:rFonts w:ascii="Times New Roman" w:eastAsia="Times New Roman"/>
                    <w:sz w:val="27"/>
                  </w:rPr>
                  <w:t>.</w:t>
                </w:r>
                <w:r>
                  <w:rPr>
                    <w:rFonts w:ascii="宋体" w:eastAsia="宋体" w:hint="eastAsia"/>
                    <w:sz w:val="27"/>
                  </w:rPr>
                  <w:t>整理</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8" type="#_x0000_t202" style="width:59.45pt;height:17.2pt;margin-top:1199.19pt;margin-left:322.71pt;mso-position-horizontal-relative:page;mso-position-vertical-relative:page;position:absolute;z-index:-251642880" filled="f" stroked="f">
          <v:textbox inset="0,0,0,0">
            <w:txbxContent>
              <w:p>
                <w:pPr>
                  <w:spacing w:before="15" w:line="328" w:lineRule="exact"/>
                  <w:ind w:left="20" w:right="0" w:firstLine="0"/>
                  <w:jc w:val="left"/>
                  <w:rPr>
                    <w:rFonts w:ascii="宋体" w:eastAsia="宋体" w:hint="eastAsia"/>
                    <w:sz w:val="27"/>
                  </w:rPr>
                </w:pPr>
                <w:r>
                  <w:rPr>
                    <w:rFonts w:ascii="宋体" w:eastAsia="宋体" w:hint="eastAsia"/>
                    <w:sz w:val="27"/>
                  </w:rPr>
                  <w:t>专业</w:t>
                </w:r>
                <w:r>
                  <w:rPr>
                    <w:rFonts w:ascii="Times New Roman" w:eastAsia="Times New Roman"/>
                    <w:sz w:val="27"/>
                  </w:rPr>
                  <w:t>.</w:t>
                </w:r>
                <w:r>
                  <w:rPr>
                    <w:rFonts w:ascii="宋体" w:eastAsia="宋体" w:hint="eastAsia"/>
                    <w:sz w:val="27"/>
                  </w:rPr>
                  <w:t>整理</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3" type="#_x0000_t202" style="width:59.45pt;height:17.2pt;margin-top:1199.19pt;margin-left:322.71pt;mso-position-horizontal-relative:page;mso-position-vertical-relative:page;position:absolute;z-index:-251641856" filled="f" stroked="f">
          <v:textbox inset="0,0,0,0">
            <w:txbxContent>
              <w:p>
                <w:pPr>
                  <w:spacing w:before="15" w:line="328" w:lineRule="exact"/>
                  <w:ind w:left="20" w:right="0" w:firstLine="0"/>
                  <w:jc w:val="left"/>
                  <w:rPr>
                    <w:rFonts w:ascii="宋体" w:eastAsia="宋体" w:hint="eastAsia"/>
                    <w:sz w:val="27"/>
                  </w:rPr>
                </w:pPr>
                <w:r>
                  <w:rPr>
                    <w:rFonts w:ascii="宋体" w:eastAsia="宋体" w:hint="eastAsia"/>
                    <w:sz w:val="27"/>
                  </w:rPr>
                  <w:t>专业</w:t>
                </w:r>
                <w:r>
                  <w:rPr>
                    <w:rFonts w:ascii="Times New Roman" w:eastAsia="Times New Roman"/>
                    <w:sz w:val="27"/>
                  </w:rPr>
                  <w:t>.</w:t>
                </w:r>
                <w:r>
                  <w:rPr>
                    <w:rFonts w:ascii="宋体" w:eastAsia="宋体" w:hint="eastAsia"/>
                    <w:sz w:val="27"/>
                  </w:rPr>
                  <w:t>整理</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8" type="#_x0000_t202" style="width:59.45pt;height:17.2pt;margin-top:1199.19pt;margin-left:322.71pt;mso-position-horizontal-relative:page;mso-position-vertical-relative:page;position:absolute;z-index:-251640832" filled="f" stroked="f">
          <v:textbox inset="0,0,0,0">
            <w:txbxContent>
              <w:p>
                <w:pPr>
                  <w:spacing w:before="15" w:line="328" w:lineRule="exact"/>
                  <w:ind w:left="20" w:right="0" w:firstLine="0"/>
                  <w:jc w:val="left"/>
                  <w:rPr>
                    <w:rFonts w:ascii="宋体" w:eastAsia="宋体" w:hint="eastAsia"/>
                    <w:sz w:val="27"/>
                  </w:rPr>
                </w:pPr>
                <w:r>
                  <w:rPr>
                    <w:rFonts w:ascii="宋体" w:eastAsia="宋体" w:hint="eastAsia"/>
                    <w:sz w:val="27"/>
                  </w:rPr>
                  <w:t>专业</w:t>
                </w:r>
                <w:r>
                  <w:rPr>
                    <w:rFonts w:ascii="Times New Roman" w:eastAsia="Times New Roman"/>
                    <w:sz w:val="27"/>
                  </w:rPr>
                  <w:t>.</w:t>
                </w:r>
                <w:r>
                  <w:rPr>
                    <w:rFonts w:ascii="宋体" w:eastAsia="宋体" w:hint="eastAsia"/>
                    <w:sz w:val="27"/>
                  </w:rPr>
                  <w:t>整理</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3" type="#_x0000_t202" style="width:59.45pt;height:17.2pt;margin-top:1199.19pt;margin-left:322.71pt;mso-position-horizontal-relative:page;mso-position-vertical-relative:page;position:absolute;z-index:-251639808" filled="f" stroked="f">
          <v:textbox inset="0,0,0,0">
            <w:txbxContent>
              <w:p>
                <w:pPr>
                  <w:spacing w:before="15" w:line="328" w:lineRule="exact"/>
                  <w:ind w:left="20" w:right="0" w:firstLine="0"/>
                  <w:jc w:val="left"/>
                  <w:rPr>
                    <w:rFonts w:ascii="宋体" w:eastAsia="宋体" w:hint="eastAsia"/>
                    <w:sz w:val="27"/>
                  </w:rPr>
                </w:pPr>
                <w:r>
                  <w:rPr>
                    <w:rFonts w:ascii="宋体" w:eastAsia="宋体" w:hint="eastAsia"/>
                    <w:sz w:val="27"/>
                  </w:rPr>
                  <w:t>专业</w:t>
                </w:r>
                <w:r>
                  <w:rPr>
                    <w:rFonts w:ascii="Times New Roman" w:eastAsia="Times New Roman"/>
                    <w:sz w:val="27"/>
                  </w:rPr>
                  <w:t>.</w:t>
                </w:r>
                <w:r>
                  <w:rPr>
                    <w:rFonts w:ascii="宋体" w:eastAsia="宋体" w:hint="eastAsia"/>
                    <w:sz w:val="27"/>
                  </w:rPr>
                  <w:t>整理</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8" type="#_x0000_t202" style="width:59.45pt;height:17.2pt;margin-top:1199.19pt;margin-left:322.71pt;mso-position-horizontal-relative:page;mso-position-vertical-relative:page;position:absolute;z-index:-251638784" filled="f" stroked="f">
          <v:textbox inset="0,0,0,0">
            <w:txbxContent>
              <w:p>
                <w:pPr>
                  <w:spacing w:before="15" w:line="328" w:lineRule="exact"/>
                  <w:ind w:left="20" w:right="0" w:firstLine="0"/>
                  <w:jc w:val="left"/>
                  <w:rPr>
                    <w:rFonts w:ascii="宋体" w:eastAsia="宋体" w:hint="eastAsia"/>
                    <w:sz w:val="27"/>
                  </w:rPr>
                </w:pPr>
                <w:r>
                  <w:rPr>
                    <w:rFonts w:ascii="宋体" w:eastAsia="宋体" w:hint="eastAsia"/>
                    <w:sz w:val="27"/>
                  </w:rPr>
                  <w:t>专业</w:t>
                </w:r>
                <w:r>
                  <w:rPr>
                    <w:rFonts w:ascii="Times New Roman" w:eastAsia="Times New Roman"/>
                    <w:sz w:val="27"/>
                  </w:rPr>
                  <w:t>.</w:t>
                </w:r>
                <w:r>
                  <w:rPr>
                    <w:rFonts w:ascii="宋体" w:eastAsia="宋体" w:hint="eastAsia"/>
                    <w:sz w:val="27"/>
                  </w:rPr>
                  <w:t>整理</w:t>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3" type="#_x0000_t202" style="width:59.45pt;height:17.2pt;margin-top:1199.19pt;margin-left:322.71pt;mso-position-horizontal-relative:page;mso-position-vertical-relative:page;position:absolute;z-index:-251637760" filled="f" stroked="f">
          <v:textbox inset="0,0,0,0">
            <w:txbxContent>
              <w:p>
                <w:pPr>
                  <w:spacing w:before="15" w:line="328" w:lineRule="exact"/>
                  <w:ind w:left="20" w:right="0" w:firstLine="0"/>
                  <w:jc w:val="left"/>
                  <w:rPr>
                    <w:rFonts w:ascii="宋体" w:eastAsia="宋体" w:hint="eastAsia"/>
                    <w:sz w:val="27"/>
                  </w:rPr>
                </w:pPr>
                <w:r>
                  <w:rPr>
                    <w:rFonts w:ascii="宋体" w:eastAsia="宋体" w:hint="eastAsia"/>
                    <w:sz w:val="27"/>
                  </w:rPr>
                  <w:t>专业</w:t>
                </w:r>
                <w:r>
                  <w:rPr>
                    <w:rFonts w:ascii="Times New Roman" w:eastAsia="Times New Roman"/>
                    <w:sz w:val="27"/>
                  </w:rPr>
                  <w:t>.</w:t>
                </w:r>
                <w:r>
                  <w:rPr>
                    <w:rFonts w:ascii="宋体" w:eastAsia="宋体" w:hint="eastAsia"/>
                    <w:sz w:val="27"/>
                  </w:rPr>
                  <w:t>整理</w:t>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8" type="#_x0000_t202" style="width:59.45pt;height:17.2pt;margin-top:1199.19pt;margin-left:322.71pt;mso-position-horizontal-relative:page;mso-position-vertical-relative:page;position:absolute;z-index:-251636736" filled="f" stroked="f">
          <v:textbox inset="0,0,0,0">
            <w:txbxContent>
              <w:p>
                <w:pPr>
                  <w:spacing w:before="15" w:line="328" w:lineRule="exact"/>
                  <w:ind w:left="20" w:right="0" w:firstLine="0"/>
                  <w:jc w:val="left"/>
                  <w:rPr>
                    <w:rFonts w:ascii="宋体" w:eastAsia="宋体" w:hint="eastAsia"/>
                    <w:sz w:val="27"/>
                  </w:rPr>
                </w:pPr>
                <w:r>
                  <w:rPr>
                    <w:rFonts w:ascii="宋体" w:eastAsia="宋体" w:hint="eastAsia"/>
                    <w:sz w:val="27"/>
                  </w:rPr>
                  <w:t>专业</w:t>
                </w:r>
                <w:r>
                  <w:rPr>
                    <w:rFonts w:ascii="Times New Roman" w:eastAsia="Times New Roman"/>
                    <w:sz w:val="27"/>
                  </w:rPr>
                  <w:t>.</w:t>
                </w:r>
                <w:r>
                  <w:rPr>
                    <w:rFonts w:ascii="宋体" w:eastAsia="宋体" w:hint="eastAsia"/>
                    <w:sz w:val="27"/>
                  </w:rPr>
                  <w:t>整理</w:t>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3" type="#_x0000_t202" style="width:59.45pt;height:17.2pt;margin-top:1199.19pt;margin-left:322.71pt;mso-position-horizontal-relative:page;mso-position-vertical-relative:page;position:absolute;z-index:-251635712" filled="f" stroked="f">
          <v:textbox inset="0,0,0,0">
            <w:txbxContent>
              <w:p>
                <w:pPr>
                  <w:spacing w:before="15" w:line="328" w:lineRule="exact"/>
                  <w:ind w:left="20" w:right="0" w:firstLine="0"/>
                  <w:jc w:val="left"/>
                  <w:rPr>
                    <w:rFonts w:ascii="宋体" w:eastAsia="宋体" w:hint="eastAsia"/>
                    <w:sz w:val="27"/>
                  </w:rPr>
                </w:pPr>
                <w:r>
                  <w:rPr>
                    <w:rFonts w:ascii="宋体" w:eastAsia="宋体" w:hint="eastAsia"/>
                    <w:sz w:val="27"/>
                  </w:rPr>
                  <w:t>专业</w:t>
                </w:r>
                <w:r>
                  <w:rPr>
                    <w:rFonts w:ascii="Times New Roman" w:eastAsia="Times New Roman"/>
                    <w:sz w:val="27"/>
                  </w:rPr>
                  <w:t>.</w:t>
                </w:r>
                <w:r>
                  <w:rPr>
                    <w:rFonts w:ascii="宋体" w:eastAsia="宋体" w:hint="eastAsia"/>
                    <w:sz w:val="27"/>
                  </w:rPr>
                  <w:t>整理</w:t>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8" type="#_x0000_t202" style="width:59.45pt;height:17.2pt;margin-top:1199.19pt;margin-left:322.71pt;mso-position-horizontal-relative:page;mso-position-vertical-relative:page;position:absolute;z-index:-251634688" filled="f" stroked="f">
          <v:textbox inset="0,0,0,0">
            <w:txbxContent>
              <w:p>
                <w:pPr>
                  <w:spacing w:before="15" w:line="328" w:lineRule="exact"/>
                  <w:ind w:left="20" w:right="0" w:firstLine="0"/>
                  <w:jc w:val="left"/>
                  <w:rPr>
                    <w:rFonts w:ascii="宋体" w:eastAsia="宋体" w:hint="eastAsia"/>
                    <w:sz w:val="27"/>
                  </w:rPr>
                </w:pPr>
                <w:r>
                  <w:rPr>
                    <w:rFonts w:ascii="宋体" w:eastAsia="宋体" w:hint="eastAsia"/>
                    <w:sz w:val="27"/>
                  </w:rPr>
                  <w:t>专业</w:t>
                </w:r>
                <w:r>
                  <w:rPr>
                    <w:rFonts w:ascii="Times New Roman" w:eastAsia="Times New Roman"/>
                    <w:sz w:val="27"/>
                  </w:rPr>
                  <w:t>.</w:t>
                </w:r>
                <w:r>
                  <w:rPr>
                    <w:rFonts w:ascii="宋体" w:eastAsia="宋体" w:hint="eastAsia"/>
                    <w:sz w:val="27"/>
                  </w:rPr>
                  <w:t>整理</w:t>
                </w:r>
              </w:p>
            </w:txbxContent>
          </v:textbox>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73" type="#_x0000_t202" style="width:59.45pt;height:17.2pt;margin-top:1199.19pt;margin-left:322.71pt;mso-position-horizontal-relative:page;mso-position-vertical-relative:page;position:absolute;z-index:-251633664" filled="f" stroked="f">
          <v:textbox inset="0,0,0,0">
            <w:txbxContent>
              <w:p>
                <w:pPr>
                  <w:spacing w:before="15" w:line="328" w:lineRule="exact"/>
                  <w:ind w:left="20" w:right="0" w:firstLine="0"/>
                  <w:jc w:val="left"/>
                  <w:rPr>
                    <w:rFonts w:ascii="宋体" w:eastAsia="宋体" w:hint="eastAsia"/>
                    <w:sz w:val="27"/>
                  </w:rPr>
                </w:pPr>
                <w:r>
                  <w:rPr>
                    <w:rFonts w:ascii="宋体" w:eastAsia="宋体" w:hint="eastAsia"/>
                    <w:sz w:val="27"/>
                  </w:rPr>
                  <w:t>专业</w:t>
                </w:r>
                <w:r>
                  <w:rPr>
                    <w:rFonts w:ascii="Times New Roman" w:eastAsia="Times New Roman"/>
                    <w:sz w:val="27"/>
                  </w:rPr>
                  <w:t>.</w:t>
                </w:r>
                <w:r>
                  <w:rPr>
                    <w:rFonts w:ascii="宋体" w:eastAsia="宋体" w:hint="eastAsia"/>
                    <w:sz w:val="27"/>
                  </w:rPr>
                  <w:t>整理</w:t>
                </w:r>
              </w:p>
            </w:txbxContent>
          </v:textbox>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78" type="#_x0000_t202" style="width:59.45pt;height:17.2pt;margin-top:1199.19pt;margin-left:322.71pt;mso-position-horizontal-relative:page;mso-position-vertical-relative:page;position:absolute;z-index:-251632640" filled="f" stroked="f">
          <v:textbox inset="0,0,0,0">
            <w:txbxContent>
              <w:p>
                <w:pPr>
                  <w:spacing w:before="15" w:line="328" w:lineRule="exact"/>
                  <w:ind w:left="20" w:right="0" w:firstLine="0"/>
                  <w:jc w:val="left"/>
                  <w:rPr>
                    <w:rFonts w:ascii="宋体" w:eastAsia="宋体" w:hint="eastAsia"/>
                    <w:sz w:val="27"/>
                  </w:rPr>
                </w:pPr>
                <w:r>
                  <w:rPr>
                    <w:rFonts w:ascii="宋体" w:eastAsia="宋体" w:hint="eastAsia"/>
                    <w:sz w:val="27"/>
                  </w:rPr>
                  <w:t>专业</w:t>
                </w:r>
                <w:r>
                  <w:rPr>
                    <w:rFonts w:ascii="Times New Roman" w:eastAsia="Times New Roman"/>
                    <w:sz w:val="27"/>
                  </w:rPr>
                  <w:t>.</w:t>
                </w:r>
                <w:r>
                  <w:rPr>
                    <w:rFonts w:ascii="宋体" w:eastAsia="宋体" w:hint="eastAsia"/>
                    <w:sz w:val="27"/>
                  </w:rPr>
                  <w:t>整理</w:t>
                </w:r>
              </w:p>
            </w:txbxContent>
          </v:textbox>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83" type="#_x0000_t202" style="width:59.45pt;height:17.2pt;margin-top:1199.19pt;margin-left:322.71pt;mso-position-horizontal-relative:page;mso-position-vertical-relative:page;position:absolute;z-index:-251631616" filled="f" stroked="f">
          <v:textbox inset="0,0,0,0">
            <w:txbxContent>
              <w:p>
                <w:pPr>
                  <w:spacing w:before="15" w:line="328" w:lineRule="exact"/>
                  <w:ind w:left="20" w:right="0" w:firstLine="0"/>
                  <w:jc w:val="left"/>
                  <w:rPr>
                    <w:rFonts w:ascii="宋体" w:eastAsia="宋体" w:hint="eastAsia"/>
                    <w:sz w:val="27"/>
                  </w:rPr>
                </w:pPr>
                <w:r>
                  <w:rPr>
                    <w:rFonts w:ascii="宋体" w:eastAsia="宋体" w:hint="eastAsia"/>
                    <w:sz w:val="27"/>
                  </w:rPr>
                  <w:t>专业</w:t>
                </w:r>
                <w:r>
                  <w:rPr>
                    <w:rFonts w:ascii="Times New Roman" w:eastAsia="Times New Roman"/>
                    <w:sz w:val="27"/>
                  </w:rPr>
                  <w:t>.</w:t>
                </w:r>
                <w:r>
                  <w:rPr>
                    <w:rFonts w:ascii="宋体" w:eastAsia="宋体" w:hint="eastAsia"/>
                    <w:sz w:val="27"/>
                  </w:rPr>
                  <w:t>整理</w:t>
                </w:r>
              </w:p>
            </w:txbxContent>
          </v:textbox>
        </v:shap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88" type="#_x0000_t202" style="width:59.45pt;height:17.2pt;margin-top:1199.19pt;margin-left:322.71pt;mso-position-horizontal-relative:page;mso-position-vertical-relative:page;position:absolute;z-index:-251630592" filled="f" stroked="f">
          <v:textbox inset="0,0,0,0">
            <w:txbxContent>
              <w:p>
                <w:pPr>
                  <w:spacing w:before="15" w:line="328" w:lineRule="exact"/>
                  <w:ind w:left="20" w:right="0" w:firstLine="0"/>
                  <w:jc w:val="left"/>
                  <w:rPr>
                    <w:rFonts w:ascii="宋体" w:eastAsia="宋体" w:hint="eastAsia"/>
                    <w:sz w:val="27"/>
                  </w:rPr>
                </w:pPr>
                <w:r>
                  <w:rPr>
                    <w:rFonts w:ascii="宋体" w:eastAsia="宋体" w:hint="eastAsia"/>
                    <w:sz w:val="27"/>
                  </w:rPr>
                  <w:t>专业</w:t>
                </w:r>
                <w:r>
                  <w:rPr>
                    <w:rFonts w:ascii="Times New Roman" w:eastAsia="Times New Roman"/>
                    <w:sz w:val="27"/>
                  </w:rPr>
                  <w:t>.</w:t>
                </w:r>
                <w:r>
                  <w:rPr>
                    <w:rFonts w:ascii="宋体" w:eastAsia="宋体" w:hint="eastAsia"/>
                    <w:sz w:val="27"/>
                  </w:rPr>
                  <w:t>整理</w:t>
                </w:r>
              </w:p>
            </w:txbxContent>
          </v:textbox>
        </v:shape>
      </w:pict>
    </w: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93" type="#_x0000_t202" style="width:59.45pt;height:17.2pt;margin-top:1199.19pt;margin-left:322.71pt;mso-position-horizontal-relative:page;mso-position-vertical-relative:page;position:absolute;z-index:-251629568" filled="f" stroked="f">
          <v:textbox inset="0,0,0,0">
            <w:txbxContent>
              <w:p>
                <w:pPr>
                  <w:spacing w:before="15" w:line="328" w:lineRule="exact"/>
                  <w:ind w:left="20" w:right="0" w:firstLine="0"/>
                  <w:jc w:val="left"/>
                  <w:rPr>
                    <w:rFonts w:ascii="宋体" w:eastAsia="宋体" w:hint="eastAsia"/>
                    <w:sz w:val="27"/>
                  </w:rPr>
                </w:pPr>
                <w:r>
                  <w:rPr>
                    <w:rFonts w:ascii="宋体" w:eastAsia="宋体" w:hint="eastAsia"/>
                    <w:sz w:val="27"/>
                  </w:rPr>
                  <w:t>专业</w:t>
                </w:r>
                <w:r>
                  <w:rPr>
                    <w:rFonts w:ascii="Times New Roman" w:eastAsia="Times New Roman"/>
                    <w:sz w:val="27"/>
                  </w:rPr>
                  <w:t>.</w:t>
                </w:r>
                <w:r>
                  <w:rPr>
                    <w:rFonts w:ascii="宋体" w:eastAsia="宋体" w:hint="eastAsia"/>
                    <w:sz w:val="27"/>
                  </w:rPr>
                  <w:t>整理</w:t>
                </w:r>
              </w:p>
            </w:txbxContent>
          </v:textbox>
        </v:shape>
      </w:pict>
    </w: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98" type="#_x0000_t202" style="width:59.45pt;height:17.2pt;margin-top:1199.19pt;margin-left:322.71pt;mso-position-horizontal-relative:page;mso-position-vertical-relative:page;position:absolute;z-index:-251628544" filled="f" stroked="f">
          <v:textbox inset="0,0,0,0">
            <w:txbxContent>
              <w:p>
                <w:pPr>
                  <w:spacing w:before="15" w:line="328" w:lineRule="exact"/>
                  <w:ind w:left="20" w:right="0" w:firstLine="0"/>
                  <w:jc w:val="left"/>
                  <w:rPr>
                    <w:rFonts w:ascii="宋体" w:eastAsia="宋体" w:hint="eastAsia"/>
                    <w:sz w:val="27"/>
                  </w:rPr>
                </w:pPr>
                <w:r>
                  <w:rPr>
                    <w:rFonts w:ascii="宋体" w:eastAsia="宋体" w:hint="eastAsia"/>
                    <w:sz w:val="27"/>
                  </w:rPr>
                  <w:t>专业</w:t>
                </w:r>
                <w:r>
                  <w:rPr>
                    <w:rFonts w:ascii="Times New Roman" w:eastAsia="Times New Roman"/>
                    <w:sz w:val="27"/>
                  </w:rPr>
                  <w:t>.</w:t>
                </w:r>
                <w:r>
                  <w:rPr>
                    <w:rFonts w:ascii="宋体" w:eastAsia="宋体" w:hint="eastAsia"/>
                    <w:sz w:val="27"/>
                  </w:rPr>
                  <w:t>整理</w:t>
                </w:r>
              </w:p>
            </w:txbxContent>
          </v:textbox>
        </v:shape>
      </w:pict>
    </w: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03" type="#_x0000_t202" style="width:59.45pt;height:17.2pt;margin-top:1199.19pt;margin-left:322.71pt;mso-position-horizontal-relative:page;mso-position-vertical-relative:page;position:absolute;z-index:-251627520" filled="f" stroked="f">
          <v:textbox inset="0,0,0,0">
            <w:txbxContent>
              <w:p>
                <w:pPr>
                  <w:spacing w:before="15" w:line="328" w:lineRule="exact"/>
                  <w:ind w:left="20" w:right="0" w:firstLine="0"/>
                  <w:jc w:val="left"/>
                  <w:rPr>
                    <w:rFonts w:ascii="宋体" w:eastAsia="宋体" w:hint="eastAsia"/>
                    <w:sz w:val="27"/>
                  </w:rPr>
                </w:pPr>
                <w:r>
                  <w:rPr>
                    <w:rFonts w:ascii="宋体" w:eastAsia="宋体" w:hint="eastAsia"/>
                    <w:sz w:val="27"/>
                  </w:rPr>
                  <w:t>专业</w:t>
                </w:r>
                <w:r>
                  <w:rPr>
                    <w:rFonts w:ascii="Times New Roman" w:eastAsia="Times New Roman"/>
                    <w:sz w:val="27"/>
                  </w:rPr>
                  <w:t>.</w:t>
                </w:r>
                <w:r>
                  <w:rPr>
                    <w:rFonts w:ascii="宋体" w:eastAsia="宋体" w:hint="eastAsia"/>
                    <w:sz w:val="27"/>
                  </w:rPr>
                  <w:t>整理</w:t>
                </w:r>
              </w:p>
            </w:txbxContent>
          </v:textbox>
        </v:shape>
      </w:pict>
    </w: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08" type="#_x0000_t202" style="width:59.45pt;height:17.2pt;margin-top:1199.19pt;margin-left:322.71pt;mso-position-horizontal-relative:page;mso-position-vertical-relative:page;position:absolute;z-index:-251626496" filled="f" stroked="f">
          <v:textbox inset="0,0,0,0">
            <w:txbxContent>
              <w:p>
                <w:pPr>
                  <w:spacing w:before="15" w:line="328" w:lineRule="exact"/>
                  <w:ind w:left="20" w:right="0" w:firstLine="0"/>
                  <w:jc w:val="left"/>
                  <w:rPr>
                    <w:rFonts w:ascii="宋体" w:eastAsia="宋体" w:hint="eastAsia"/>
                    <w:sz w:val="27"/>
                  </w:rPr>
                </w:pPr>
                <w:r>
                  <w:rPr>
                    <w:rFonts w:ascii="宋体" w:eastAsia="宋体" w:hint="eastAsia"/>
                    <w:sz w:val="27"/>
                  </w:rPr>
                  <w:t>专业</w:t>
                </w:r>
                <w:r>
                  <w:rPr>
                    <w:rFonts w:ascii="Times New Roman" w:eastAsia="Times New Roman"/>
                    <w:sz w:val="27"/>
                  </w:rPr>
                  <w:t>.</w:t>
                </w:r>
                <w:r>
                  <w:rPr>
                    <w:rFonts w:ascii="宋体" w:eastAsia="宋体" w:hint="eastAsia"/>
                    <w:sz w:val="27"/>
                  </w:rPr>
                  <w:t>整理</w:t>
                </w:r>
              </w:p>
            </w:txbxContent>
          </v:textbox>
        </v:shape>
      </w:pict>
    </w: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13" type="#_x0000_t202" style="width:59.45pt;height:17.2pt;margin-top:1199.19pt;margin-left:322.71pt;mso-position-horizontal-relative:page;mso-position-vertical-relative:page;position:absolute;z-index:-251625472" filled="f" stroked="f">
          <v:textbox inset="0,0,0,0">
            <w:txbxContent>
              <w:p>
                <w:pPr>
                  <w:spacing w:before="15" w:line="328" w:lineRule="exact"/>
                  <w:ind w:left="20" w:right="0" w:firstLine="0"/>
                  <w:jc w:val="left"/>
                  <w:rPr>
                    <w:rFonts w:ascii="宋体" w:eastAsia="宋体" w:hint="eastAsia"/>
                    <w:sz w:val="27"/>
                  </w:rPr>
                </w:pPr>
                <w:r>
                  <w:rPr>
                    <w:rFonts w:ascii="宋体" w:eastAsia="宋体" w:hint="eastAsia"/>
                    <w:sz w:val="27"/>
                  </w:rPr>
                  <w:t>专业</w:t>
                </w:r>
                <w:r>
                  <w:rPr>
                    <w:rFonts w:ascii="Times New Roman" w:eastAsia="Times New Roman"/>
                    <w:sz w:val="27"/>
                  </w:rPr>
                  <w:t>.</w:t>
                </w:r>
                <w:r>
                  <w:rPr>
                    <w:rFonts w:ascii="宋体" w:eastAsia="宋体" w:hint="eastAsia"/>
                    <w:sz w:val="27"/>
                  </w:rPr>
                  <w:t>整理</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49" style="mso-position-horizontal-relative:page;mso-position-vertical-relative:page;position:absolute;z-index:-251658240" from="125pt,51pt" to="812pt,51pt" stroked="t" strokecolor="black" strokeweight="2pt">
          <v:stroke dashstyle="solid"/>
        </v:line>
      </w:pict>
    </w:r>
    <w:r>
      <w:pict>
        <v:shapetype id="_x0000_t202" coordsize="21600,21600" o:spt="202" path="m,l,21600r21600,l21600,xe">
          <v:stroke joinstyle="miter"/>
          <v:path gradientshapeok="t" o:connecttype="rect"/>
        </v:shapetype>
        <v:shape id="_x0000_s2050" type="#_x0000_t202" style="width:5.4pt;height:15.5pt;margin-top:34.59pt;margin-left:257.15pt;mso-position-horizontal-relative:page;mso-position-vertical-relative:page;position:absolute;z-index:-251657216"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r>
      <w:pict>
        <v:shape id="_x0000_s2051" type="#_x0000_t202" style="width:104.3pt;height:17.2pt;margin-top:34.59pt;margin-left:408.94pt;mso-position-horizontal-relative:page;mso-position-vertical-relative:page;position:absolute;z-index:-251656192"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w:t>
                </w:r>
                <w:r>
                  <w:rPr>
                    <w:rFonts w:ascii="Times New Roman" w:eastAsia="Times New Roman"/>
                    <w:sz w:val="27"/>
                  </w:rPr>
                  <w:t>.</w:t>
                </w:r>
                <w:r>
                  <w:rPr>
                    <w:rFonts w:ascii="宋体" w:eastAsia="宋体" w:hint="eastAsia"/>
                    <w:sz w:val="27"/>
                  </w:rPr>
                  <w:t>资料</w:t>
                </w:r>
              </w:p>
            </w:txbxContent>
          </v:textbox>
        </v:shape>
      </w:pict>
    </w:r>
    <w:r>
      <w:pict>
        <v:shape id="_x0000_s2052" type="#_x0000_t202" style="width:5.4pt;height:15.5pt;margin-top:34.59pt;margin-left:673.43pt;mso-position-horizontal-relative:page;mso-position-vertical-relative:page;position:absolute;z-index:-251655168"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54" style="mso-position-horizontal-relative:page;mso-position-vertical-relative:page;position:absolute;z-index:-251654144" from="125pt,51pt" to="812pt,51pt" stroked="t" strokecolor="black" strokeweight="2pt">
          <v:stroke dashstyle="solid"/>
        </v:line>
      </w:pict>
    </w:r>
    <w:r>
      <w:pict>
        <v:shapetype id="_x0000_t202" coordsize="21600,21600" o:spt="202" path="m,l,21600r21600,l21600,xe">
          <v:stroke joinstyle="miter"/>
          <v:path gradientshapeok="t" o:connecttype="rect"/>
        </v:shapetype>
        <v:shape id="_x0000_s2055" type="#_x0000_t202" style="width:5.4pt;height:15.5pt;margin-top:34.59pt;margin-left:257.15pt;mso-position-horizontal-relative:page;mso-position-vertical-relative:page;position:absolute;z-index:-251653120"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r>
      <w:pict>
        <v:shape id="_x0000_s2056" type="#_x0000_t202" style="width:104.3pt;height:17.2pt;margin-top:34.59pt;margin-left:408.94pt;mso-position-horizontal-relative:page;mso-position-vertical-relative:page;position:absolute;z-index:-251652096"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w:t>
                </w:r>
                <w:r>
                  <w:rPr>
                    <w:rFonts w:ascii="Times New Roman" w:eastAsia="Times New Roman"/>
                    <w:sz w:val="27"/>
                  </w:rPr>
                  <w:t>.</w:t>
                </w:r>
                <w:r>
                  <w:rPr>
                    <w:rFonts w:ascii="宋体" w:eastAsia="宋体" w:hint="eastAsia"/>
                    <w:sz w:val="27"/>
                  </w:rPr>
                  <w:t>资料</w:t>
                </w:r>
              </w:p>
            </w:txbxContent>
          </v:textbox>
        </v:shape>
      </w:pict>
    </w:r>
    <w:r>
      <w:pict>
        <v:shape id="_x0000_s2057" type="#_x0000_t202" style="width:5.4pt;height:15.5pt;margin-top:34.59pt;margin-left:673.43pt;mso-position-horizontal-relative:page;mso-position-vertical-relative:page;position:absolute;z-index:-251651072"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59" style="mso-position-horizontal-relative:page;mso-position-vertical-relative:page;position:absolute;z-index:-251650048" from="125pt,51pt" to="812pt,51pt" stroked="t" strokecolor="black" strokeweight="2pt">
          <v:stroke dashstyle="solid"/>
        </v:line>
      </w:pict>
    </w:r>
    <w:r>
      <w:pict>
        <v:shapetype id="_x0000_t202" coordsize="21600,21600" o:spt="202" path="m,l,21600r21600,l21600,xe">
          <v:stroke joinstyle="miter"/>
          <v:path gradientshapeok="t" o:connecttype="rect"/>
        </v:shapetype>
        <v:shape id="_x0000_s2060" type="#_x0000_t202" style="width:5.4pt;height:15.5pt;margin-top:34.59pt;margin-left:257.15pt;mso-position-horizontal-relative:page;mso-position-vertical-relative:page;position:absolute;z-index:-251649024"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r>
      <w:pict>
        <v:shape id="_x0000_s2061" type="#_x0000_t202" style="width:104.3pt;height:17.2pt;margin-top:34.59pt;margin-left:408.94pt;mso-position-horizontal-relative:page;mso-position-vertical-relative:page;position:absolute;z-index:-251648000"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w:t>
                </w:r>
                <w:r>
                  <w:rPr>
                    <w:rFonts w:ascii="Times New Roman" w:eastAsia="Times New Roman"/>
                    <w:sz w:val="27"/>
                  </w:rPr>
                  <w:t>.</w:t>
                </w:r>
                <w:r>
                  <w:rPr>
                    <w:rFonts w:ascii="宋体" w:eastAsia="宋体" w:hint="eastAsia"/>
                    <w:sz w:val="27"/>
                  </w:rPr>
                  <w:t>资料</w:t>
                </w:r>
              </w:p>
            </w:txbxContent>
          </v:textbox>
        </v:shape>
      </w:pict>
    </w:r>
    <w:r>
      <w:pict>
        <v:shape id="_x0000_s2062" type="#_x0000_t202" style="width:5.4pt;height:15.5pt;margin-top:34.59pt;margin-left:673.43pt;mso-position-horizontal-relative:page;mso-position-vertical-relative:page;position:absolute;z-index:-251646976"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64" style="mso-position-horizontal-relative:page;mso-position-vertical-relative:page;position:absolute;z-index:-251645952" from="125pt,51pt" to="812pt,51pt" stroked="t" strokecolor="black" strokeweight="2pt">
          <v:stroke dashstyle="solid"/>
        </v:line>
      </w:pict>
    </w:r>
    <w:r>
      <w:pict>
        <v:shapetype id="_x0000_t202" coordsize="21600,21600" o:spt="202" path="m,l,21600r21600,l21600,xe">
          <v:stroke joinstyle="miter"/>
          <v:path gradientshapeok="t" o:connecttype="rect"/>
        </v:shapetype>
        <v:shape id="_x0000_s2065" type="#_x0000_t202" style="width:5.4pt;height:15.5pt;margin-top:34.59pt;margin-left:257.15pt;mso-position-horizontal-relative:page;mso-position-vertical-relative:page;position:absolute;z-index:-251644928"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r>
      <w:pict>
        <v:shape id="_x0000_s2066" type="#_x0000_t202" style="width:104.3pt;height:17.2pt;margin-top:34.59pt;margin-left:408.94pt;mso-position-horizontal-relative:page;mso-position-vertical-relative:page;position:absolute;z-index:-251643904"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w:t>
                </w:r>
                <w:r>
                  <w:rPr>
                    <w:rFonts w:ascii="Times New Roman" w:eastAsia="Times New Roman"/>
                    <w:sz w:val="27"/>
                  </w:rPr>
                  <w:t>.</w:t>
                </w:r>
                <w:r>
                  <w:rPr>
                    <w:rFonts w:ascii="宋体" w:eastAsia="宋体" w:hint="eastAsia"/>
                    <w:sz w:val="27"/>
                  </w:rPr>
                  <w:t>资料</w:t>
                </w:r>
              </w:p>
            </w:txbxContent>
          </v:textbox>
        </v:shape>
      </w:pict>
    </w:r>
    <w:r>
      <w:pict>
        <v:shape id="_x0000_s2067" type="#_x0000_t202" style="width:5.4pt;height:15.5pt;margin-top:34.59pt;margin-left:673.43pt;mso-position-horizontal-relative:page;mso-position-vertical-relative:page;position:absolute;z-index:-251642880"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69" style="mso-position-horizontal-relative:page;mso-position-vertical-relative:page;position:absolute;z-index:-251641856" from="125pt,51pt" to="812pt,51pt" stroked="t" strokecolor="black" strokeweight="2pt">
          <v:stroke dashstyle="solid"/>
        </v:line>
      </w:pict>
    </w:r>
    <w:r>
      <w:pict>
        <v:shapetype id="_x0000_t202" coordsize="21600,21600" o:spt="202" path="m,l,21600r21600,l21600,xe">
          <v:stroke joinstyle="miter"/>
          <v:path gradientshapeok="t" o:connecttype="rect"/>
        </v:shapetype>
        <v:shape id="_x0000_s2070" type="#_x0000_t202" style="width:5.4pt;height:15.5pt;margin-top:34.59pt;margin-left:257.15pt;mso-position-horizontal-relative:page;mso-position-vertical-relative:page;position:absolute;z-index:-251640832"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r>
      <w:pict>
        <v:shape id="_x0000_s2071" type="#_x0000_t202" style="width:104.3pt;height:17.2pt;margin-top:34.59pt;margin-left:408.94pt;mso-position-horizontal-relative:page;mso-position-vertical-relative:page;position:absolute;z-index:-251639808"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w:t>
                </w:r>
                <w:r>
                  <w:rPr>
                    <w:rFonts w:ascii="Times New Roman" w:eastAsia="Times New Roman"/>
                    <w:sz w:val="27"/>
                  </w:rPr>
                  <w:t>.</w:t>
                </w:r>
                <w:r>
                  <w:rPr>
                    <w:rFonts w:ascii="宋体" w:eastAsia="宋体" w:hint="eastAsia"/>
                    <w:sz w:val="27"/>
                  </w:rPr>
                  <w:t>资料</w:t>
                </w:r>
              </w:p>
            </w:txbxContent>
          </v:textbox>
        </v:shape>
      </w:pict>
    </w:r>
    <w:r>
      <w:pict>
        <v:shape id="_x0000_s2072" type="#_x0000_t202" style="width:5.4pt;height:15.5pt;margin-top:34.59pt;margin-left:673.43pt;mso-position-horizontal-relative:page;mso-position-vertical-relative:page;position:absolute;z-index:-251638784"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74" style="mso-position-horizontal-relative:page;mso-position-vertical-relative:page;position:absolute;z-index:-251637760" from="125pt,51pt" to="812pt,51pt" stroked="t" strokecolor="black" strokeweight="2pt">
          <v:stroke dashstyle="solid"/>
        </v:line>
      </w:pict>
    </w:r>
    <w:r>
      <w:pict>
        <v:shapetype id="_x0000_t202" coordsize="21600,21600" o:spt="202" path="m,l,21600r21600,l21600,xe">
          <v:stroke joinstyle="miter"/>
          <v:path gradientshapeok="t" o:connecttype="rect"/>
        </v:shapetype>
        <v:shape id="_x0000_s2075" type="#_x0000_t202" style="width:5.4pt;height:15.5pt;margin-top:34.59pt;margin-left:257.15pt;mso-position-horizontal-relative:page;mso-position-vertical-relative:page;position:absolute;z-index:-251636736"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r>
      <w:pict>
        <v:shape id="_x0000_s2076" type="#_x0000_t202" style="width:104.3pt;height:17.2pt;margin-top:34.59pt;margin-left:408.94pt;mso-position-horizontal-relative:page;mso-position-vertical-relative:page;position:absolute;z-index:-251635712"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w:t>
                </w:r>
                <w:r>
                  <w:rPr>
                    <w:rFonts w:ascii="Times New Roman" w:eastAsia="Times New Roman"/>
                    <w:sz w:val="27"/>
                  </w:rPr>
                  <w:t>.</w:t>
                </w:r>
                <w:r>
                  <w:rPr>
                    <w:rFonts w:ascii="宋体" w:eastAsia="宋体" w:hint="eastAsia"/>
                    <w:sz w:val="27"/>
                  </w:rPr>
                  <w:t>资料</w:t>
                </w:r>
              </w:p>
            </w:txbxContent>
          </v:textbox>
        </v:shape>
      </w:pict>
    </w:r>
    <w:r>
      <w:pict>
        <v:shape id="_x0000_s2077" type="#_x0000_t202" style="width:5.4pt;height:15.5pt;margin-top:34.59pt;margin-left:673.43pt;mso-position-horizontal-relative:page;mso-position-vertical-relative:page;position:absolute;z-index:-251634688"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79" style="mso-position-horizontal-relative:page;mso-position-vertical-relative:page;position:absolute;z-index:-251633664" from="125pt,51pt" to="812pt,51pt" stroked="t" strokecolor="black" strokeweight="2pt">
          <v:stroke dashstyle="solid"/>
        </v:line>
      </w:pict>
    </w:r>
    <w:r>
      <w:pict>
        <v:shapetype id="_x0000_t202" coordsize="21600,21600" o:spt="202" path="m,l,21600r21600,l21600,xe">
          <v:stroke joinstyle="miter"/>
          <v:path gradientshapeok="t" o:connecttype="rect"/>
        </v:shapetype>
        <v:shape id="_x0000_s2080" type="#_x0000_t202" style="width:5.4pt;height:15.5pt;margin-top:34.59pt;margin-left:257.15pt;mso-position-horizontal-relative:page;mso-position-vertical-relative:page;position:absolute;z-index:-251632640"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r>
      <w:pict>
        <v:shape id="_x0000_s2081" type="#_x0000_t202" style="width:104.3pt;height:17.2pt;margin-top:34.59pt;margin-left:408.94pt;mso-position-horizontal-relative:page;mso-position-vertical-relative:page;position:absolute;z-index:-251631616"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w:t>
                </w:r>
                <w:r>
                  <w:rPr>
                    <w:rFonts w:ascii="Times New Roman" w:eastAsia="Times New Roman"/>
                    <w:sz w:val="27"/>
                  </w:rPr>
                  <w:t>.</w:t>
                </w:r>
                <w:r>
                  <w:rPr>
                    <w:rFonts w:ascii="宋体" w:eastAsia="宋体" w:hint="eastAsia"/>
                    <w:sz w:val="27"/>
                  </w:rPr>
                  <w:t>资料</w:t>
                </w:r>
              </w:p>
            </w:txbxContent>
          </v:textbox>
        </v:shape>
      </w:pict>
    </w:r>
    <w:r>
      <w:pict>
        <v:shape id="_x0000_s2082" type="#_x0000_t202" style="width:5.4pt;height:15.5pt;margin-top:34.59pt;margin-left:673.43pt;mso-position-horizontal-relative:page;mso-position-vertical-relative:page;position:absolute;z-index:-251630592"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84" style="mso-position-horizontal-relative:page;mso-position-vertical-relative:page;position:absolute;z-index:-251629568" from="125pt,51pt" to="812pt,51pt" stroked="t" strokecolor="black" strokeweight="2pt">
          <v:stroke dashstyle="solid"/>
        </v:line>
      </w:pict>
    </w:r>
    <w:r>
      <w:pict>
        <v:shapetype id="_x0000_t202" coordsize="21600,21600" o:spt="202" path="m,l,21600r21600,l21600,xe">
          <v:stroke joinstyle="miter"/>
          <v:path gradientshapeok="t" o:connecttype="rect"/>
        </v:shapetype>
        <v:shape id="_x0000_s2085" type="#_x0000_t202" style="width:5.4pt;height:15.5pt;margin-top:34.59pt;margin-left:257.15pt;mso-position-horizontal-relative:page;mso-position-vertical-relative:page;position:absolute;z-index:-251628544"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r>
      <w:pict>
        <v:shape id="_x0000_s2086" type="#_x0000_t202" style="width:104.3pt;height:17.2pt;margin-top:34.59pt;margin-left:408.94pt;mso-position-horizontal-relative:page;mso-position-vertical-relative:page;position:absolute;z-index:-251627520"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w:t>
                </w:r>
                <w:r>
                  <w:rPr>
                    <w:rFonts w:ascii="Times New Roman" w:eastAsia="Times New Roman"/>
                    <w:sz w:val="27"/>
                  </w:rPr>
                  <w:t>.</w:t>
                </w:r>
                <w:r>
                  <w:rPr>
                    <w:rFonts w:ascii="宋体" w:eastAsia="宋体" w:hint="eastAsia"/>
                    <w:sz w:val="27"/>
                  </w:rPr>
                  <w:t>资料</w:t>
                </w:r>
              </w:p>
            </w:txbxContent>
          </v:textbox>
        </v:shape>
      </w:pict>
    </w:r>
    <w:r>
      <w:pict>
        <v:shape id="_x0000_s2087" type="#_x0000_t202" style="width:5.4pt;height:15.5pt;margin-top:34.59pt;margin-left:673.43pt;mso-position-horizontal-relative:page;mso-position-vertical-relative:page;position:absolute;z-index:-251626496"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89" style="mso-position-horizontal-relative:page;mso-position-vertical-relative:page;position:absolute;z-index:-251625472" from="125pt,51pt" to="812pt,51pt" stroked="t" strokecolor="black" strokeweight="2pt">
          <v:stroke dashstyle="solid"/>
        </v:line>
      </w:pict>
    </w:r>
    <w:r>
      <w:pict>
        <v:shapetype id="_x0000_t202" coordsize="21600,21600" o:spt="202" path="m,l,21600r21600,l21600,xe">
          <v:stroke joinstyle="miter"/>
          <v:path gradientshapeok="t" o:connecttype="rect"/>
        </v:shapetype>
        <v:shape id="_x0000_s2090" type="#_x0000_t202" style="width:5.4pt;height:15.5pt;margin-top:34.59pt;margin-left:257.15pt;mso-position-horizontal-relative:page;mso-position-vertical-relative:page;position:absolute;z-index:-251624448"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r>
      <w:pict>
        <v:shape id="_x0000_s2091" type="#_x0000_t202" style="width:104.3pt;height:17.2pt;margin-top:34.59pt;margin-left:408.94pt;mso-position-horizontal-relative:page;mso-position-vertical-relative:page;position:absolute;z-index:-251623424"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w:t>
                </w:r>
                <w:r>
                  <w:rPr>
                    <w:rFonts w:ascii="Times New Roman" w:eastAsia="Times New Roman"/>
                    <w:sz w:val="27"/>
                  </w:rPr>
                  <w:t>.</w:t>
                </w:r>
                <w:r>
                  <w:rPr>
                    <w:rFonts w:ascii="宋体" w:eastAsia="宋体" w:hint="eastAsia"/>
                    <w:sz w:val="27"/>
                  </w:rPr>
                  <w:t>资料</w:t>
                </w:r>
              </w:p>
            </w:txbxContent>
          </v:textbox>
        </v:shape>
      </w:pict>
    </w:r>
    <w:r>
      <w:pict>
        <v:shape id="_x0000_s2092" type="#_x0000_t202" style="width:5.4pt;height:15.5pt;margin-top:34.59pt;margin-left:673.43pt;mso-position-horizontal-relative:page;mso-position-vertical-relative:page;position:absolute;z-index:-251622400"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94" style="mso-position-horizontal-relative:page;mso-position-vertical-relative:page;position:absolute;z-index:-251621376" from="125pt,51pt" to="812pt,51pt" stroked="t" strokecolor="black" strokeweight="2pt">
          <v:stroke dashstyle="solid"/>
        </v:line>
      </w:pict>
    </w:r>
    <w:r>
      <w:pict>
        <v:shapetype id="_x0000_t202" coordsize="21600,21600" o:spt="202" path="m,l,21600r21600,l21600,xe">
          <v:stroke joinstyle="miter"/>
          <v:path gradientshapeok="t" o:connecttype="rect"/>
        </v:shapetype>
        <v:shape id="_x0000_s2095" type="#_x0000_t202" style="width:5.4pt;height:15.5pt;margin-top:34.59pt;margin-left:257.15pt;mso-position-horizontal-relative:page;mso-position-vertical-relative:page;position:absolute;z-index:-251620352"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r>
      <w:pict>
        <v:shape id="_x0000_s2096" type="#_x0000_t202" style="width:104.3pt;height:17.2pt;margin-top:34.59pt;margin-left:408.94pt;mso-position-horizontal-relative:page;mso-position-vertical-relative:page;position:absolute;z-index:-251619328"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w:t>
                </w:r>
                <w:r>
                  <w:rPr>
                    <w:rFonts w:ascii="Times New Roman" w:eastAsia="Times New Roman"/>
                    <w:sz w:val="27"/>
                  </w:rPr>
                  <w:t>.</w:t>
                </w:r>
                <w:r>
                  <w:rPr>
                    <w:rFonts w:ascii="宋体" w:eastAsia="宋体" w:hint="eastAsia"/>
                    <w:sz w:val="27"/>
                  </w:rPr>
                  <w:t>资料</w:t>
                </w:r>
              </w:p>
            </w:txbxContent>
          </v:textbox>
        </v:shape>
      </w:pict>
    </w:r>
    <w:r>
      <w:pict>
        <v:shape id="_x0000_s2097" type="#_x0000_t202" style="width:5.4pt;height:15.5pt;margin-top:34.59pt;margin-left:673.43pt;mso-position-horizontal-relative:page;mso-position-vertical-relative:page;position:absolute;z-index:-251618304"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99" style="mso-position-horizontal-relative:page;mso-position-vertical-relative:page;position:absolute;z-index:-251617280" from="125pt,51pt" to="812pt,51pt" stroked="t" strokecolor="black" strokeweight="2pt">
          <v:stroke dashstyle="solid"/>
        </v:line>
      </w:pict>
    </w:r>
    <w:r>
      <w:pict>
        <v:shapetype id="_x0000_t202" coordsize="21600,21600" o:spt="202" path="m,l,21600r21600,l21600,xe">
          <v:stroke joinstyle="miter"/>
          <v:path gradientshapeok="t" o:connecttype="rect"/>
        </v:shapetype>
        <v:shape id="_x0000_s2100" type="#_x0000_t202" style="width:5.4pt;height:15.5pt;margin-top:34.59pt;margin-left:257.15pt;mso-position-horizontal-relative:page;mso-position-vertical-relative:page;position:absolute;z-index:-251616256"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r>
      <w:pict>
        <v:shape id="_x0000_s2101" type="#_x0000_t202" style="width:104.3pt;height:17.2pt;margin-top:34.59pt;margin-left:408.94pt;mso-position-horizontal-relative:page;mso-position-vertical-relative:page;position:absolute;z-index:-251615232"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w:t>
                </w:r>
                <w:r>
                  <w:rPr>
                    <w:rFonts w:ascii="Times New Roman" w:eastAsia="Times New Roman"/>
                    <w:sz w:val="27"/>
                  </w:rPr>
                  <w:t>.</w:t>
                </w:r>
                <w:r>
                  <w:rPr>
                    <w:rFonts w:ascii="宋体" w:eastAsia="宋体" w:hint="eastAsia"/>
                    <w:sz w:val="27"/>
                  </w:rPr>
                  <w:t>资料</w:t>
                </w:r>
              </w:p>
            </w:txbxContent>
          </v:textbox>
        </v:shape>
      </w:pict>
    </w:r>
    <w:r>
      <w:pict>
        <v:shape id="_x0000_s2102" type="#_x0000_t202" style="width:5.4pt;height:15.5pt;margin-top:34.59pt;margin-left:673.43pt;mso-position-horizontal-relative:page;mso-position-vertical-relative:page;position:absolute;z-index:-251614208"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04" style="mso-position-horizontal-relative:page;mso-position-vertical-relative:page;position:absolute;z-index:-251613184" from="125pt,51pt" to="812pt,51pt" stroked="t" strokecolor="black" strokeweight="2pt">
          <v:stroke dashstyle="solid"/>
        </v:line>
      </w:pict>
    </w:r>
    <w:r>
      <w:pict>
        <v:shapetype id="_x0000_t202" coordsize="21600,21600" o:spt="202" path="m,l,21600r21600,l21600,xe">
          <v:stroke joinstyle="miter"/>
          <v:path gradientshapeok="t" o:connecttype="rect"/>
        </v:shapetype>
        <v:shape id="_x0000_s2105" type="#_x0000_t202" style="width:5.4pt;height:15.5pt;margin-top:34.59pt;margin-left:257.15pt;mso-position-horizontal-relative:page;mso-position-vertical-relative:page;position:absolute;z-index:-251612160"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r>
      <w:pict>
        <v:shape id="_x0000_s2106" type="#_x0000_t202" style="width:104.3pt;height:17.2pt;margin-top:34.59pt;margin-left:408.94pt;mso-position-horizontal-relative:page;mso-position-vertical-relative:page;position:absolute;z-index:-251611136"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w:t>
                </w:r>
                <w:r>
                  <w:rPr>
                    <w:rFonts w:ascii="Times New Roman" w:eastAsia="Times New Roman"/>
                    <w:sz w:val="27"/>
                  </w:rPr>
                  <w:t>.</w:t>
                </w:r>
                <w:r>
                  <w:rPr>
                    <w:rFonts w:ascii="宋体" w:eastAsia="宋体" w:hint="eastAsia"/>
                    <w:sz w:val="27"/>
                  </w:rPr>
                  <w:t>资料</w:t>
                </w:r>
              </w:p>
            </w:txbxContent>
          </v:textbox>
        </v:shape>
      </w:pict>
    </w:r>
    <w:r>
      <w:pict>
        <v:shape id="_x0000_s2107" type="#_x0000_t202" style="width:5.4pt;height:15.5pt;margin-top:34.59pt;margin-left:673.43pt;mso-position-horizontal-relative:page;mso-position-vertical-relative:page;position:absolute;z-index:-251610112"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09" style="mso-position-horizontal-relative:page;mso-position-vertical-relative:page;position:absolute;z-index:-251609088" from="125pt,51pt" to="812pt,51pt" stroked="t" strokecolor="black" strokeweight="2pt">
          <v:stroke dashstyle="solid"/>
        </v:line>
      </w:pict>
    </w:r>
    <w:r>
      <w:pict>
        <v:shapetype id="_x0000_t202" coordsize="21600,21600" o:spt="202" path="m,l,21600r21600,l21600,xe">
          <v:stroke joinstyle="miter"/>
          <v:path gradientshapeok="t" o:connecttype="rect"/>
        </v:shapetype>
        <v:shape id="_x0000_s2110" type="#_x0000_t202" style="width:5.4pt;height:15.5pt;margin-top:34.59pt;margin-left:257.15pt;mso-position-horizontal-relative:page;mso-position-vertical-relative:page;position:absolute;z-index:-251608064"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r>
      <w:pict>
        <v:shape id="_x0000_s2111" type="#_x0000_t202" style="width:104.3pt;height:17.2pt;margin-top:34.59pt;margin-left:408.94pt;mso-position-horizontal-relative:page;mso-position-vertical-relative:page;position:absolute;z-index:-251607040"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w:t>
                </w:r>
                <w:r>
                  <w:rPr>
                    <w:rFonts w:ascii="Times New Roman" w:eastAsia="Times New Roman"/>
                    <w:sz w:val="27"/>
                  </w:rPr>
                  <w:t>.</w:t>
                </w:r>
                <w:r>
                  <w:rPr>
                    <w:rFonts w:ascii="宋体" w:eastAsia="宋体" w:hint="eastAsia"/>
                    <w:sz w:val="27"/>
                  </w:rPr>
                  <w:t>资料</w:t>
                </w:r>
              </w:p>
            </w:txbxContent>
          </v:textbox>
        </v:shape>
      </w:pict>
    </w:r>
    <w:r>
      <w:pict>
        <v:shape id="_x0000_s2112" type="#_x0000_t202" style="width:5.4pt;height:15.5pt;margin-top:34.59pt;margin-left:673.43pt;mso-position-horizontal-relative:page;mso-position-vertical-relative:page;position:absolute;z-index:-251606016"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14" style="mso-position-horizontal-relative:page;mso-position-vertical-relative:page;position:absolute;z-index:-251604992" from="125pt,51pt" to="812pt,51pt" stroked="t" strokecolor="black" strokeweight="2pt">
          <v:stroke dashstyle="solid"/>
        </v:line>
      </w:pict>
    </w:r>
    <w:r>
      <w:pict>
        <v:shapetype id="_x0000_t202" coordsize="21600,21600" o:spt="202" path="m,l,21600r21600,l21600,xe">
          <v:stroke joinstyle="miter"/>
          <v:path gradientshapeok="t" o:connecttype="rect"/>
        </v:shapetype>
        <v:shape id="_x0000_s2115" type="#_x0000_t202" style="width:5.4pt;height:15.5pt;margin-top:34.59pt;margin-left:257.15pt;mso-position-horizontal-relative:page;mso-position-vertical-relative:page;position:absolute;z-index:-251603968"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r>
      <w:pict>
        <v:shape id="_x0000_s2116" type="#_x0000_t202" style="width:104.3pt;height:17.2pt;margin-top:34.59pt;margin-left:408.94pt;mso-position-horizontal-relative:page;mso-position-vertical-relative:page;position:absolute;z-index:-251602944"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w:t>
                </w:r>
                <w:r>
                  <w:rPr>
                    <w:rFonts w:ascii="Times New Roman" w:eastAsia="Times New Roman"/>
                    <w:sz w:val="27"/>
                  </w:rPr>
                  <w:t>.</w:t>
                </w:r>
                <w:r>
                  <w:rPr>
                    <w:rFonts w:ascii="宋体" w:eastAsia="宋体" w:hint="eastAsia"/>
                    <w:sz w:val="27"/>
                  </w:rPr>
                  <w:t>资料</w:t>
                </w:r>
              </w:p>
            </w:txbxContent>
          </v:textbox>
        </v:shape>
      </w:pict>
    </w:r>
    <w:r>
      <w:pict>
        <v:shape id="_x0000_s2117" type="#_x0000_t202" style="width:5.4pt;height:15.5pt;margin-top:34.59pt;margin-left:673.43pt;mso-position-horizontal-relative:page;mso-position-vertical-relative:page;position:absolute;z-index:-251601920"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19" style="mso-position-horizontal-relative:page;mso-position-vertical-relative:page;position:absolute;z-index:-251600896" from="125pt,51pt" to="812pt,51pt" stroked="t" strokecolor="black" strokeweight="2pt">
          <v:stroke dashstyle="solid"/>
        </v:line>
      </w:pict>
    </w:r>
    <w:r>
      <w:pict>
        <v:shapetype id="_x0000_t202" coordsize="21600,21600" o:spt="202" path="m,l,21600r21600,l21600,xe">
          <v:stroke joinstyle="miter"/>
          <v:path gradientshapeok="t" o:connecttype="rect"/>
        </v:shapetype>
        <v:shape id="_x0000_s2120" type="#_x0000_t202" style="width:5.4pt;height:15.5pt;margin-top:34.59pt;margin-left:257.15pt;mso-position-horizontal-relative:page;mso-position-vertical-relative:page;position:absolute;z-index:-251599872"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r>
      <w:pict>
        <v:shape id="_x0000_s2121" type="#_x0000_t202" style="width:104.3pt;height:17.2pt;margin-top:34.59pt;margin-left:408.94pt;mso-position-horizontal-relative:page;mso-position-vertical-relative:page;position:absolute;z-index:-251598848"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w:t>
                </w:r>
                <w:r>
                  <w:rPr>
                    <w:rFonts w:ascii="Times New Roman" w:eastAsia="Times New Roman"/>
                    <w:sz w:val="27"/>
                  </w:rPr>
                  <w:t>.</w:t>
                </w:r>
                <w:r>
                  <w:rPr>
                    <w:rFonts w:ascii="宋体" w:eastAsia="宋体" w:hint="eastAsia"/>
                    <w:sz w:val="27"/>
                  </w:rPr>
                  <w:t>资料</w:t>
                </w:r>
              </w:p>
            </w:txbxContent>
          </v:textbox>
        </v:shape>
      </w:pict>
    </w:r>
    <w:r>
      <w:pict>
        <v:shape id="_x0000_s2122" type="#_x0000_t202" style="width:5.4pt;height:15.5pt;margin-top:34.59pt;margin-left:673.43pt;mso-position-horizontal-relative:page;mso-position-vertical-relative:page;position:absolute;z-index:-251597824"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24" style="mso-position-horizontal-relative:page;mso-position-vertical-relative:page;position:absolute;z-index:-251596800" from="125pt,51pt" to="812pt,51pt" stroked="t" strokecolor="black" strokeweight="2pt">
          <v:stroke dashstyle="solid"/>
        </v:line>
      </w:pict>
    </w:r>
    <w:r>
      <w:pict>
        <v:shapetype id="_x0000_t202" coordsize="21600,21600" o:spt="202" path="m,l,21600r21600,l21600,xe">
          <v:stroke joinstyle="miter"/>
          <v:path gradientshapeok="t" o:connecttype="rect"/>
        </v:shapetype>
        <v:shape id="_x0000_s2125" type="#_x0000_t202" style="width:5.4pt;height:15.5pt;margin-top:34.59pt;margin-left:257.15pt;mso-position-horizontal-relative:page;mso-position-vertical-relative:page;position:absolute;z-index:-251595776"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r>
      <w:pict>
        <v:shape id="_x0000_s2126" type="#_x0000_t202" style="width:104.3pt;height:17.2pt;margin-top:34.59pt;margin-left:408.94pt;mso-position-horizontal-relative:page;mso-position-vertical-relative:page;position:absolute;z-index:-251594752"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w:t>
                </w:r>
                <w:r>
                  <w:rPr>
                    <w:rFonts w:ascii="Times New Roman" w:eastAsia="Times New Roman"/>
                    <w:sz w:val="27"/>
                  </w:rPr>
                  <w:t>.</w:t>
                </w:r>
                <w:r>
                  <w:rPr>
                    <w:rFonts w:ascii="宋体" w:eastAsia="宋体" w:hint="eastAsia"/>
                    <w:sz w:val="27"/>
                  </w:rPr>
                  <w:t>资料</w:t>
                </w:r>
              </w:p>
            </w:txbxContent>
          </v:textbox>
        </v:shape>
      </w:pict>
    </w:r>
    <w:r>
      <w:pict>
        <v:shape id="_x0000_s2127" type="#_x0000_t202" style="width:5.4pt;height:15.5pt;margin-top:34.59pt;margin-left:673.43pt;mso-position-horizontal-relative:page;mso-position-vertical-relative:page;position:absolute;z-index:-251593728"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29" style="mso-position-horizontal-relative:page;mso-position-vertical-relative:page;position:absolute;z-index:-251592704" from="125pt,51pt" to="812pt,51pt" stroked="t" strokecolor="black" strokeweight="2pt">
          <v:stroke dashstyle="solid"/>
        </v:line>
      </w:pict>
    </w:r>
    <w:r>
      <w:pict>
        <v:shapetype id="_x0000_t202" coordsize="21600,21600" o:spt="202" path="m,l,21600r21600,l21600,xe">
          <v:stroke joinstyle="miter"/>
          <v:path gradientshapeok="t" o:connecttype="rect"/>
        </v:shapetype>
        <v:shape id="_x0000_s2130" type="#_x0000_t202" style="width:5.4pt;height:15.5pt;margin-top:34.59pt;margin-left:257.15pt;mso-position-horizontal-relative:page;mso-position-vertical-relative:page;position:absolute;z-index:-251591680"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r>
      <w:pict>
        <v:shape id="_x0000_s2131" type="#_x0000_t202" style="width:104.3pt;height:17.2pt;margin-top:34.59pt;margin-left:408.94pt;mso-position-horizontal-relative:page;mso-position-vertical-relative:page;position:absolute;z-index:-251590656"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w:t>
                </w:r>
                <w:r>
                  <w:rPr>
                    <w:rFonts w:ascii="Times New Roman" w:eastAsia="Times New Roman"/>
                    <w:sz w:val="27"/>
                  </w:rPr>
                  <w:t>.</w:t>
                </w:r>
                <w:r>
                  <w:rPr>
                    <w:rFonts w:ascii="宋体" w:eastAsia="宋体" w:hint="eastAsia"/>
                    <w:sz w:val="27"/>
                  </w:rPr>
                  <w:t>资料</w:t>
                </w:r>
              </w:p>
            </w:txbxContent>
          </v:textbox>
        </v:shape>
      </w:pict>
    </w:r>
    <w:r>
      <w:pict>
        <v:shape id="_x0000_s2132" type="#_x0000_t202" style="width:5.4pt;height:15.5pt;margin-top:34.59pt;margin-left:673.43pt;mso-position-horizontal-relative:page;mso-position-vertical-relative:page;position:absolute;z-index:-251589632"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34" style="mso-position-horizontal-relative:page;mso-position-vertical-relative:page;position:absolute;z-index:-251588608" from="125pt,51pt" to="812pt,51pt" stroked="t" strokecolor="black" strokeweight="2pt">
          <v:stroke dashstyle="solid"/>
        </v:line>
      </w:pict>
    </w:r>
    <w:r>
      <w:pict>
        <v:shapetype id="_x0000_t202" coordsize="21600,21600" o:spt="202" path="m,l,21600r21600,l21600,xe">
          <v:stroke joinstyle="miter"/>
          <v:path gradientshapeok="t" o:connecttype="rect"/>
        </v:shapetype>
        <v:shape id="_x0000_s2135" type="#_x0000_t202" style="width:5.4pt;height:15.5pt;margin-top:34.59pt;margin-left:257.15pt;mso-position-horizontal-relative:page;mso-position-vertical-relative:page;position:absolute;z-index:-251587584"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r>
      <w:pict>
        <v:shape id="_x0000_s2136" type="#_x0000_t202" style="width:104.3pt;height:17.2pt;margin-top:34.59pt;margin-left:408.94pt;mso-position-horizontal-relative:page;mso-position-vertical-relative:page;position:absolute;z-index:-251586560"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w:t>
                </w:r>
                <w:r>
                  <w:rPr>
                    <w:rFonts w:ascii="Times New Roman" w:eastAsia="Times New Roman"/>
                    <w:sz w:val="27"/>
                  </w:rPr>
                  <w:t>.</w:t>
                </w:r>
                <w:r>
                  <w:rPr>
                    <w:rFonts w:ascii="宋体" w:eastAsia="宋体" w:hint="eastAsia"/>
                    <w:sz w:val="27"/>
                  </w:rPr>
                  <w:t>资料</w:t>
                </w:r>
              </w:p>
            </w:txbxContent>
          </v:textbox>
        </v:shape>
      </w:pict>
    </w:r>
    <w:r>
      <w:pict>
        <v:shape id="_x0000_s2137" type="#_x0000_t202" style="width:5.4pt;height:15.5pt;margin-top:34.59pt;margin-left:673.43pt;mso-position-horizontal-relative:page;mso-position-vertical-relative:page;position:absolute;z-index:-251585536"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39" style="mso-position-horizontal-relative:page;mso-position-vertical-relative:page;position:absolute;z-index:-251584512" from="125pt,51pt" to="812pt,51pt" stroked="t" strokecolor="black" strokeweight="2pt">
          <v:stroke dashstyle="solid"/>
        </v:line>
      </w:pict>
    </w:r>
    <w:r>
      <w:pict>
        <v:shapetype id="_x0000_t202" coordsize="21600,21600" o:spt="202" path="m,l,21600r21600,l21600,xe">
          <v:stroke joinstyle="miter"/>
          <v:path gradientshapeok="t" o:connecttype="rect"/>
        </v:shapetype>
        <v:shape id="_x0000_s2140" type="#_x0000_t202" style="width:5.4pt;height:15.5pt;margin-top:34.59pt;margin-left:257.15pt;mso-position-horizontal-relative:page;mso-position-vertical-relative:page;position:absolute;z-index:-251583488"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r>
      <w:pict>
        <v:shape id="_x0000_s2141" type="#_x0000_t202" style="width:104.3pt;height:17.2pt;margin-top:34.59pt;margin-left:408.94pt;mso-position-horizontal-relative:page;mso-position-vertical-relative:page;position:absolute;z-index:-251582464"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w:t>
                </w:r>
                <w:r>
                  <w:rPr>
                    <w:rFonts w:ascii="Times New Roman" w:eastAsia="Times New Roman"/>
                    <w:sz w:val="27"/>
                  </w:rPr>
                  <w:t>.</w:t>
                </w:r>
                <w:r>
                  <w:rPr>
                    <w:rFonts w:ascii="宋体" w:eastAsia="宋体" w:hint="eastAsia"/>
                    <w:sz w:val="27"/>
                  </w:rPr>
                  <w:t>资料</w:t>
                </w:r>
              </w:p>
            </w:txbxContent>
          </v:textbox>
        </v:shape>
      </w:pict>
    </w:r>
    <w:r>
      <w:pict>
        <v:shape id="_x0000_s2142" type="#_x0000_t202" style="width:5.4pt;height:15.5pt;margin-top:34.59pt;margin-left:673.43pt;mso-position-horizontal-relative:page;mso-position-vertical-relative:page;position:absolute;z-index:-251581440"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44" style="mso-position-horizontal-relative:page;mso-position-vertical-relative:page;position:absolute;z-index:-251580416" from="125pt,51pt" to="812pt,51pt" stroked="t" strokecolor="black" strokeweight="2pt">
          <v:stroke dashstyle="solid"/>
        </v:line>
      </w:pict>
    </w:r>
    <w:r>
      <w:pict>
        <v:shapetype id="_x0000_t202" coordsize="21600,21600" o:spt="202" path="m,l,21600r21600,l21600,xe">
          <v:stroke joinstyle="miter"/>
          <v:path gradientshapeok="t" o:connecttype="rect"/>
        </v:shapetype>
        <v:shape id="_x0000_s2145" type="#_x0000_t202" style="width:5.4pt;height:15.5pt;margin-top:34.59pt;margin-left:257.15pt;mso-position-horizontal-relative:page;mso-position-vertical-relative:page;position:absolute;z-index:-251579392"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r>
      <w:pict>
        <v:shape id="_x0000_s2146" type="#_x0000_t202" style="width:104.3pt;height:17.2pt;margin-top:34.59pt;margin-left:408.94pt;mso-position-horizontal-relative:page;mso-position-vertical-relative:page;position:absolute;z-index:-251578368"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w:t>
                </w:r>
                <w:r>
                  <w:rPr>
                    <w:rFonts w:ascii="Times New Roman" w:eastAsia="Times New Roman"/>
                    <w:sz w:val="27"/>
                  </w:rPr>
                  <w:t>.</w:t>
                </w:r>
                <w:r>
                  <w:rPr>
                    <w:rFonts w:ascii="宋体" w:eastAsia="宋体" w:hint="eastAsia"/>
                    <w:sz w:val="27"/>
                  </w:rPr>
                  <w:t>资料</w:t>
                </w:r>
              </w:p>
            </w:txbxContent>
          </v:textbox>
        </v:shape>
      </w:pict>
    </w:r>
    <w:r>
      <w:pict>
        <v:shape id="_x0000_s2147" type="#_x0000_t202" style="width:5.4pt;height:15.5pt;margin-top:34.59pt;margin-left:673.43pt;mso-position-horizontal-relative:page;mso-position-vertical-relative:page;position:absolute;z-index:-251577344"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49" style="mso-position-horizontal-relative:page;mso-position-vertical-relative:page;position:absolute;z-index:-251576320" from="125pt,51pt" to="812pt,51pt" stroked="t" strokecolor="black" strokeweight="2pt">
          <v:stroke dashstyle="solid"/>
        </v:line>
      </w:pict>
    </w:r>
    <w:r>
      <w:pict>
        <v:shapetype id="_x0000_t202" coordsize="21600,21600" o:spt="202" path="m,l,21600r21600,l21600,xe">
          <v:stroke joinstyle="miter"/>
          <v:path gradientshapeok="t" o:connecttype="rect"/>
        </v:shapetype>
        <v:shape id="_x0000_s2150" type="#_x0000_t202" style="width:5.4pt;height:15.5pt;margin-top:34.59pt;margin-left:257.15pt;mso-position-horizontal-relative:page;mso-position-vertical-relative:page;position:absolute;z-index:-251575296"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r>
      <w:pict>
        <v:shape id="_x0000_s2151" type="#_x0000_t202" style="width:104.3pt;height:17.2pt;margin-top:34.59pt;margin-left:408.94pt;mso-position-horizontal-relative:page;mso-position-vertical-relative:page;position:absolute;z-index:-251574272"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w:t>
                </w:r>
                <w:r>
                  <w:rPr>
                    <w:rFonts w:ascii="Times New Roman" w:eastAsia="Times New Roman"/>
                    <w:sz w:val="27"/>
                  </w:rPr>
                  <w:t>.</w:t>
                </w:r>
                <w:r>
                  <w:rPr>
                    <w:rFonts w:ascii="宋体" w:eastAsia="宋体" w:hint="eastAsia"/>
                    <w:sz w:val="27"/>
                  </w:rPr>
                  <w:t>资料</w:t>
                </w:r>
              </w:p>
            </w:txbxContent>
          </v:textbox>
        </v:shape>
      </w:pict>
    </w:r>
    <w:r>
      <w:pict>
        <v:shape id="_x0000_s2152" type="#_x0000_t202" style="width:5.4pt;height:15.5pt;margin-top:34.59pt;margin-left:673.43pt;mso-position-horizontal-relative:page;mso-position-vertical-relative:page;position:absolute;z-index:-251573248"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54" style="mso-position-horizontal-relative:page;mso-position-vertical-relative:page;position:absolute;z-index:-251572224" from="125pt,51pt" to="812pt,51pt" stroked="t" strokecolor="black" strokeweight="2pt">
          <v:stroke dashstyle="solid"/>
        </v:line>
      </w:pict>
    </w:r>
    <w:r>
      <w:pict>
        <v:shapetype id="_x0000_t202" coordsize="21600,21600" o:spt="202" path="m,l,21600r21600,l21600,xe">
          <v:stroke joinstyle="miter"/>
          <v:path gradientshapeok="t" o:connecttype="rect"/>
        </v:shapetype>
        <v:shape id="_x0000_s2155" type="#_x0000_t202" style="width:5.4pt;height:15.5pt;margin-top:34.59pt;margin-left:257.15pt;mso-position-horizontal-relative:page;mso-position-vertical-relative:page;position:absolute;z-index:-251571200"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r>
      <w:pict>
        <v:shape id="_x0000_s2156" type="#_x0000_t202" style="width:104.3pt;height:17.2pt;margin-top:34.59pt;margin-left:408.94pt;mso-position-horizontal-relative:page;mso-position-vertical-relative:page;position:absolute;z-index:-251570176"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w:t>
                </w:r>
                <w:r>
                  <w:rPr>
                    <w:rFonts w:ascii="Times New Roman" w:eastAsia="Times New Roman"/>
                    <w:sz w:val="27"/>
                  </w:rPr>
                  <w:t>.</w:t>
                </w:r>
                <w:r>
                  <w:rPr>
                    <w:rFonts w:ascii="宋体" w:eastAsia="宋体" w:hint="eastAsia"/>
                    <w:sz w:val="27"/>
                  </w:rPr>
                  <w:t>资料</w:t>
                </w:r>
              </w:p>
            </w:txbxContent>
          </v:textbox>
        </v:shape>
      </w:pict>
    </w:r>
    <w:r>
      <w:pict>
        <v:shape id="_x0000_s2157" type="#_x0000_t202" style="width:5.4pt;height:15.5pt;margin-top:34.59pt;margin-left:673.43pt;mso-position-horizontal-relative:page;mso-position-vertical-relative:page;position:absolute;z-index:-251569152"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59" style="mso-position-horizontal-relative:page;mso-position-vertical-relative:page;position:absolute;z-index:-251568128" from="125pt,51pt" to="812pt,51pt" stroked="t" strokecolor="black" strokeweight="2pt">
          <v:stroke dashstyle="solid"/>
        </v:line>
      </w:pict>
    </w:r>
    <w:r>
      <w:pict>
        <v:shapetype id="_x0000_t202" coordsize="21600,21600" o:spt="202" path="m,l,21600r21600,l21600,xe">
          <v:stroke joinstyle="miter"/>
          <v:path gradientshapeok="t" o:connecttype="rect"/>
        </v:shapetype>
        <v:shape id="_x0000_s2160" type="#_x0000_t202" style="width:5.4pt;height:15.5pt;margin-top:34.59pt;margin-left:257.15pt;mso-position-horizontal-relative:page;mso-position-vertical-relative:page;position:absolute;z-index:-251567104"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r>
      <w:pict>
        <v:shape id="_x0000_s2161" type="#_x0000_t202" style="width:104.3pt;height:17.2pt;margin-top:34.59pt;margin-left:408.94pt;mso-position-horizontal-relative:page;mso-position-vertical-relative:page;position:absolute;z-index:-251566080"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w:t>
                </w:r>
                <w:r>
                  <w:rPr>
                    <w:rFonts w:ascii="Times New Roman" w:eastAsia="Times New Roman"/>
                    <w:sz w:val="27"/>
                  </w:rPr>
                  <w:t>.</w:t>
                </w:r>
                <w:r>
                  <w:rPr>
                    <w:rFonts w:ascii="宋体" w:eastAsia="宋体" w:hint="eastAsia"/>
                    <w:sz w:val="27"/>
                  </w:rPr>
                  <w:t>资料</w:t>
                </w:r>
              </w:p>
            </w:txbxContent>
          </v:textbox>
        </v:shape>
      </w:pict>
    </w:r>
    <w:r>
      <w:pict>
        <v:shape id="_x0000_s2162" type="#_x0000_t202" style="width:5.4pt;height:15.5pt;margin-top:34.59pt;margin-left:673.43pt;mso-position-horizontal-relative:page;mso-position-vertical-relative:page;position:absolute;z-index:-251565056"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64" style="mso-position-horizontal-relative:page;mso-position-vertical-relative:page;position:absolute;z-index:-251564032" from="125pt,51pt" to="812pt,51pt" stroked="t" strokecolor="black" strokeweight="2pt">
          <v:stroke dashstyle="solid"/>
        </v:line>
      </w:pict>
    </w:r>
    <w:r>
      <w:pict>
        <v:shapetype id="_x0000_t202" coordsize="21600,21600" o:spt="202" path="m,l,21600r21600,l21600,xe">
          <v:stroke joinstyle="miter"/>
          <v:path gradientshapeok="t" o:connecttype="rect"/>
        </v:shapetype>
        <v:shape id="_x0000_s2165" type="#_x0000_t202" style="width:5.4pt;height:15.5pt;margin-top:34.59pt;margin-left:257.15pt;mso-position-horizontal-relative:page;mso-position-vertical-relative:page;position:absolute;z-index:-251563008"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r>
      <w:pict>
        <v:shape id="_x0000_s2166" type="#_x0000_t202" style="width:104.3pt;height:17.2pt;margin-top:34.59pt;margin-left:408.94pt;mso-position-horizontal-relative:page;mso-position-vertical-relative:page;position:absolute;z-index:-251561984"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w:t>
                </w:r>
                <w:r>
                  <w:rPr>
                    <w:rFonts w:ascii="Times New Roman" w:eastAsia="Times New Roman"/>
                    <w:sz w:val="27"/>
                  </w:rPr>
                  <w:t>.</w:t>
                </w:r>
                <w:r>
                  <w:rPr>
                    <w:rFonts w:ascii="宋体" w:eastAsia="宋体" w:hint="eastAsia"/>
                    <w:sz w:val="27"/>
                  </w:rPr>
                  <w:t>资料</w:t>
                </w:r>
              </w:p>
            </w:txbxContent>
          </v:textbox>
        </v:shape>
      </w:pict>
    </w:r>
    <w:r>
      <w:pict>
        <v:shape id="_x0000_s2167" type="#_x0000_t202" style="width:5.4pt;height:15.5pt;margin-top:34.59pt;margin-left:673.43pt;mso-position-horizontal-relative:page;mso-position-vertical-relative:page;position:absolute;z-index:-251560960"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69" style="mso-position-horizontal-relative:page;mso-position-vertical-relative:page;position:absolute;z-index:-251559936" from="125pt,51pt" to="812pt,51pt" stroked="t" strokecolor="black" strokeweight="2pt">
          <v:stroke dashstyle="solid"/>
        </v:line>
      </w:pict>
    </w:r>
    <w:r>
      <w:pict>
        <v:shapetype id="_x0000_t202" coordsize="21600,21600" o:spt="202" path="m,l,21600r21600,l21600,xe">
          <v:stroke joinstyle="miter"/>
          <v:path gradientshapeok="t" o:connecttype="rect"/>
        </v:shapetype>
        <v:shape id="_x0000_s2170" type="#_x0000_t202" style="width:5.4pt;height:15.5pt;margin-top:34.59pt;margin-left:257.15pt;mso-position-horizontal-relative:page;mso-position-vertical-relative:page;position:absolute;z-index:-251558912"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r>
      <w:pict>
        <v:shape id="_x0000_s2171" type="#_x0000_t202" style="width:104.3pt;height:17.2pt;margin-top:34.59pt;margin-left:408.94pt;mso-position-horizontal-relative:page;mso-position-vertical-relative:page;position:absolute;z-index:-251557888"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w:t>
                </w:r>
                <w:r>
                  <w:rPr>
                    <w:rFonts w:ascii="Times New Roman" w:eastAsia="Times New Roman"/>
                    <w:sz w:val="27"/>
                  </w:rPr>
                  <w:t>.</w:t>
                </w:r>
                <w:r>
                  <w:rPr>
                    <w:rFonts w:ascii="宋体" w:eastAsia="宋体" w:hint="eastAsia"/>
                    <w:sz w:val="27"/>
                  </w:rPr>
                  <w:t>资料</w:t>
                </w:r>
              </w:p>
            </w:txbxContent>
          </v:textbox>
        </v:shape>
      </w:pict>
    </w:r>
    <w:r>
      <w:pict>
        <v:shape id="_x0000_s2172" type="#_x0000_t202" style="width:5.4pt;height:15.5pt;margin-top:34.59pt;margin-left:673.43pt;mso-position-horizontal-relative:page;mso-position-vertical-relative:page;position:absolute;z-index:-251556864"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74" style="mso-position-horizontal-relative:page;mso-position-vertical-relative:page;position:absolute;z-index:-251555840" from="125pt,51pt" to="812pt,51pt" stroked="t" strokecolor="black" strokeweight="2pt">
          <v:stroke dashstyle="solid"/>
        </v:line>
      </w:pict>
    </w:r>
    <w:r>
      <w:pict>
        <v:shapetype id="_x0000_t202" coordsize="21600,21600" o:spt="202" path="m,l,21600r21600,l21600,xe">
          <v:stroke joinstyle="miter"/>
          <v:path gradientshapeok="t" o:connecttype="rect"/>
        </v:shapetype>
        <v:shape id="_x0000_s2175" type="#_x0000_t202" style="width:5.4pt;height:15.5pt;margin-top:34.59pt;margin-left:257.15pt;mso-position-horizontal-relative:page;mso-position-vertical-relative:page;position:absolute;z-index:-251554816"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r>
      <w:pict>
        <v:shape id="_x0000_s2176" type="#_x0000_t202" style="width:104.3pt;height:17.2pt;margin-top:34.59pt;margin-left:408.94pt;mso-position-horizontal-relative:page;mso-position-vertical-relative:page;position:absolute;z-index:-251553792"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w:t>
                </w:r>
                <w:r>
                  <w:rPr>
                    <w:rFonts w:ascii="Times New Roman" w:eastAsia="Times New Roman"/>
                    <w:sz w:val="27"/>
                  </w:rPr>
                  <w:t>.</w:t>
                </w:r>
                <w:r>
                  <w:rPr>
                    <w:rFonts w:ascii="宋体" w:eastAsia="宋体" w:hint="eastAsia"/>
                    <w:sz w:val="27"/>
                  </w:rPr>
                  <w:t>资料</w:t>
                </w:r>
              </w:p>
            </w:txbxContent>
          </v:textbox>
        </v:shape>
      </w:pict>
    </w:r>
    <w:r>
      <w:pict>
        <v:shape id="_x0000_s2177" type="#_x0000_t202" style="width:5.4pt;height:15.5pt;margin-top:34.59pt;margin-left:673.43pt;mso-position-horizontal-relative:page;mso-position-vertical-relative:page;position:absolute;z-index:-251552768"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79" style="mso-position-horizontal-relative:page;mso-position-vertical-relative:page;position:absolute;z-index:-251551744" from="125pt,51pt" to="812pt,51pt" stroked="t" strokecolor="black" strokeweight="2pt">
          <v:stroke dashstyle="solid"/>
        </v:line>
      </w:pict>
    </w:r>
    <w:r>
      <w:pict>
        <v:shapetype id="_x0000_t202" coordsize="21600,21600" o:spt="202" path="m,l,21600r21600,l21600,xe">
          <v:stroke joinstyle="miter"/>
          <v:path gradientshapeok="t" o:connecttype="rect"/>
        </v:shapetype>
        <v:shape id="_x0000_s2180" type="#_x0000_t202" style="width:5.4pt;height:15.5pt;margin-top:34.59pt;margin-left:257.15pt;mso-position-horizontal-relative:page;mso-position-vertical-relative:page;position:absolute;z-index:-251550720"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r>
      <w:pict>
        <v:shape id="_x0000_s2181" type="#_x0000_t202" style="width:104.3pt;height:17.2pt;margin-top:34.59pt;margin-left:408.94pt;mso-position-horizontal-relative:page;mso-position-vertical-relative:page;position:absolute;z-index:-251549696"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w:t>
                </w:r>
                <w:r>
                  <w:rPr>
                    <w:rFonts w:ascii="Times New Roman" w:eastAsia="Times New Roman"/>
                    <w:sz w:val="27"/>
                  </w:rPr>
                  <w:t>.</w:t>
                </w:r>
                <w:r>
                  <w:rPr>
                    <w:rFonts w:ascii="宋体" w:eastAsia="宋体" w:hint="eastAsia"/>
                    <w:sz w:val="27"/>
                  </w:rPr>
                  <w:t>资料</w:t>
                </w:r>
              </w:p>
            </w:txbxContent>
          </v:textbox>
        </v:shape>
      </w:pict>
    </w:r>
    <w:r>
      <w:pict>
        <v:shape id="_x0000_s2182" type="#_x0000_t202" style="width:5.4pt;height:15.5pt;margin-top:34.59pt;margin-left:673.43pt;mso-position-horizontal-relative:page;mso-position-vertical-relative:page;position:absolute;z-index:-251548672"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84" style="mso-position-horizontal-relative:page;mso-position-vertical-relative:page;position:absolute;z-index:-251547648" from="125pt,51pt" to="812pt,51pt" stroked="t" strokecolor="black" strokeweight="2pt">
          <v:stroke dashstyle="solid"/>
        </v:line>
      </w:pict>
    </w:r>
    <w:r>
      <w:pict>
        <v:shapetype id="_x0000_t202" coordsize="21600,21600" o:spt="202" path="m,l,21600r21600,l21600,xe">
          <v:stroke joinstyle="miter"/>
          <v:path gradientshapeok="t" o:connecttype="rect"/>
        </v:shapetype>
        <v:shape id="_x0000_s2185" type="#_x0000_t202" style="width:5.4pt;height:15.5pt;margin-top:34.59pt;margin-left:257.15pt;mso-position-horizontal-relative:page;mso-position-vertical-relative:page;position:absolute;z-index:-251546624"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r>
      <w:pict>
        <v:shape id="_x0000_s2186" type="#_x0000_t202" style="width:104.3pt;height:17.2pt;margin-top:34.59pt;margin-left:408.94pt;mso-position-horizontal-relative:page;mso-position-vertical-relative:page;position:absolute;z-index:-251545600"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w:t>
                </w:r>
                <w:r>
                  <w:rPr>
                    <w:rFonts w:ascii="Times New Roman" w:eastAsia="Times New Roman"/>
                    <w:sz w:val="27"/>
                  </w:rPr>
                  <w:t>.</w:t>
                </w:r>
                <w:r>
                  <w:rPr>
                    <w:rFonts w:ascii="宋体" w:eastAsia="宋体" w:hint="eastAsia"/>
                    <w:sz w:val="27"/>
                  </w:rPr>
                  <w:t>资料</w:t>
                </w:r>
              </w:p>
            </w:txbxContent>
          </v:textbox>
        </v:shape>
      </w:pict>
    </w:r>
    <w:r>
      <w:pict>
        <v:shape id="_x0000_s2187" type="#_x0000_t202" style="width:5.4pt;height:15.5pt;margin-top:34.59pt;margin-left:673.43pt;mso-position-horizontal-relative:page;mso-position-vertical-relative:page;position:absolute;z-index:-251544576"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89" style="mso-position-horizontal-relative:page;mso-position-vertical-relative:page;position:absolute;z-index:-251543552" from="125pt,51pt" to="812pt,51pt" stroked="t" strokecolor="black" strokeweight="2pt">
          <v:stroke dashstyle="solid"/>
        </v:line>
      </w:pict>
    </w:r>
    <w:r>
      <w:pict>
        <v:shapetype id="_x0000_t202" coordsize="21600,21600" o:spt="202" path="m,l,21600r21600,l21600,xe">
          <v:stroke joinstyle="miter"/>
          <v:path gradientshapeok="t" o:connecttype="rect"/>
        </v:shapetype>
        <v:shape id="_x0000_s2190" type="#_x0000_t202" style="width:5.4pt;height:15.5pt;margin-top:34.59pt;margin-left:257.15pt;mso-position-horizontal-relative:page;mso-position-vertical-relative:page;position:absolute;z-index:-251542528"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r>
      <w:pict>
        <v:shape id="_x0000_s2191" type="#_x0000_t202" style="width:104.3pt;height:17.2pt;margin-top:34.59pt;margin-left:408.94pt;mso-position-horizontal-relative:page;mso-position-vertical-relative:page;position:absolute;z-index:-251541504"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w:t>
                </w:r>
                <w:r>
                  <w:rPr>
                    <w:rFonts w:ascii="Times New Roman" w:eastAsia="Times New Roman"/>
                    <w:sz w:val="27"/>
                  </w:rPr>
                  <w:t>.</w:t>
                </w:r>
                <w:r>
                  <w:rPr>
                    <w:rFonts w:ascii="宋体" w:eastAsia="宋体" w:hint="eastAsia"/>
                    <w:sz w:val="27"/>
                  </w:rPr>
                  <w:t>资料</w:t>
                </w:r>
              </w:p>
            </w:txbxContent>
          </v:textbox>
        </v:shape>
      </w:pict>
    </w:r>
    <w:r>
      <w:pict>
        <v:shape id="_x0000_s2192" type="#_x0000_t202" style="width:5.4pt;height:15.5pt;margin-top:34.59pt;margin-left:673.43pt;mso-position-horizontal-relative:page;mso-position-vertical-relative:page;position:absolute;z-index:-251540480"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94" style="mso-position-horizontal-relative:page;mso-position-vertical-relative:page;position:absolute;z-index:-251539456" from="125pt,51pt" to="812pt,51pt" stroked="t" strokecolor="black" strokeweight="2pt">
          <v:stroke dashstyle="solid"/>
        </v:line>
      </w:pict>
    </w:r>
    <w:r>
      <w:pict>
        <v:shapetype id="_x0000_t202" coordsize="21600,21600" o:spt="202" path="m,l,21600r21600,l21600,xe">
          <v:stroke joinstyle="miter"/>
          <v:path gradientshapeok="t" o:connecttype="rect"/>
        </v:shapetype>
        <v:shape id="_x0000_s2195" type="#_x0000_t202" style="width:5.4pt;height:15.5pt;margin-top:34.59pt;margin-left:257.15pt;mso-position-horizontal-relative:page;mso-position-vertical-relative:page;position:absolute;z-index:-251538432"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r>
      <w:pict>
        <v:shape id="_x0000_s2196" type="#_x0000_t202" style="width:104.3pt;height:17.2pt;margin-top:34.59pt;margin-left:408.94pt;mso-position-horizontal-relative:page;mso-position-vertical-relative:page;position:absolute;z-index:-251537408"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w:t>
                </w:r>
                <w:r>
                  <w:rPr>
                    <w:rFonts w:ascii="Times New Roman" w:eastAsia="Times New Roman"/>
                    <w:sz w:val="27"/>
                  </w:rPr>
                  <w:t>.</w:t>
                </w:r>
                <w:r>
                  <w:rPr>
                    <w:rFonts w:ascii="宋体" w:eastAsia="宋体" w:hint="eastAsia"/>
                    <w:sz w:val="27"/>
                  </w:rPr>
                  <w:t>资料</w:t>
                </w:r>
              </w:p>
            </w:txbxContent>
          </v:textbox>
        </v:shape>
      </w:pict>
    </w:r>
    <w:r>
      <w:pict>
        <v:shape id="_x0000_s2197" type="#_x0000_t202" style="width:5.4pt;height:15.5pt;margin-top:34.59pt;margin-left:673.43pt;mso-position-horizontal-relative:page;mso-position-vertical-relative:page;position:absolute;z-index:-251536384"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99" style="mso-position-horizontal-relative:page;mso-position-vertical-relative:page;position:absolute;z-index:-251535360" from="125pt,51pt" to="812pt,51pt" stroked="t" strokecolor="black" strokeweight="2pt">
          <v:stroke dashstyle="solid"/>
        </v:line>
      </w:pict>
    </w:r>
    <w:r>
      <w:pict>
        <v:shapetype id="_x0000_t202" coordsize="21600,21600" o:spt="202" path="m,l,21600r21600,l21600,xe">
          <v:stroke joinstyle="miter"/>
          <v:path gradientshapeok="t" o:connecttype="rect"/>
        </v:shapetype>
        <v:shape id="_x0000_s2200" type="#_x0000_t202" style="width:5.4pt;height:15.5pt;margin-top:34.59pt;margin-left:257.15pt;mso-position-horizontal-relative:page;mso-position-vertical-relative:page;position:absolute;z-index:-251534336"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r>
      <w:pict>
        <v:shape id="_x0000_s2201" type="#_x0000_t202" style="width:104.3pt;height:17.2pt;margin-top:34.59pt;margin-left:408.94pt;mso-position-horizontal-relative:page;mso-position-vertical-relative:page;position:absolute;z-index:-251533312"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w:t>
                </w:r>
                <w:r>
                  <w:rPr>
                    <w:rFonts w:ascii="Times New Roman" w:eastAsia="Times New Roman"/>
                    <w:sz w:val="27"/>
                  </w:rPr>
                  <w:t>.</w:t>
                </w:r>
                <w:r>
                  <w:rPr>
                    <w:rFonts w:ascii="宋体" w:eastAsia="宋体" w:hint="eastAsia"/>
                    <w:sz w:val="27"/>
                  </w:rPr>
                  <w:t>资料</w:t>
                </w:r>
              </w:p>
            </w:txbxContent>
          </v:textbox>
        </v:shape>
      </w:pict>
    </w:r>
    <w:r>
      <w:pict>
        <v:shape id="_x0000_s2202" type="#_x0000_t202" style="width:5.4pt;height:15.5pt;margin-top:34.59pt;margin-left:673.43pt;mso-position-horizontal-relative:page;mso-position-vertical-relative:page;position:absolute;z-index:-251532288"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204" style="mso-position-horizontal-relative:page;mso-position-vertical-relative:page;position:absolute;z-index:-251531264" from="125pt,51pt" to="812pt,51pt" stroked="t" strokecolor="black" strokeweight="2pt">
          <v:stroke dashstyle="solid"/>
        </v:line>
      </w:pict>
    </w:r>
    <w:r>
      <w:pict>
        <v:shapetype id="_x0000_t202" coordsize="21600,21600" o:spt="202" path="m,l,21600r21600,l21600,xe">
          <v:stroke joinstyle="miter"/>
          <v:path gradientshapeok="t" o:connecttype="rect"/>
        </v:shapetype>
        <v:shape id="_x0000_s2205" type="#_x0000_t202" style="width:5.4pt;height:15.5pt;margin-top:34.59pt;margin-left:257.15pt;mso-position-horizontal-relative:page;mso-position-vertical-relative:page;position:absolute;z-index:-251530240"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r>
      <w:pict>
        <v:shape id="_x0000_s2206" type="#_x0000_t202" style="width:104.3pt;height:17.2pt;margin-top:34.59pt;margin-left:408.94pt;mso-position-horizontal-relative:page;mso-position-vertical-relative:page;position:absolute;z-index:-251529216"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w:t>
                </w:r>
                <w:r>
                  <w:rPr>
                    <w:rFonts w:ascii="Times New Roman" w:eastAsia="Times New Roman"/>
                    <w:sz w:val="27"/>
                  </w:rPr>
                  <w:t>.</w:t>
                </w:r>
                <w:r>
                  <w:rPr>
                    <w:rFonts w:ascii="宋体" w:eastAsia="宋体" w:hint="eastAsia"/>
                    <w:sz w:val="27"/>
                  </w:rPr>
                  <w:t>资料</w:t>
                </w:r>
              </w:p>
            </w:txbxContent>
          </v:textbox>
        </v:shape>
      </w:pict>
    </w:r>
    <w:r>
      <w:pict>
        <v:shape id="_x0000_s2207" type="#_x0000_t202" style="width:5.4pt;height:15.5pt;margin-top:34.59pt;margin-left:673.43pt;mso-position-horizontal-relative:page;mso-position-vertical-relative:page;position:absolute;z-index:-251528192"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209" style="mso-position-horizontal-relative:page;mso-position-vertical-relative:page;position:absolute;z-index:-251527168" from="125pt,51pt" to="812pt,51pt" stroked="t" strokecolor="black" strokeweight="2pt">
          <v:stroke dashstyle="solid"/>
        </v:line>
      </w:pict>
    </w:r>
    <w:r>
      <w:pict>
        <v:shapetype id="_x0000_t202" coordsize="21600,21600" o:spt="202" path="m,l,21600r21600,l21600,xe">
          <v:stroke joinstyle="miter"/>
          <v:path gradientshapeok="t" o:connecttype="rect"/>
        </v:shapetype>
        <v:shape id="_x0000_s2210" type="#_x0000_t202" style="width:5.4pt;height:15.5pt;margin-top:34.59pt;margin-left:257.15pt;mso-position-horizontal-relative:page;mso-position-vertical-relative:page;position:absolute;z-index:-251526144"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r>
      <w:pict>
        <v:shape id="_x0000_s2211" type="#_x0000_t202" style="width:104.3pt;height:17.2pt;margin-top:34.59pt;margin-left:408.94pt;mso-position-horizontal-relative:page;mso-position-vertical-relative:page;position:absolute;z-index:-251525120"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w:t>
                </w:r>
                <w:r>
                  <w:rPr>
                    <w:rFonts w:ascii="Times New Roman" w:eastAsia="Times New Roman"/>
                    <w:sz w:val="27"/>
                  </w:rPr>
                  <w:t>.</w:t>
                </w:r>
                <w:r>
                  <w:rPr>
                    <w:rFonts w:ascii="宋体" w:eastAsia="宋体" w:hint="eastAsia"/>
                    <w:sz w:val="27"/>
                  </w:rPr>
                  <w:t>资料</w:t>
                </w:r>
              </w:p>
            </w:txbxContent>
          </v:textbox>
        </v:shape>
      </w:pict>
    </w:r>
    <w:r>
      <w:pict>
        <v:shape id="_x0000_s2212" type="#_x0000_t202" style="width:5.4pt;height:15.5pt;margin-top:34.59pt;margin-left:673.43pt;mso-position-horizontal-relative:page;mso-position-vertical-relative:page;position:absolute;z-index:-251524096"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61B6E7"/>
    <w:multiLevelType w:val="hybridMultilevel"/>
    <w:tmpl w:val="00000000"/>
    <w:lvl w:ilvl="0">
      <w:start w:val="1"/>
      <w:numFmt w:val="decimal"/>
      <w:lvlText w:val="（%1）"/>
      <w:lvlJc w:val="left"/>
      <w:pPr>
        <w:ind w:left="3112" w:hanging="1053"/>
        <w:jc w:val="left"/>
      </w:pPr>
      <w:rPr>
        <w:rFonts w:ascii="楷体" w:eastAsia="楷体" w:hAnsi="楷体" w:cs="楷体" w:hint="default"/>
        <w:spacing w:val="-2"/>
        <w:w w:val="100"/>
        <w:sz w:val="40"/>
        <w:szCs w:val="40"/>
      </w:rPr>
    </w:lvl>
    <w:lvl w:ilvl="1">
      <w:start w:val="0"/>
      <w:numFmt w:val="bullet"/>
      <w:lvlText w:val="•"/>
      <w:lvlJc w:val="left"/>
      <w:pPr>
        <w:ind w:left="4449" w:hanging="1053"/>
      </w:pPr>
      <w:rPr>
        <w:rFonts w:hint="default"/>
      </w:rPr>
    </w:lvl>
    <w:lvl w:ilvl="2">
      <w:start w:val="0"/>
      <w:numFmt w:val="bullet"/>
      <w:lvlText w:val="•"/>
      <w:lvlJc w:val="left"/>
      <w:pPr>
        <w:ind w:left="5779" w:hanging="1053"/>
      </w:pPr>
      <w:rPr>
        <w:rFonts w:hint="default"/>
      </w:rPr>
    </w:lvl>
    <w:lvl w:ilvl="3">
      <w:start w:val="0"/>
      <w:numFmt w:val="bullet"/>
      <w:lvlText w:val="•"/>
      <w:lvlJc w:val="left"/>
      <w:pPr>
        <w:ind w:left="7109" w:hanging="1053"/>
      </w:pPr>
      <w:rPr>
        <w:rFonts w:hint="default"/>
      </w:rPr>
    </w:lvl>
    <w:lvl w:ilvl="4">
      <w:start w:val="0"/>
      <w:numFmt w:val="bullet"/>
      <w:lvlText w:val="•"/>
      <w:lvlJc w:val="left"/>
      <w:pPr>
        <w:ind w:left="8439" w:hanging="1053"/>
      </w:pPr>
      <w:rPr>
        <w:rFonts w:hint="default"/>
      </w:rPr>
    </w:lvl>
    <w:lvl w:ilvl="5">
      <w:start w:val="0"/>
      <w:numFmt w:val="bullet"/>
      <w:lvlText w:val="•"/>
      <w:lvlJc w:val="left"/>
      <w:pPr>
        <w:ind w:left="9769" w:hanging="1053"/>
      </w:pPr>
      <w:rPr>
        <w:rFonts w:hint="default"/>
      </w:rPr>
    </w:lvl>
    <w:lvl w:ilvl="6">
      <w:start w:val="0"/>
      <w:numFmt w:val="bullet"/>
      <w:lvlText w:val="•"/>
      <w:lvlJc w:val="left"/>
      <w:pPr>
        <w:ind w:left="11099" w:hanging="1053"/>
      </w:pPr>
      <w:rPr>
        <w:rFonts w:hint="default"/>
      </w:rPr>
    </w:lvl>
    <w:lvl w:ilvl="7">
      <w:start w:val="0"/>
      <w:numFmt w:val="bullet"/>
      <w:lvlText w:val="•"/>
      <w:lvlJc w:val="left"/>
      <w:pPr>
        <w:ind w:left="12429" w:hanging="1053"/>
      </w:pPr>
      <w:rPr>
        <w:rFonts w:hint="default"/>
      </w:rPr>
    </w:lvl>
    <w:lvl w:ilvl="8">
      <w:start w:val="0"/>
      <w:numFmt w:val="bullet"/>
      <w:lvlText w:val="•"/>
      <w:lvlJc w:val="left"/>
      <w:pPr>
        <w:ind w:left="13759" w:hanging="1053"/>
      </w:pPr>
      <w:rPr>
        <w:rFonts w:hint="default"/>
      </w:rPr>
    </w:lvl>
  </w:abstractNum>
  <w:abstractNum w:abstractNumId="1">
    <w:nsid w:val="0493BD04"/>
    <w:multiLevelType w:val="hybridMultilevel"/>
    <w:tmpl w:val="00000000"/>
    <w:lvl w:ilvl="0">
      <w:start w:val="1"/>
      <w:numFmt w:val="decimal"/>
      <w:lvlText w:val="%1）"/>
      <w:lvlJc w:val="left"/>
      <w:pPr>
        <w:ind w:left="1113" w:hanging="631"/>
        <w:jc w:val="left"/>
      </w:pPr>
      <w:rPr>
        <w:rFonts w:ascii="楷体" w:eastAsia="楷体" w:hAnsi="楷体" w:cs="楷体" w:hint="default"/>
        <w:spacing w:val="-2"/>
        <w:w w:val="100"/>
        <w:sz w:val="40"/>
        <w:szCs w:val="40"/>
      </w:rPr>
    </w:lvl>
    <w:lvl w:ilvl="1">
      <w:start w:val="0"/>
      <w:numFmt w:val="bullet"/>
      <w:lvlText w:val="•"/>
      <w:lvlJc w:val="left"/>
      <w:pPr>
        <w:ind w:left="2649" w:hanging="631"/>
      </w:pPr>
      <w:rPr>
        <w:rFonts w:hint="default"/>
      </w:rPr>
    </w:lvl>
    <w:lvl w:ilvl="2">
      <w:start w:val="0"/>
      <w:numFmt w:val="bullet"/>
      <w:lvlText w:val="•"/>
      <w:lvlJc w:val="left"/>
      <w:pPr>
        <w:ind w:left="4179" w:hanging="631"/>
      </w:pPr>
      <w:rPr>
        <w:rFonts w:hint="default"/>
      </w:rPr>
    </w:lvl>
    <w:lvl w:ilvl="3">
      <w:start w:val="0"/>
      <w:numFmt w:val="bullet"/>
      <w:lvlText w:val="•"/>
      <w:lvlJc w:val="left"/>
      <w:pPr>
        <w:ind w:left="5709" w:hanging="631"/>
      </w:pPr>
      <w:rPr>
        <w:rFonts w:hint="default"/>
      </w:rPr>
    </w:lvl>
    <w:lvl w:ilvl="4">
      <w:start w:val="0"/>
      <w:numFmt w:val="bullet"/>
      <w:lvlText w:val="•"/>
      <w:lvlJc w:val="left"/>
      <w:pPr>
        <w:ind w:left="7239" w:hanging="631"/>
      </w:pPr>
      <w:rPr>
        <w:rFonts w:hint="default"/>
      </w:rPr>
    </w:lvl>
    <w:lvl w:ilvl="5">
      <w:start w:val="0"/>
      <w:numFmt w:val="bullet"/>
      <w:lvlText w:val="•"/>
      <w:lvlJc w:val="left"/>
      <w:pPr>
        <w:ind w:left="8769" w:hanging="631"/>
      </w:pPr>
      <w:rPr>
        <w:rFonts w:hint="default"/>
      </w:rPr>
    </w:lvl>
    <w:lvl w:ilvl="6">
      <w:start w:val="0"/>
      <w:numFmt w:val="bullet"/>
      <w:lvlText w:val="•"/>
      <w:lvlJc w:val="left"/>
      <w:pPr>
        <w:ind w:left="10299" w:hanging="631"/>
      </w:pPr>
      <w:rPr>
        <w:rFonts w:hint="default"/>
      </w:rPr>
    </w:lvl>
    <w:lvl w:ilvl="7">
      <w:start w:val="0"/>
      <w:numFmt w:val="bullet"/>
      <w:lvlText w:val="•"/>
      <w:lvlJc w:val="left"/>
      <w:pPr>
        <w:ind w:left="11829" w:hanging="631"/>
      </w:pPr>
      <w:rPr>
        <w:rFonts w:hint="default"/>
      </w:rPr>
    </w:lvl>
    <w:lvl w:ilvl="8">
      <w:start w:val="0"/>
      <w:numFmt w:val="bullet"/>
      <w:lvlText w:val="•"/>
      <w:lvlJc w:val="left"/>
      <w:pPr>
        <w:ind w:left="13359" w:hanging="631"/>
      </w:pPr>
      <w:rPr>
        <w:rFonts w:hint="default"/>
      </w:rPr>
    </w:lvl>
  </w:abstractNum>
  <w:abstractNum w:abstractNumId="2">
    <w:nsid w:val="06FC76D1"/>
    <w:multiLevelType w:val="hybridMultilevel"/>
    <w:tmpl w:val="00000000"/>
    <w:lvl w:ilvl="0">
      <w:start w:val="1"/>
      <w:numFmt w:val="decimal"/>
      <w:lvlText w:val="（%1）"/>
      <w:lvlJc w:val="left"/>
      <w:pPr>
        <w:ind w:left="1113" w:hanging="1053"/>
        <w:jc w:val="left"/>
      </w:pPr>
      <w:rPr>
        <w:rFonts w:ascii="楷体" w:eastAsia="楷体" w:hAnsi="楷体" w:cs="楷体" w:hint="default"/>
        <w:spacing w:val="-2"/>
        <w:w w:val="100"/>
        <w:sz w:val="40"/>
        <w:szCs w:val="40"/>
      </w:rPr>
    </w:lvl>
    <w:lvl w:ilvl="1">
      <w:start w:val="0"/>
      <w:numFmt w:val="bullet"/>
      <w:lvlText w:val="•"/>
      <w:lvlJc w:val="left"/>
      <w:pPr>
        <w:ind w:left="2649" w:hanging="1053"/>
      </w:pPr>
      <w:rPr>
        <w:rFonts w:hint="default"/>
      </w:rPr>
    </w:lvl>
    <w:lvl w:ilvl="2">
      <w:start w:val="0"/>
      <w:numFmt w:val="bullet"/>
      <w:lvlText w:val="•"/>
      <w:lvlJc w:val="left"/>
      <w:pPr>
        <w:ind w:left="4179" w:hanging="1053"/>
      </w:pPr>
      <w:rPr>
        <w:rFonts w:hint="default"/>
      </w:rPr>
    </w:lvl>
    <w:lvl w:ilvl="3">
      <w:start w:val="0"/>
      <w:numFmt w:val="bullet"/>
      <w:lvlText w:val="•"/>
      <w:lvlJc w:val="left"/>
      <w:pPr>
        <w:ind w:left="5709" w:hanging="1053"/>
      </w:pPr>
      <w:rPr>
        <w:rFonts w:hint="default"/>
      </w:rPr>
    </w:lvl>
    <w:lvl w:ilvl="4">
      <w:start w:val="0"/>
      <w:numFmt w:val="bullet"/>
      <w:lvlText w:val="•"/>
      <w:lvlJc w:val="left"/>
      <w:pPr>
        <w:ind w:left="7239" w:hanging="1053"/>
      </w:pPr>
      <w:rPr>
        <w:rFonts w:hint="default"/>
      </w:rPr>
    </w:lvl>
    <w:lvl w:ilvl="5">
      <w:start w:val="0"/>
      <w:numFmt w:val="bullet"/>
      <w:lvlText w:val="•"/>
      <w:lvlJc w:val="left"/>
      <w:pPr>
        <w:ind w:left="8769" w:hanging="1053"/>
      </w:pPr>
      <w:rPr>
        <w:rFonts w:hint="default"/>
      </w:rPr>
    </w:lvl>
    <w:lvl w:ilvl="6">
      <w:start w:val="0"/>
      <w:numFmt w:val="bullet"/>
      <w:lvlText w:val="•"/>
      <w:lvlJc w:val="left"/>
      <w:pPr>
        <w:ind w:left="10299" w:hanging="1053"/>
      </w:pPr>
      <w:rPr>
        <w:rFonts w:hint="default"/>
      </w:rPr>
    </w:lvl>
    <w:lvl w:ilvl="7">
      <w:start w:val="0"/>
      <w:numFmt w:val="bullet"/>
      <w:lvlText w:val="•"/>
      <w:lvlJc w:val="left"/>
      <w:pPr>
        <w:ind w:left="11829" w:hanging="1053"/>
      </w:pPr>
      <w:rPr>
        <w:rFonts w:hint="default"/>
      </w:rPr>
    </w:lvl>
    <w:lvl w:ilvl="8">
      <w:start w:val="0"/>
      <w:numFmt w:val="bullet"/>
      <w:lvlText w:val="•"/>
      <w:lvlJc w:val="left"/>
      <w:pPr>
        <w:ind w:left="13359" w:hanging="1053"/>
      </w:pPr>
      <w:rPr>
        <w:rFonts w:hint="default"/>
      </w:rPr>
    </w:lvl>
  </w:abstractNum>
  <w:abstractNum w:abstractNumId="3">
    <w:nsid w:val="0CBB1C5C"/>
    <w:multiLevelType w:val="hybridMultilevel"/>
    <w:tmpl w:val="00000000"/>
    <w:lvl w:ilvl="0">
      <w:start w:val="3"/>
      <w:numFmt w:val="decimal"/>
      <w:lvlText w:val="%1"/>
      <w:lvlJc w:val="left"/>
      <w:pPr>
        <w:ind w:left="2686" w:hanging="735"/>
        <w:jc w:val="left"/>
      </w:pPr>
      <w:rPr>
        <w:rFonts w:hint="default"/>
      </w:rPr>
    </w:lvl>
    <w:lvl w:ilvl="1">
      <w:start w:val="1"/>
      <w:numFmt w:val="decimal"/>
      <w:lvlText w:val="%1.%2"/>
      <w:lvlJc w:val="left"/>
      <w:pPr>
        <w:ind w:left="2686" w:hanging="735"/>
        <w:jc w:val="left"/>
      </w:pPr>
      <w:rPr>
        <w:rFonts w:ascii="楷体" w:eastAsia="楷体" w:hAnsi="楷体" w:cs="楷体" w:hint="default"/>
        <w:w w:val="100"/>
        <w:sz w:val="42"/>
        <w:szCs w:val="42"/>
      </w:rPr>
    </w:lvl>
    <w:lvl w:ilvl="2">
      <w:start w:val="0"/>
      <w:numFmt w:val="bullet"/>
      <w:lvlText w:val="•"/>
      <w:lvlJc w:val="left"/>
      <w:pPr>
        <w:ind w:left="5427" w:hanging="735"/>
      </w:pPr>
      <w:rPr>
        <w:rFonts w:hint="default"/>
      </w:rPr>
    </w:lvl>
    <w:lvl w:ilvl="3">
      <w:start w:val="0"/>
      <w:numFmt w:val="bullet"/>
      <w:lvlText w:val="•"/>
      <w:lvlJc w:val="left"/>
      <w:pPr>
        <w:ind w:left="6801" w:hanging="735"/>
      </w:pPr>
      <w:rPr>
        <w:rFonts w:hint="default"/>
      </w:rPr>
    </w:lvl>
    <w:lvl w:ilvl="4">
      <w:start w:val="0"/>
      <w:numFmt w:val="bullet"/>
      <w:lvlText w:val="•"/>
      <w:lvlJc w:val="left"/>
      <w:pPr>
        <w:ind w:left="8175" w:hanging="735"/>
      </w:pPr>
      <w:rPr>
        <w:rFonts w:hint="default"/>
      </w:rPr>
    </w:lvl>
    <w:lvl w:ilvl="5">
      <w:start w:val="0"/>
      <w:numFmt w:val="bullet"/>
      <w:lvlText w:val="•"/>
      <w:lvlJc w:val="left"/>
      <w:pPr>
        <w:ind w:left="9549" w:hanging="735"/>
      </w:pPr>
      <w:rPr>
        <w:rFonts w:hint="default"/>
      </w:rPr>
    </w:lvl>
    <w:lvl w:ilvl="6">
      <w:start w:val="0"/>
      <w:numFmt w:val="bullet"/>
      <w:lvlText w:val="•"/>
      <w:lvlJc w:val="left"/>
      <w:pPr>
        <w:ind w:left="10923" w:hanging="735"/>
      </w:pPr>
      <w:rPr>
        <w:rFonts w:hint="default"/>
      </w:rPr>
    </w:lvl>
    <w:lvl w:ilvl="7">
      <w:start w:val="0"/>
      <w:numFmt w:val="bullet"/>
      <w:lvlText w:val="•"/>
      <w:lvlJc w:val="left"/>
      <w:pPr>
        <w:ind w:left="12297" w:hanging="735"/>
      </w:pPr>
      <w:rPr>
        <w:rFonts w:hint="default"/>
      </w:rPr>
    </w:lvl>
    <w:lvl w:ilvl="8">
      <w:start w:val="0"/>
      <w:numFmt w:val="bullet"/>
      <w:lvlText w:val="•"/>
      <w:lvlJc w:val="left"/>
      <w:pPr>
        <w:ind w:left="13671" w:hanging="735"/>
      </w:pPr>
      <w:rPr>
        <w:rFonts w:hint="default"/>
      </w:rPr>
    </w:lvl>
  </w:abstractNum>
  <w:abstractNum w:abstractNumId="4">
    <w:nsid w:val="11923300"/>
    <w:multiLevelType w:val="hybridMultilevel"/>
    <w:tmpl w:val="00000000"/>
    <w:lvl w:ilvl="0">
      <w:start w:val="8"/>
      <w:numFmt w:val="decimal"/>
      <w:lvlText w:val="(%1)"/>
      <w:lvlJc w:val="left"/>
      <w:pPr>
        <w:ind w:left="1113" w:hanging="638"/>
        <w:jc w:val="left"/>
      </w:pPr>
      <w:rPr>
        <w:rFonts w:ascii="楷体" w:eastAsia="楷体" w:hAnsi="楷体" w:cs="楷体" w:hint="default"/>
        <w:w w:val="100"/>
        <w:sz w:val="40"/>
        <w:szCs w:val="40"/>
      </w:rPr>
    </w:lvl>
    <w:lvl w:ilvl="1">
      <w:start w:val="0"/>
      <w:numFmt w:val="bullet"/>
      <w:lvlText w:val="•"/>
      <w:lvlJc w:val="left"/>
      <w:pPr>
        <w:ind w:left="2649" w:hanging="638"/>
      </w:pPr>
      <w:rPr>
        <w:rFonts w:hint="default"/>
      </w:rPr>
    </w:lvl>
    <w:lvl w:ilvl="2">
      <w:start w:val="0"/>
      <w:numFmt w:val="bullet"/>
      <w:lvlText w:val="•"/>
      <w:lvlJc w:val="left"/>
      <w:pPr>
        <w:ind w:left="4179" w:hanging="638"/>
      </w:pPr>
      <w:rPr>
        <w:rFonts w:hint="default"/>
      </w:rPr>
    </w:lvl>
    <w:lvl w:ilvl="3">
      <w:start w:val="0"/>
      <w:numFmt w:val="bullet"/>
      <w:lvlText w:val="•"/>
      <w:lvlJc w:val="left"/>
      <w:pPr>
        <w:ind w:left="5709" w:hanging="638"/>
      </w:pPr>
      <w:rPr>
        <w:rFonts w:hint="default"/>
      </w:rPr>
    </w:lvl>
    <w:lvl w:ilvl="4">
      <w:start w:val="0"/>
      <w:numFmt w:val="bullet"/>
      <w:lvlText w:val="•"/>
      <w:lvlJc w:val="left"/>
      <w:pPr>
        <w:ind w:left="7239" w:hanging="638"/>
      </w:pPr>
      <w:rPr>
        <w:rFonts w:hint="default"/>
      </w:rPr>
    </w:lvl>
    <w:lvl w:ilvl="5">
      <w:start w:val="0"/>
      <w:numFmt w:val="bullet"/>
      <w:lvlText w:val="•"/>
      <w:lvlJc w:val="left"/>
      <w:pPr>
        <w:ind w:left="8769" w:hanging="638"/>
      </w:pPr>
      <w:rPr>
        <w:rFonts w:hint="default"/>
      </w:rPr>
    </w:lvl>
    <w:lvl w:ilvl="6">
      <w:start w:val="0"/>
      <w:numFmt w:val="bullet"/>
      <w:lvlText w:val="•"/>
      <w:lvlJc w:val="left"/>
      <w:pPr>
        <w:ind w:left="10299" w:hanging="638"/>
      </w:pPr>
      <w:rPr>
        <w:rFonts w:hint="default"/>
      </w:rPr>
    </w:lvl>
    <w:lvl w:ilvl="7">
      <w:start w:val="0"/>
      <w:numFmt w:val="bullet"/>
      <w:lvlText w:val="•"/>
      <w:lvlJc w:val="left"/>
      <w:pPr>
        <w:ind w:left="11829" w:hanging="638"/>
      </w:pPr>
      <w:rPr>
        <w:rFonts w:hint="default"/>
      </w:rPr>
    </w:lvl>
    <w:lvl w:ilvl="8">
      <w:start w:val="0"/>
      <w:numFmt w:val="bullet"/>
      <w:lvlText w:val="•"/>
      <w:lvlJc w:val="left"/>
      <w:pPr>
        <w:ind w:left="13359" w:hanging="638"/>
      </w:pPr>
      <w:rPr>
        <w:rFonts w:hint="default"/>
      </w:rPr>
    </w:lvl>
  </w:abstractNum>
  <w:abstractNum w:abstractNumId="5">
    <w:nsid w:val="1843EBA9"/>
    <w:multiLevelType w:val="hybridMultilevel"/>
    <w:tmpl w:val="00000000"/>
    <w:lvl w:ilvl="0">
      <w:start w:val="1"/>
      <w:numFmt w:val="decimal"/>
      <w:lvlText w:val="（%1）"/>
      <w:lvlJc w:val="left"/>
      <w:pPr>
        <w:ind w:left="1113" w:hanging="1053"/>
        <w:jc w:val="left"/>
      </w:pPr>
      <w:rPr>
        <w:rFonts w:ascii="楷体" w:eastAsia="楷体" w:hAnsi="楷体" w:cs="楷体" w:hint="default"/>
        <w:spacing w:val="-2"/>
        <w:w w:val="100"/>
        <w:sz w:val="40"/>
        <w:szCs w:val="40"/>
      </w:rPr>
    </w:lvl>
    <w:lvl w:ilvl="1">
      <w:start w:val="0"/>
      <w:numFmt w:val="bullet"/>
      <w:lvlText w:val="•"/>
      <w:lvlJc w:val="left"/>
      <w:pPr>
        <w:ind w:left="2649" w:hanging="1053"/>
      </w:pPr>
      <w:rPr>
        <w:rFonts w:hint="default"/>
      </w:rPr>
    </w:lvl>
    <w:lvl w:ilvl="2">
      <w:start w:val="0"/>
      <w:numFmt w:val="bullet"/>
      <w:lvlText w:val="•"/>
      <w:lvlJc w:val="left"/>
      <w:pPr>
        <w:ind w:left="4179" w:hanging="1053"/>
      </w:pPr>
      <w:rPr>
        <w:rFonts w:hint="default"/>
      </w:rPr>
    </w:lvl>
    <w:lvl w:ilvl="3">
      <w:start w:val="0"/>
      <w:numFmt w:val="bullet"/>
      <w:lvlText w:val="•"/>
      <w:lvlJc w:val="left"/>
      <w:pPr>
        <w:ind w:left="5709" w:hanging="1053"/>
      </w:pPr>
      <w:rPr>
        <w:rFonts w:hint="default"/>
      </w:rPr>
    </w:lvl>
    <w:lvl w:ilvl="4">
      <w:start w:val="0"/>
      <w:numFmt w:val="bullet"/>
      <w:lvlText w:val="•"/>
      <w:lvlJc w:val="left"/>
      <w:pPr>
        <w:ind w:left="7239" w:hanging="1053"/>
      </w:pPr>
      <w:rPr>
        <w:rFonts w:hint="default"/>
      </w:rPr>
    </w:lvl>
    <w:lvl w:ilvl="5">
      <w:start w:val="0"/>
      <w:numFmt w:val="bullet"/>
      <w:lvlText w:val="•"/>
      <w:lvlJc w:val="left"/>
      <w:pPr>
        <w:ind w:left="8769" w:hanging="1053"/>
      </w:pPr>
      <w:rPr>
        <w:rFonts w:hint="default"/>
      </w:rPr>
    </w:lvl>
    <w:lvl w:ilvl="6">
      <w:start w:val="0"/>
      <w:numFmt w:val="bullet"/>
      <w:lvlText w:val="•"/>
      <w:lvlJc w:val="left"/>
      <w:pPr>
        <w:ind w:left="10299" w:hanging="1053"/>
      </w:pPr>
      <w:rPr>
        <w:rFonts w:hint="default"/>
      </w:rPr>
    </w:lvl>
    <w:lvl w:ilvl="7">
      <w:start w:val="0"/>
      <w:numFmt w:val="bullet"/>
      <w:lvlText w:val="•"/>
      <w:lvlJc w:val="left"/>
      <w:pPr>
        <w:ind w:left="11829" w:hanging="1053"/>
      </w:pPr>
      <w:rPr>
        <w:rFonts w:hint="default"/>
      </w:rPr>
    </w:lvl>
    <w:lvl w:ilvl="8">
      <w:start w:val="0"/>
      <w:numFmt w:val="bullet"/>
      <w:lvlText w:val="•"/>
      <w:lvlJc w:val="left"/>
      <w:pPr>
        <w:ind w:left="13359" w:hanging="1053"/>
      </w:pPr>
      <w:rPr>
        <w:rFonts w:hint="default"/>
      </w:rPr>
    </w:lvl>
  </w:abstractNum>
  <w:abstractNum w:abstractNumId="6">
    <w:nsid w:val="1F1B92CF"/>
    <w:multiLevelType w:val="hybridMultilevel"/>
    <w:tmpl w:val="00000000"/>
    <w:lvl w:ilvl="0">
      <w:start w:val="1"/>
      <w:numFmt w:val="upperLetter"/>
      <w:lvlText w:val="%1."/>
      <w:lvlJc w:val="left"/>
      <w:pPr>
        <w:ind w:left="2482" w:hanging="423"/>
        <w:jc w:val="left"/>
      </w:pPr>
      <w:rPr>
        <w:rFonts w:ascii="楷体" w:eastAsia="楷体" w:hAnsi="楷体" w:cs="楷体" w:hint="default"/>
        <w:w w:val="100"/>
        <w:sz w:val="40"/>
        <w:szCs w:val="40"/>
      </w:rPr>
    </w:lvl>
    <w:lvl w:ilvl="1">
      <w:start w:val="0"/>
      <w:numFmt w:val="bullet"/>
      <w:lvlText w:val="•"/>
      <w:lvlJc w:val="left"/>
      <w:pPr>
        <w:ind w:left="3873" w:hanging="423"/>
      </w:pPr>
      <w:rPr>
        <w:rFonts w:hint="default"/>
      </w:rPr>
    </w:lvl>
    <w:lvl w:ilvl="2">
      <w:start w:val="0"/>
      <w:numFmt w:val="bullet"/>
      <w:lvlText w:val="•"/>
      <w:lvlJc w:val="left"/>
      <w:pPr>
        <w:ind w:left="5267" w:hanging="423"/>
      </w:pPr>
      <w:rPr>
        <w:rFonts w:hint="default"/>
      </w:rPr>
    </w:lvl>
    <w:lvl w:ilvl="3">
      <w:start w:val="0"/>
      <w:numFmt w:val="bullet"/>
      <w:lvlText w:val="•"/>
      <w:lvlJc w:val="left"/>
      <w:pPr>
        <w:ind w:left="6661" w:hanging="423"/>
      </w:pPr>
      <w:rPr>
        <w:rFonts w:hint="default"/>
      </w:rPr>
    </w:lvl>
    <w:lvl w:ilvl="4">
      <w:start w:val="0"/>
      <w:numFmt w:val="bullet"/>
      <w:lvlText w:val="•"/>
      <w:lvlJc w:val="left"/>
      <w:pPr>
        <w:ind w:left="8055" w:hanging="423"/>
      </w:pPr>
      <w:rPr>
        <w:rFonts w:hint="default"/>
      </w:rPr>
    </w:lvl>
    <w:lvl w:ilvl="5">
      <w:start w:val="0"/>
      <w:numFmt w:val="bullet"/>
      <w:lvlText w:val="•"/>
      <w:lvlJc w:val="left"/>
      <w:pPr>
        <w:ind w:left="9449" w:hanging="423"/>
      </w:pPr>
      <w:rPr>
        <w:rFonts w:hint="default"/>
      </w:rPr>
    </w:lvl>
    <w:lvl w:ilvl="6">
      <w:start w:val="0"/>
      <w:numFmt w:val="bullet"/>
      <w:lvlText w:val="•"/>
      <w:lvlJc w:val="left"/>
      <w:pPr>
        <w:ind w:left="10843" w:hanging="423"/>
      </w:pPr>
      <w:rPr>
        <w:rFonts w:hint="default"/>
      </w:rPr>
    </w:lvl>
    <w:lvl w:ilvl="7">
      <w:start w:val="0"/>
      <w:numFmt w:val="bullet"/>
      <w:lvlText w:val="•"/>
      <w:lvlJc w:val="left"/>
      <w:pPr>
        <w:ind w:left="12237" w:hanging="423"/>
      </w:pPr>
      <w:rPr>
        <w:rFonts w:hint="default"/>
      </w:rPr>
    </w:lvl>
    <w:lvl w:ilvl="8">
      <w:start w:val="0"/>
      <w:numFmt w:val="bullet"/>
      <w:lvlText w:val="•"/>
      <w:lvlJc w:val="left"/>
      <w:pPr>
        <w:ind w:left="13631" w:hanging="423"/>
      </w:pPr>
      <w:rPr>
        <w:rFonts w:hint="default"/>
      </w:rPr>
    </w:lvl>
  </w:abstractNum>
  <w:abstractNum w:abstractNumId="7">
    <w:nsid w:val="1FF5909A"/>
    <w:multiLevelType w:val="hybridMultilevel"/>
    <w:tmpl w:val="00000000"/>
    <w:lvl w:ilvl="0">
      <w:start w:val="1"/>
      <w:numFmt w:val="decimal"/>
      <w:lvlText w:val="%1."/>
      <w:lvlJc w:val="left"/>
      <w:pPr>
        <w:ind w:left="2374" w:hanging="423"/>
        <w:jc w:val="left"/>
      </w:pPr>
      <w:rPr>
        <w:rFonts w:ascii="楷体" w:eastAsia="楷体" w:hAnsi="楷体" w:cs="楷体" w:hint="default"/>
        <w:w w:val="100"/>
        <w:sz w:val="40"/>
        <w:szCs w:val="40"/>
      </w:rPr>
    </w:lvl>
    <w:lvl w:ilvl="1">
      <w:start w:val="0"/>
      <w:numFmt w:val="bullet"/>
      <w:lvlText w:val="•"/>
      <w:lvlJc w:val="left"/>
      <w:pPr>
        <w:ind w:left="2380" w:hanging="423"/>
      </w:pPr>
      <w:rPr>
        <w:rFonts w:hint="default"/>
      </w:rPr>
    </w:lvl>
    <w:lvl w:ilvl="2">
      <w:start w:val="0"/>
      <w:numFmt w:val="bullet"/>
      <w:lvlText w:val="•"/>
      <w:lvlJc w:val="left"/>
      <w:pPr>
        <w:ind w:left="3939" w:hanging="423"/>
      </w:pPr>
      <w:rPr>
        <w:rFonts w:hint="default"/>
      </w:rPr>
    </w:lvl>
    <w:lvl w:ilvl="3">
      <w:start w:val="0"/>
      <w:numFmt w:val="bullet"/>
      <w:lvlText w:val="•"/>
      <w:lvlJc w:val="left"/>
      <w:pPr>
        <w:ind w:left="5499" w:hanging="423"/>
      </w:pPr>
      <w:rPr>
        <w:rFonts w:hint="default"/>
      </w:rPr>
    </w:lvl>
    <w:lvl w:ilvl="4">
      <w:start w:val="0"/>
      <w:numFmt w:val="bullet"/>
      <w:lvlText w:val="•"/>
      <w:lvlJc w:val="left"/>
      <w:pPr>
        <w:ind w:left="7059" w:hanging="423"/>
      </w:pPr>
      <w:rPr>
        <w:rFonts w:hint="default"/>
      </w:rPr>
    </w:lvl>
    <w:lvl w:ilvl="5">
      <w:start w:val="0"/>
      <w:numFmt w:val="bullet"/>
      <w:lvlText w:val="•"/>
      <w:lvlJc w:val="left"/>
      <w:pPr>
        <w:ind w:left="8619" w:hanging="423"/>
      </w:pPr>
      <w:rPr>
        <w:rFonts w:hint="default"/>
      </w:rPr>
    </w:lvl>
    <w:lvl w:ilvl="6">
      <w:start w:val="0"/>
      <w:numFmt w:val="bullet"/>
      <w:lvlText w:val="•"/>
      <w:lvlJc w:val="left"/>
      <w:pPr>
        <w:ind w:left="10179" w:hanging="423"/>
      </w:pPr>
      <w:rPr>
        <w:rFonts w:hint="default"/>
      </w:rPr>
    </w:lvl>
    <w:lvl w:ilvl="7">
      <w:start w:val="0"/>
      <w:numFmt w:val="bullet"/>
      <w:lvlText w:val="•"/>
      <w:lvlJc w:val="left"/>
      <w:pPr>
        <w:ind w:left="11739" w:hanging="423"/>
      </w:pPr>
      <w:rPr>
        <w:rFonts w:hint="default"/>
      </w:rPr>
    </w:lvl>
    <w:lvl w:ilvl="8">
      <w:start w:val="0"/>
      <w:numFmt w:val="bullet"/>
      <w:lvlText w:val="•"/>
      <w:lvlJc w:val="left"/>
      <w:pPr>
        <w:ind w:left="13299" w:hanging="423"/>
      </w:pPr>
      <w:rPr>
        <w:rFonts w:hint="default"/>
      </w:rPr>
    </w:lvl>
  </w:abstractNum>
  <w:abstractNum w:abstractNumId="8">
    <w:nsid w:val="2108BC6F"/>
    <w:multiLevelType w:val="hybridMultilevel"/>
    <w:tmpl w:val="00000000"/>
    <w:lvl w:ilvl="0">
      <w:start w:val="1"/>
      <w:numFmt w:val="decimal"/>
      <w:lvlText w:val="%1."/>
      <w:lvlJc w:val="left"/>
      <w:pPr>
        <w:ind w:left="2374" w:hanging="423"/>
        <w:jc w:val="left"/>
      </w:pPr>
      <w:rPr>
        <w:rFonts w:ascii="楷体" w:eastAsia="楷体" w:hAnsi="楷体" w:cs="楷体" w:hint="default"/>
        <w:w w:val="100"/>
        <w:sz w:val="40"/>
        <w:szCs w:val="40"/>
      </w:rPr>
    </w:lvl>
    <w:lvl w:ilvl="1">
      <w:start w:val="0"/>
      <w:numFmt w:val="bullet"/>
      <w:lvlText w:val="•"/>
      <w:lvlJc w:val="left"/>
      <w:pPr>
        <w:ind w:left="2380" w:hanging="423"/>
      </w:pPr>
      <w:rPr>
        <w:rFonts w:hint="default"/>
      </w:rPr>
    </w:lvl>
    <w:lvl w:ilvl="2">
      <w:start w:val="0"/>
      <w:numFmt w:val="bullet"/>
      <w:lvlText w:val="•"/>
      <w:lvlJc w:val="left"/>
      <w:pPr>
        <w:ind w:left="3939" w:hanging="423"/>
      </w:pPr>
      <w:rPr>
        <w:rFonts w:hint="default"/>
      </w:rPr>
    </w:lvl>
    <w:lvl w:ilvl="3">
      <w:start w:val="0"/>
      <w:numFmt w:val="bullet"/>
      <w:lvlText w:val="•"/>
      <w:lvlJc w:val="left"/>
      <w:pPr>
        <w:ind w:left="5499" w:hanging="423"/>
      </w:pPr>
      <w:rPr>
        <w:rFonts w:hint="default"/>
      </w:rPr>
    </w:lvl>
    <w:lvl w:ilvl="4">
      <w:start w:val="0"/>
      <w:numFmt w:val="bullet"/>
      <w:lvlText w:val="•"/>
      <w:lvlJc w:val="left"/>
      <w:pPr>
        <w:ind w:left="7059" w:hanging="423"/>
      </w:pPr>
      <w:rPr>
        <w:rFonts w:hint="default"/>
      </w:rPr>
    </w:lvl>
    <w:lvl w:ilvl="5">
      <w:start w:val="0"/>
      <w:numFmt w:val="bullet"/>
      <w:lvlText w:val="•"/>
      <w:lvlJc w:val="left"/>
      <w:pPr>
        <w:ind w:left="8619" w:hanging="423"/>
      </w:pPr>
      <w:rPr>
        <w:rFonts w:hint="default"/>
      </w:rPr>
    </w:lvl>
    <w:lvl w:ilvl="6">
      <w:start w:val="0"/>
      <w:numFmt w:val="bullet"/>
      <w:lvlText w:val="•"/>
      <w:lvlJc w:val="left"/>
      <w:pPr>
        <w:ind w:left="10179" w:hanging="423"/>
      </w:pPr>
      <w:rPr>
        <w:rFonts w:hint="default"/>
      </w:rPr>
    </w:lvl>
    <w:lvl w:ilvl="7">
      <w:start w:val="0"/>
      <w:numFmt w:val="bullet"/>
      <w:lvlText w:val="•"/>
      <w:lvlJc w:val="left"/>
      <w:pPr>
        <w:ind w:left="11739" w:hanging="423"/>
      </w:pPr>
      <w:rPr>
        <w:rFonts w:hint="default"/>
      </w:rPr>
    </w:lvl>
    <w:lvl w:ilvl="8">
      <w:start w:val="0"/>
      <w:numFmt w:val="bullet"/>
      <w:lvlText w:val="•"/>
      <w:lvlJc w:val="left"/>
      <w:pPr>
        <w:ind w:left="13299" w:hanging="423"/>
      </w:pPr>
      <w:rPr>
        <w:rFonts w:hint="default"/>
      </w:rPr>
    </w:lvl>
  </w:abstractNum>
  <w:abstractNum w:abstractNumId="9">
    <w:nsid w:val="2541CED5"/>
    <w:multiLevelType w:val="hybridMultilevel"/>
    <w:tmpl w:val="00000000"/>
    <w:lvl w:ilvl="0">
      <w:start w:val="7"/>
      <w:numFmt w:val="decimal"/>
      <w:lvlText w:val="%1."/>
      <w:lvlJc w:val="left"/>
      <w:pPr>
        <w:ind w:left="2482" w:hanging="423"/>
        <w:jc w:val="left"/>
      </w:pPr>
      <w:rPr>
        <w:rFonts w:ascii="楷体" w:eastAsia="楷体" w:hAnsi="楷体" w:cs="楷体" w:hint="default"/>
        <w:w w:val="100"/>
        <w:sz w:val="40"/>
        <w:szCs w:val="40"/>
      </w:rPr>
    </w:lvl>
    <w:lvl w:ilvl="1">
      <w:start w:val="0"/>
      <w:numFmt w:val="bullet"/>
      <w:lvlText w:val="•"/>
      <w:lvlJc w:val="left"/>
      <w:pPr>
        <w:ind w:left="3873" w:hanging="423"/>
      </w:pPr>
      <w:rPr>
        <w:rFonts w:hint="default"/>
      </w:rPr>
    </w:lvl>
    <w:lvl w:ilvl="2">
      <w:start w:val="0"/>
      <w:numFmt w:val="bullet"/>
      <w:lvlText w:val="•"/>
      <w:lvlJc w:val="left"/>
      <w:pPr>
        <w:ind w:left="5267" w:hanging="423"/>
      </w:pPr>
      <w:rPr>
        <w:rFonts w:hint="default"/>
      </w:rPr>
    </w:lvl>
    <w:lvl w:ilvl="3">
      <w:start w:val="0"/>
      <w:numFmt w:val="bullet"/>
      <w:lvlText w:val="•"/>
      <w:lvlJc w:val="left"/>
      <w:pPr>
        <w:ind w:left="6661" w:hanging="423"/>
      </w:pPr>
      <w:rPr>
        <w:rFonts w:hint="default"/>
      </w:rPr>
    </w:lvl>
    <w:lvl w:ilvl="4">
      <w:start w:val="0"/>
      <w:numFmt w:val="bullet"/>
      <w:lvlText w:val="•"/>
      <w:lvlJc w:val="left"/>
      <w:pPr>
        <w:ind w:left="8055" w:hanging="423"/>
      </w:pPr>
      <w:rPr>
        <w:rFonts w:hint="default"/>
      </w:rPr>
    </w:lvl>
    <w:lvl w:ilvl="5">
      <w:start w:val="0"/>
      <w:numFmt w:val="bullet"/>
      <w:lvlText w:val="•"/>
      <w:lvlJc w:val="left"/>
      <w:pPr>
        <w:ind w:left="9449" w:hanging="423"/>
      </w:pPr>
      <w:rPr>
        <w:rFonts w:hint="default"/>
      </w:rPr>
    </w:lvl>
    <w:lvl w:ilvl="6">
      <w:start w:val="0"/>
      <w:numFmt w:val="bullet"/>
      <w:lvlText w:val="•"/>
      <w:lvlJc w:val="left"/>
      <w:pPr>
        <w:ind w:left="10843" w:hanging="423"/>
      </w:pPr>
      <w:rPr>
        <w:rFonts w:hint="default"/>
      </w:rPr>
    </w:lvl>
    <w:lvl w:ilvl="7">
      <w:start w:val="0"/>
      <w:numFmt w:val="bullet"/>
      <w:lvlText w:val="•"/>
      <w:lvlJc w:val="left"/>
      <w:pPr>
        <w:ind w:left="12237" w:hanging="423"/>
      </w:pPr>
      <w:rPr>
        <w:rFonts w:hint="default"/>
      </w:rPr>
    </w:lvl>
    <w:lvl w:ilvl="8">
      <w:start w:val="0"/>
      <w:numFmt w:val="bullet"/>
      <w:lvlText w:val="•"/>
      <w:lvlJc w:val="left"/>
      <w:pPr>
        <w:ind w:left="13631" w:hanging="423"/>
      </w:pPr>
      <w:rPr>
        <w:rFonts w:hint="default"/>
      </w:rPr>
    </w:lvl>
  </w:abstractNum>
  <w:abstractNum w:abstractNumId="10">
    <w:nsid w:val="2BAFA4FD"/>
    <w:multiLevelType w:val="hybridMultilevel"/>
    <w:tmpl w:val="00000000"/>
    <w:lvl w:ilvl="0">
      <w:start w:val="1"/>
      <w:numFmt w:val="decimal"/>
      <w:lvlText w:val="%1）"/>
      <w:lvlJc w:val="left"/>
      <w:pPr>
        <w:ind w:left="1113" w:hanging="631"/>
        <w:jc w:val="left"/>
      </w:pPr>
      <w:rPr>
        <w:rFonts w:ascii="楷体" w:eastAsia="楷体" w:hAnsi="楷体" w:cs="楷体" w:hint="default"/>
        <w:spacing w:val="-2"/>
        <w:w w:val="100"/>
        <w:sz w:val="40"/>
        <w:szCs w:val="40"/>
      </w:rPr>
    </w:lvl>
    <w:lvl w:ilvl="1">
      <w:start w:val="0"/>
      <w:numFmt w:val="bullet"/>
      <w:lvlText w:val="•"/>
      <w:lvlJc w:val="left"/>
      <w:pPr>
        <w:ind w:left="2649" w:hanging="631"/>
      </w:pPr>
      <w:rPr>
        <w:rFonts w:hint="default"/>
      </w:rPr>
    </w:lvl>
    <w:lvl w:ilvl="2">
      <w:start w:val="0"/>
      <w:numFmt w:val="bullet"/>
      <w:lvlText w:val="•"/>
      <w:lvlJc w:val="left"/>
      <w:pPr>
        <w:ind w:left="4179" w:hanging="631"/>
      </w:pPr>
      <w:rPr>
        <w:rFonts w:hint="default"/>
      </w:rPr>
    </w:lvl>
    <w:lvl w:ilvl="3">
      <w:start w:val="0"/>
      <w:numFmt w:val="bullet"/>
      <w:lvlText w:val="•"/>
      <w:lvlJc w:val="left"/>
      <w:pPr>
        <w:ind w:left="5709" w:hanging="631"/>
      </w:pPr>
      <w:rPr>
        <w:rFonts w:hint="default"/>
      </w:rPr>
    </w:lvl>
    <w:lvl w:ilvl="4">
      <w:start w:val="0"/>
      <w:numFmt w:val="bullet"/>
      <w:lvlText w:val="•"/>
      <w:lvlJc w:val="left"/>
      <w:pPr>
        <w:ind w:left="7239" w:hanging="631"/>
      </w:pPr>
      <w:rPr>
        <w:rFonts w:hint="default"/>
      </w:rPr>
    </w:lvl>
    <w:lvl w:ilvl="5">
      <w:start w:val="0"/>
      <w:numFmt w:val="bullet"/>
      <w:lvlText w:val="•"/>
      <w:lvlJc w:val="left"/>
      <w:pPr>
        <w:ind w:left="8769" w:hanging="631"/>
      </w:pPr>
      <w:rPr>
        <w:rFonts w:hint="default"/>
      </w:rPr>
    </w:lvl>
    <w:lvl w:ilvl="6">
      <w:start w:val="0"/>
      <w:numFmt w:val="bullet"/>
      <w:lvlText w:val="•"/>
      <w:lvlJc w:val="left"/>
      <w:pPr>
        <w:ind w:left="10299" w:hanging="631"/>
      </w:pPr>
      <w:rPr>
        <w:rFonts w:hint="default"/>
      </w:rPr>
    </w:lvl>
    <w:lvl w:ilvl="7">
      <w:start w:val="0"/>
      <w:numFmt w:val="bullet"/>
      <w:lvlText w:val="•"/>
      <w:lvlJc w:val="left"/>
      <w:pPr>
        <w:ind w:left="11829" w:hanging="631"/>
      </w:pPr>
      <w:rPr>
        <w:rFonts w:hint="default"/>
      </w:rPr>
    </w:lvl>
    <w:lvl w:ilvl="8">
      <w:start w:val="0"/>
      <w:numFmt w:val="bullet"/>
      <w:lvlText w:val="•"/>
      <w:lvlJc w:val="left"/>
      <w:pPr>
        <w:ind w:left="13359" w:hanging="631"/>
      </w:pPr>
      <w:rPr>
        <w:rFonts w:hint="default"/>
      </w:rPr>
    </w:lvl>
  </w:abstractNum>
  <w:abstractNum w:abstractNumId="11">
    <w:nsid w:val="2ED5FADF"/>
    <w:multiLevelType w:val="hybridMultilevel"/>
    <w:tmpl w:val="00000000"/>
    <w:lvl w:ilvl="0">
      <w:start w:val="1"/>
      <w:numFmt w:val="upperLetter"/>
      <w:lvlText w:val="%1."/>
      <w:lvlJc w:val="left"/>
      <w:pPr>
        <w:ind w:left="1113" w:hanging="423"/>
        <w:jc w:val="left"/>
      </w:pPr>
      <w:rPr>
        <w:rFonts w:ascii="楷体" w:eastAsia="楷体" w:hAnsi="楷体" w:cs="楷体" w:hint="default"/>
        <w:w w:val="100"/>
        <w:sz w:val="40"/>
        <w:szCs w:val="40"/>
      </w:rPr>
    </w:lvl>
    <w:lvl w:ilvl="1">
      <w:start w:val="0"/>
      <w:numFmt w:val="bullet"/>
      <w:lvlText w:val="•"/>
      <w:lvlJc w:val="left"/>
      <w:pPr>
        <w:ind w:left="2649" w:hanging="423"/>
      </w:pPr>
      <w:rPr>
        <w:rFonts w:hint="default"/>
      </w:rPr>
    </w:lvl>
    <w:lvl w:ilvl="2">
      <w:start w:val="0"/>
      <w:numFmt w:val="bullet"/>
      <w:lvlText w:val="•"/>
      <w:lvlJc w:val="left"/>
      <w:pPr>
        <w:ind w:left="4179" w:hanging="423"/>
      </w:pPr>
      <w:rPr>
        <w:rFonts w:hint="default"/>
      </w:rPr>
    </w:lvl>
    <w:lvl w:ilvl="3">
      <w:start w:val="0"/>
      <w:numFmt w:val="bullet"/>
      <w:lvlText w:val="•"/>
      <w:lvlJc w:val="left"/>
      <w:pPr>
        <w:ind w:left="5709" w:hanging="423"/>
      </w:pPr>
      <w:rPr>
        <w:rFonts w:hint="default"/>
      </w:rPr>
    </w:lvl>
    <w:lvl w:ilvl="4">
      <w:start w:val="0"/>
      <w:numFmt w:val="bullet"/>
      <w:lvlText w:val="•"/>
      <w:lvlJc w:val="left"/>
      <w:pPr>
        <w:ind w:left="7239" w:hanging="423"/>
      </w:pPr>
      <w:rPr>
        <w:rFonts w:hint="default"/>
      </w:rPr>
    </w:lvl>
    <w:lvl w:ilvl="5">
      <w:start w:val="0"/>
      <w:numFmt w:val="bullet"/>
      <w:lvlText w:val="•"/>
      <w:lvlJc w:val="left"/>
      <w:pPr>
        <w:ind w:left="8769" w:hanging="423"/>
      </w:pPr>
      <w:rPr>
        <w:rFonts w:hint="default"/>
      </w:rPr>
    </w:lvl>
    <w:lvl w:ilvl="6">
      <w:start w:val="0"/>
      <w:numFmt w:val="bullet"/>
      <w:lvlText w:val="•"/>
      <w:lvlJc w:val="left"/>
      <w:pPr>
        <w:ind w:left="10299" w:hanging="423"/>
      </w:pPr>
      <w:rPr>
        <w:rFonts w:hint="default"/>
      </w:rPr>
    </w:lvl>
    <w:lvl w:ilvl="7">
      <w:start w:val="0"/>
      <w:numFmt w:val="bullet"/>
      <w:lvlText w:val="•"/>
      <w:lvlJc w:val="left"/>
      <w:pPr>
        <w:ind w:left="11829" w:hanging="423"/>
      </w:pPr>
      <w:rPr>
        <w:rFonts w:hint="default"/>
      </w:rPr>
    </w:lvl>
    <w:lvl w:ilvl="8">
      <w:start w:val="0"/>
      <w:numFmt w:val="bullet"/>
      <w:lvlText w:val="•"/>
      <w:lvlJc w:val="left"/>
      <w:pPr>
        <w:ind w:left="13359" w:hanging="423"/>
      </w:pPr>
      <w:rPr>
        <w:rFonts w:hint="default"/>
      </w:rPr>
    </w:lvl>
  </w:abstractNum>
  <w:abstractNum w:abstractNumId="12">
    <w:nsid w:val="360A2247"/>
    <w:multiLevelType w:val="hybridMultilevel"/>
    <w:tmpl w:val="00000000"/>
    <w:lvl w:ilvl="0">
      <w:start w:val="0"/>
      <w:numFmt w:val="bullet"/>
      <w:lvlText w:val=""/>
      <w:lvlJc w:val="left"/>
      <w:pPr>
        <w:ind w:left="2589" w:hanging="638"/>
      </w:pPr>
      <w:rPr>
        <w:rFonts w:ascii="Wingdings" w:eastAsia="Wingdings" w:hAnsi="Wingdings" w:cs="Wingdings" w:hint="default"/>
        <w:w w:val="100"/>
        <w:sz w:val="42"/>
        <w:szCs w:val="42"/>
      </w:rPr>
    </w:lvl>
    <w:lvl w:ilvl="1">
      <w:start w:val="0"/>
      <w:numFmt w:val="bullet"/>
      <w:lvlText w:val="•"/>
      <w:lvlJc w:val="left"/>
      <w:pPr>
        <w:ind w:left="3963" w:hanging="638"/>
      </w:pPr>
      <w:rPr>
        <w:rFonts w:hint="default"/>
      </w:rPr>
    </w:lvl>
    <w:lvl w:ilvl="2">
      <w:start w:val="0"/>
      <w:numFmt w:val="bullet"/>
      <w:lvlText w:val="•"/>
      <w:lvlJc w:val="left"/>
      <w:pPr>
        <w:ind w:left="5347" w:hanging="638"/>
      </w:pPr>
      <w:rPr>
        <w:rFonts w:hint="default"/>
      </w:rPr>
    </w:lvl>
    <w:lvl w:ilvl="3">
      <w:start w:val="0"/>
      <w:numFmt w:val="bullet"/>
      <w:lvlText w:val="•"/>
      <w:lvlJc w:val="left"/>
      <w:pPr>
        <w:ind w:left="6731" w:hanging="638"/>
      </w:pPr>
      <w:rPr>
        <w:rFonts w:hint="default"/>
      </w:rPr>
    </w:lvl>
    <w:lvl w:ilvl="4">
      <w:start w:val="0"/>
      <w:numFmt w:val="bullet"/>
      <w:lvlText w:val="•"/>
      <w:lvlJc w:val="left"/>
      <w:pPr>
        <w:ind w:left="8115" w:hanging="638"/>
      </w:pPr>
      <w:rPr>
        <w:rFonts w:hint="default"/>
      </w:rPr>
    </w:lvl>
    <w:lvl w:ilvl="5">
      <w:start w:val="0"/>
      <w:numFmt w:val="bullet"/>
      <w:lvlText w:val="•"/>
      <w:lvlJc w:val="left"/>
      <w:pPr>
        <w:ind w:left="9499" w:hanging="638"/>
      </w:pPr>
      <w:rPr>
        <w:rFonts w:hint="default"/>
      </w:rPr>
    </w:lvl>
    <w:lvl w:ilvl="6">
      <w:start w:val="0"/>
      <w:numFmt w:val="bullet"/>
      <w:lvlText w:val="•"/>
      <w:lvlJc w:val="left"/>
      <w:pPr>
        <w:ind w:left="10883" w:hanging="638"/>
      </w:pPr>
      <w:rPr>
        <w:rFonts w:hint="default"/>
      </w:rPr>
    </w:lvl>
    <w:lvl w:ilvl="7">
      <w:start w:val="0"/>
      <w:numFmt w:val="bullet"/>
      <w:lvlText w:val="•"/>
      <w:lvlJc w:val="left"/>
      <w:pPr>
        <w:ind w:left="12267" w:hanging="638"/>
      </w:pPr>
      <w:rPr>
        <w:rFonts w:hint="default"/>
      </w:rPr>
    </w:lvl>
    <w:lvl w:ilvl="8">
      <w:start w:val="0"/>
      <w:numFmt w:val="bullet"/>
      <w:lvlText w:val="•"/>
      <w:lvlJc w:val="left"/>
      <w:pPr>
        <w:ind w:left="13651" w:hanging="638"/>
      </w:pPr>
      <w:rPr>
        <w:rFonts w:hint="default"/>
      </w:rPr>
    </w:lvl>
  </w:abstractNum>
  <w:abstractNum w:abstractNumId="13">
    <w:nsid w:val="41E58242"/>
    <w:multiLevelType w:val="hybridMultilevel"/>
    <w:tmpl w:val="00000000"/>
    <w:lvl w:ilvl="0">
      <w:start w:val="1"/>
      <w:numFmt w:val="upperLetter"/>
      <w:lvlText w:val="%1."/>
      <w:lvlJc w:val="left"/>
      <w:pPr>
        <w:ind w:left="1113" w:hanging="423"/>
        <w:jc w:val="left"/>
      </w:pPr>
      <w:rPr>
        <w:rFonts w:ascii="楷体" w:eastAsia="楷体" w:hAnsi="楷体" w:cs="楷体" w:hint="default"/>
        <w:w w:val="100"/>
        <w:sz w:val="40"/>
        <w:szCs w:val="40"/>
      </w:rPr>
    </w:lvl>
    <w:lvl w:ilvl="1">
      <w:start w:val="0"/>
      <w:numFmt w:val="bullet"/>
      <w:lvlText w:val="•"/>
      <w:lvlJc w:val="left"/>
      <w:pPr>
        <w:ind w:left="2649" w:hanging="423"/>
      </w:pPr>
      <w:rPr>
        <w:rFonts w:hint="default"/>
      </w:rPr>
    </w:lvl>
    <w:lvl w:ilvl="2">
      <w:start w:val="0"/>
      <w:numFmt w:val="bullet"/>
      <w:lvlText w:val="•"/>
      <w:lvlJc w:val="left"/>
      <w:pPr>
        <w:ind w:left="4179" w:hanging="423"/>
      </w:pPr>
      <w:rPr>
        <w:rFonts w:hint="default"/>
      </w:rPr>
    </w:lvl>
    <w:lvl w:ilvl="3">
      <w:start w:val="0"/>
      <w:numFmt w:val="bullet"/>
      <w:lvlText w:val="•"/>
      <w:lvlJc w:val="left"/>
      <w:pPr>
        <w:ind w:left="5709" w:hanging="423"/>
      </w:pPr>
      <w:rPr>
        <w:rFonts w:hint="default"/>
      </w:rPr>
    </w:lvl>
    <w:lvl w:ilvl="4">
      <w:start w:val="0"/>
      <w:numFmt w:val="bullet"/>
      <w:lvlText w:val="•"/>
      <w:lvlJc w:val="left"/>
      <w:pPr>
        <w:ind w:left="7239" w:hanging="423"/>
      </w:pPr>
      <w:rPr>
        <w:rFonts w:hint="default"/>
      </w:rPr>
    </w:lvl>
    <w:lvl w:ilvl="5">
      <w:start w:val="0"/>
      <w:numFmt w:val="bullet"/>
      <w:lvlText w:val="•"/>
      <w:lvlJc w:val="left"/>
      <w:pPr>
        <w:ind w:left="8769" w:hanging="423"/>
      </w:pPr>
      <w:rPr>
        <w:rFonts w:hint="default"/>
      </w:rPr>
    </w:lvl>
    <w:lvl w:ilvl="6">
      <w:start w:val="0"/>
      <w:numFmt w:val="bullet"/>
      <w:lvlText w:val="•"/>
      <w:lvlJc w:val="left"/>
      <w:pPr>
        <w:ind w:left="10299" w:hanging="423"/>
      </w:pPr>
      <w:rPr>
        <w:rFonts w:hint="default"/>
      </w:rPr>
    </w:lvl>
    <w:lvl w:ilvl="7">
      <w:start w:val="0"/>
      <w:numFmt w:val="bullet"/>
      <w:lvlText w:val="•"/>
      <w:lvlJc w:val="left"/>
      <w:pPr>
        <w:ind w:left="11829" w:hanging="423"/>
      </w:pPr>
      <w:rPr>
        <w:rFonts w:hint="default"/>
      </w:rPr>
    </w:lvl>
    <w:lvl w:ilvl="8">
      <w:start w:val="0"/>
      <w:numFmt w:val="bullet"/>
      <w:lvlText w:val="•"/>
      <w:lvlJc w:val="left"/>
      <w:pPr>
        <w:ind w:left="13359" w:hanging="423"/>
      </w:pPr>
      <w:rPr>
        <w:rFonts w:hint="default"/>
      </w:rPr>
    </w:lvl>
  </w:abstractNum>
  <w:abstractNum w:abstractNumId="14">
    <w:nsid w:val="54632651"/>
    <w:multiLevelType w:val="hybridMultilevel"/>
    <w:tmpl w:val="00000000"/>
    <w:lvl w:ilvl="0">
      <w:start w:val="1"/>
      <w:numFmt w:val="decimal"/>
      <w:lvlText w:val="%1）"/>
      <w:lvlJc w:val="left"/>
      <w:pPr>
        <w:ind w:left="2690" w:hanging="631"/>
        <w:jc w:val="left"/>
      </w:pPr>
      <w:rPr>
        <w:rFonts w:ascii="楷体" w:eastAsia="楷体" w:hAnsi="楷体" w:cs="楷体" w:hint="default"/>
        <w:spacing w:val="-72"/>
        <w:w w:val="100"/>
        <w:sz w:val="40"/>
        <w:szCs w:val="40"/>
      </w:rPr>
    </w:lvl>
    <w:lvl w:ilvl="1">
      <w:start w:val="0"/>
      <w:numFmt w:val="bullet"/>
      <w:lvlText w:val="•"/>
      <w:lvlJc w:val="left"/>
      <w:pPr>
        <w:ind w:left="4071" w:hanging="631"/>
      </w:pPr>
      <w:rPr>
        <w:rFonts w:hint="default"/>
      </w:rPr>
    </w:lvl>
    <w:lvl w:ilvl="2">
      <w:start w:val="0"/>
      <w:numFmt w:val="bullet"/>
      <w:lvlText w:val="•"/>
      <w:lvlJc w:val="left"/>
      <w:pPr>
        <w:ind w:left="5443" w:hanging="631"/>
      </w:pPr>
      <w:rPr>
        <w:rFonts w:hint="default"/>
      </w:rPr>
    </w:lvl>
    <w:lvl w:ilvl="3">
      <w:start w:val="0"/>
      <w:numFmt w:val="bullet"/>
      <w:lvlText w:val="•"/>
      <w:lvlJc w:val="left"/>
      <w:pPr>
        <w:ind w:left="6815" w:hanging="631"/>
      </w:pPr>
      <w:rPr>
        <w:rFonts w:hint="default"/>
      </w:rPr>
    </w:lvl>
    <w:lvl w:ilvl="4">
      <w:start w:val="0"/>
      <w:numFmt w:val="bullet"/>
      <w:lvlText w:val="•"/>
      <w:lvlJc w:val="left"/>
      <w:pPr>
        <w:ind w:left="8187" w:hanging="631"/>
      </w:pPr>
      <w:rPr>
        <w:rFonts w:hint="default"/>
      </w:rPr>
    </w:lvl>
    <w:lvl w:ilvl="5">
      <w:start w:val="0"/>
      <w:numFmt w:val="bullet"/>
      <w:lvlText w:val="•"/>
      <w:lvlJc w:val="left"/>
      <w:pPr>
        <w:ind w:left="9559" w:hanging="631"/>
      </w:pPr>
      <w:rPr>
        <w:rFonts w:hint="default"/>
      </w:rPr>
    </w:lvl>
    <w:lvl w:ilvl="6">
      <w:start w:val="0"/>
      <w:numFmt w:val="bullet"/>
      <w:lvlText w:val="•"/>
      <w:lvlJc w:val="left"/>
      <w:pPr>
        <w:ind w:left="10931" w:hanging="631"/>
      </w:pPr>
      <w:rPr>
        <w:rFonts w:hint="default"/>
      </w:rPr>
    </w:lvl>
    <w:lvl w:ilvl="7">
      <w:start w:val="0"/>
      <w:numFmt w:val="bullet"/>
      <w:lvlText w:val="•"/>
      <w:lvlJc w:val="left"/>
      <w:pPr>
        <w:ind w:left="12303" w:hanging="631"/>
      </w:pPr>
      <w:rPr>
        <w:rFonts w:hint="default"/>
      </w:rPr>
    </w:lvl>
    <w:lvl w:ilvl="8">
      <w:start w:val="0"/>
      <w:numFmt w:val="bullet"/>
      <w:lvlText w:val="•"/>
      <w:lvlJc w:val="left"/>
      <w:pPr>
        <w:ind w:left="13675" w:hanging="631"/>
      </w:pPr>
      <w:rPr>
        <w:rFonts w:hint="default"/>
      </w:rPr>
    </w:lvl>
  </w:abstractNum>
  <w:abstractNum w:abstractNumId="15">
    <w:nsid w:val="5935D0B2"/>
    <w:multiLevelType w:val="hybridMultilevel"/>
    <w:tmpl w:val="00000000"/>
    <w:lvl w:ilvl="0">
      <w:start w:val="1"/>
      <w:numFmt w:val="decimal"/>
      <w:lvlText w:val="%1）"/>
      <w:lvlJc w:val="left"/>
      <w:pPr>
        <w:ind w:left="1113" w:hanging="631"/>
        <w:jc w:val="left"/>
      </w:pPr>
      <w:rPr>
        <w:rFonts w:ascii="楷体" w:eastAsia="楷体" w:hAnsi="楷体" w:cs="楷体" w:hint="default"/>
        <w:spacing w:val="-2"/>
        <w:w w:val="100"/>
        <w:sz w:val="40"/>
        <w:szCs w:val="40"/>
      </w:rPr>
    </w:lvl>
    <w:lvl w:ilvl="1">
      <w:start w:val="0"/>
      <w:numFmt w:val="bullet"/>
      <w:lvlText w:val="•"/>
      <w:lvlJc w:val="left"/>
      <w:pPr>
        <w:ind w:left="2649" w:hanging="631"/>
      </w:pPr>
      <w:rPr>
        <w:rFonts w:hint="default"/>
      </w:rPr>
    </w:lvl>
    <w:lvl w:ilvl="2">
      <w:start w:val="0"/>
      <w:numFmt w:val="bullet"/>
      <w:lvlText w:val="•"/>
      <w:lvlJc w:val="left"/>
      <w:pPr>
        <w:ind w:left="4179" w:hanging="631"/>
      </w:pPr>
      <w:rPr>
        <w:rFonts w:hint="default"/>
      </w:rPr>
    </w:lvl>
    <w:lvl w:ilvl="3">
      <w:start w:val="0"/>
      <w:numFmt w:val="bullet"/>
      <w:lvlText w:val="•"/>
      <w:lvlJc w:val="left"/>
      <w:pPr>
        <w:ind w:left="5709" w:hanging="631"/>
      </w:pPr>
      <w:rPr>
        <w:rFonts w:hint="default"/>
      </w:rPr>
    </w:lvl>
    <w:lvl w:ilvl="4">
      <w:start w:val="0"/>
      <w:numFmt w:val="bullet"/>
      <w:lvlText w:val="•"/>
      <w:lvlJc w:val="left"/>
      <w:pPr>
        <w:ind w:left="7239" w:hanging="631"/>
      </w:pPr>
      <w:rPr>
        <w:rFonts w:hint="default"/>
      </w:rPr>
    </w:lvl>
    <w:lvl w:ilvl="5">
      <w:start w:val="0"/>
      <w:numFmt w:val="bullet"/>
      <w:lvlText w:val="•"/>
      <w:lvlJc w:val="left"/>
      <w:pPr>
        <w:ind w:left="8769" w:hanging="631"/>
      </w:pPr>
      <w:rPr>
        <w:rFonts w:hint="default"/>
      </w:rPr>
    </w:lvl>
    <w:lvl w:ilvl="6">
      <w:start w:val="0"/>
      <w:numFmt w:val="bullet"/>
      <w:lvlText w:val="•"/>
      <w:lvlJc w:val="left"/>
      <w:pPr>
        <w:ind w:left="10299" w:hanging="631"/>
      </w:pPr>
      <w:rPr>
        <w:rFonts w:hint="default"/>
      </w:rPr>
    </w:lvl>
    <w:lvl w:ilvl="7">
      <w:start w:val="0"/>
      <w:numFmt w:val="bullet"/>
      <w:lvlText w:val="•"/>
      <w:lvlJc w:val="left"/>
      <w:pPr>
        <w:ind w:left="11829" w:hanging="631"/>
      </w:pPr>
      <w:rPr>
        <w:rFonts w:hint="default"/>
      </w:rPr>
    </w:lvl>
    <w:lvl w:ilvl="8">
      <w:start w:val="0"/>
      <w:numFmt w:val="bullet"/>
      <w:lvlText w:val="•"/>
      <w:lvlJc w:val="left"/>
      <w:pPr>
        <w:ind w:left="13359" w:hanging="631"/>
      </w:pPr>
      <w:rPr>
        <w:rFonts w:hint="default"/>
      </w:rPr>
    </w:lvl>
  </w:abstractNum>
  <w:abstractNum w:abstractNumId="16">
    <w:nsid w:val="69649880"/>
    <w:multiLevelType w:val="hybridMultilevel"/>
    <w:tmpl w:val="00000000"/>
    <w:lvl w:ilvl="0">
      <w:start w:val="1"/>
      <w:numFmt w:val="upperLetter"/>
      <w:lvlText w:val="%1."/>
      <w:lvlJc w:val="left"/>
      <w:pPr>
        <w:ind w:left="2482" w:hanging="423"/>
        <w:jc w:val="left"/>
      </w:pPr>
      <w:rPr>
        <w:rFonts w:ascii="楷体" w:eastAsia="楷体" w:hAnsi="楷体" w:cs="楷体" w:hint="default"/>
        <w:w w:val="100"/>
        <w:sz w:val="40"/>
        <w:szCs w:val="40"/>
      </w:rPr>
    </w:lvl>
    <w:lvl w:ilvl="1">
      <w:start w:val="0"/>
      <w:numFmt w:val="bullet"/>
      <w:lvlText w:val="•"/>
      <w:lvlJc w:val="left"/>
      <w:pPr>
        <w:ind w:left="3873" w:hanging="423"/>
      </w:pPr>
      <w:rPr>
        <w:rFonts w:hint="default"/>
      </w:rPr>
    </w:lvl>
    <w:lvl w:ilvl="2">
      <w:start w:val="0"/>
      <w:numFmt w:val="bullet"/>
      <w:lvlText w:val="•"/>
      <w:lvlJc w:val="left"/>
      <w:pPr>
        <w:ind w:left="5267" w:hanging="423"/>
      </w:pPr>
      <w:rPr>
        <w:rFonts w:hint="default"/>
      </w:rPr>
    </w:lvl>
    <w:lvl w:ilvl="3">
      <w:start w:val="0"/>
      <w:numFmt w:val="bullet"/>
      <w:lvlText w:val="•"/>
      <w:lvlJc w:val="left"/>
      <w:pPr>
        <w:ind w:left="6661" w:hanging="423"/>
      </w:pPr>
      <w:rPr>
        <w:rFonts w:hint="default"/>
      </w:rPr>
    </w:lvl>
    <w:lvl w:ilvl="4">
      <w:start w:val="0"/>
      <w:numFmt w:val="bullet"/>
      <w:lvlText w:val="•"/>
      <w:lvlJc w:val="left"/>
      <w:pPr>
        <w:ind w:left="8055" w:hanging="423"/>
      </w:pPr>
      <w:rPr>
        <w:rFonts w:hint="default"/>
      </w:rPr>
    </w:lvl>
    <w:lvl w:ilvl="5">
      <w:start w:val="0"/>
      <w:numFmt w:val="bullet"/>
      <w:lvlText w:val="•"/>
      <w:lvlJc w:val="left"/>
      <w:pPr>
        <w:ind w:left="9449" w:hanging="423"/>
      </w:pPr>
      <w:rPr>
        <w:rFonts w:hint="default"/>
      </w:rPr>
    </w:lvl>
    <w:lvl w:ilvl="6">
      <w:start w:val="0"/>
      <w:numFmt w:val="bullet"/>
      <w:lvlText w:val="•"/>
      <w:lvlJc w:val="left"/>
      <w:pPr>
        <w:ind w:left="10843" w:hanging="423"/>
      </w:pPr>
      <w:rPr>
        <w:rFonts w:hint="default"/>
      </w:rPr>
    </w:lvl>
    <w:lvl w:ilvl="7">
      <w:start w:val="0"/>
      <w:numFmt w:val="bullet"/>
      <w:lvlText w:val="•"/>
      <w:lvlJc w:val="left"/>
      <w:pPr>
        <w:ind w:left="12237" w:hanging="423"/>
      </w:pPr>
      <w:rPr>
        <w:rFonts w:hint="default"/>
      </w:rPr>
    </w:lvl>
    <w:lvl w:ilvl="8">
      <w:start w:val="0"/>
      <w:numFmt w:val="bullet"/>
      <w:lvlText w:val="•"/>
      <w:lvlJc w:val="left"/>
      <w:pPr>
        <w:ind w:left="13631" w:hanging="423"/>
      </w:pPr>
      <w:rPr>
        <w:rFonts w:hint="default"/>
      </w:rPr>
    </w:lvl>
  </w:abstractNum>
  <w:abstractNum w:abstractNumId="17">
    <w:nsid w:val="6BAAD237"/>
    <w:multiLevelType w:val="hybridMultilevel"/>
    <w:tmpl w:val="00000000"/>
    <w:lvl w:ilvl="0">
      <w:start w:val="3"/>
      <w:numFmt w:val="decimal"/>
      <w:lvlText w:val="%1"/>
      <w:lvlJc w:val="left"/>
      <w:pPr>
        <w:ind w:left="2686" w:hanging="735"/>
        <w:jc w:val="left"/>
      </w:pPr>
      <w:rPr>
        <w:rFonts w:hint="default"/>
      </w:rPr>
    </w:lvl>
    <w:lvl w:ilvl="1">
      <w:start w:val="1"/>
      <w:numFmt w:val="decimal"/>
      <w:lvlText w:val="%1.%2"/>
      <w:lvlJc w:val="left"/>
      <w:pPr>
        <w:ind w:left="2686" w:hanging="735"/>
        <w:jc w:val="left"/>
      </w:pPr>
      <w:rPr>
        <w:rFonts w:ascii="楷体" w:eastAsia="楷体" w:hAnsi="楷体" w:cs="楷体" w:hint="default"/>
        <w:w w:val="100"/>
        <w:sz w:val="42"/>
        <w:szCs w:val="42"/>
      </w:rPr>
    </w:lvl>
    <w:lvl w:ilvl="2">
      <w:start w:val="0"/>
      <w:numFmt w:val="bullet"/>
      <w:lvlText w:val="•"/>
      <w:lvlJc w:val="left"/>
      <w:pPr>
        <w:ind w:left="5427" w:hanging="735"/>
      </w:pPr>
      <w:rPr>
        <w:rFonts w:hint="default"/>
      </w:rPr>
    </w:lvl>
    <w:lvl w:ilvl="3">
      <w:start w:val="0"/>
      <w:numFmt w:val="bullet"/>
      <w:lvlText w:val="•"/>
      <w:lvlJc w:val="left"/>
      <w:pPr>
        <w:ind w:left="6801" w:hanging="735"/>
      </w:pPr>
      <w:rPr>
        <w:rFonts w:hint="default"/>
      </w:rPr>
    </w:lvl>
    <w:lvl w:ilvl="4">
      <w:start w:val="0"/>
      <w:numFmt w:val="bullet"/>
      <w:lvlText w:val="•"/>
      <w:lvlJc w:val="left"/>
      <w:pPr>
        <w:ind w:left="8175" w:hanging="735"/>
      </w:pPr>
      <w:rPr>
        <w:rFonts w:hint="default"/>
      </w:rPr>
    </w:lvl>
    <w:lvl w:ilvl="5">
      <w:start w:val="0"/>
      <w:numFmt w:val="bullet"/>
      <w:lvlText w:val="•"/>
      <w:lvlJc w:val="left"/>
      <w:pPr>
        <w:ind w:left="9549" w:hanging="735"/>
      </w:pPr>
      <w:rPr>
        <w:rFonts w:hint="default"/>
      </w:rPr>
    </w:lvl>
    <w:lvl w:ilvl="6">
      <w:start w:val="0"/>
      <w:numFmt w:val="bullet"/>
      <w:lvlText w:val="•"/>
      <w:lvlJc w:val="left"/>
      <w:pPr>
        <w:ind w:left="10923" w:hanging="735"/>
      </w:pPr>
      <w:rPr>
        <w:rFonts w:hint="default"/>
      </w:rPr>
    </w:lvl>
    <w:lvl w:ilvl="7">
      <w:start w:val="0"/>
      <w:numFmt w:val="bullet"/>
      <w:lvlText w:val="•"/>
      <w:lvlJc w:val="left"/>
      <w:pPr>
        <w:ind w:left="12297" w:hanging="735"/>
      </w:pPr>
      <w:rPr>
        <w:rFonts w:hint="default"/>
      </w:rPr>
    </w:lvl>
    <w:lvl w:ilvl="8">
      <w:start w:val="0"/>
      <w:numFmt w:val="bullet"/>
      <w:lvlText w:val="•"/>
      <w:lvlJc w:val="left"/>
      <w:pPr>
        <w:ind w:left="13671" w:hanging="735"/>
      </w:pPr>
      <w:rPr>
        <w:rFonts w:hint="default"/>
      </w:rPr>
    </w:lvl>
  </w:abstractNum>
  <w:abstractNum w:abstractNumId="18">
    <w:nsid w:val="6C1E8C5B"/>
    <w:multiLevelType w:val="hybridMultilevel"/>
    <w:tmpl w:val="00000000"/>
    <w:lvl w:ilvl="0">
      <w:start w:val="1"/>
      <w:numFmt w:val="upperLetter"/>
      <w:lvlText w:val="%1."/>
      <w:lvlJc w:val="left"/>
      <w:pPr>
        <w:ind w:left="2482" w:hanging="423"/>
        <w:jc w:val="left"/>
      </w:pPr>
      <w:rPr>
        <w:rFonts w:ascii="楷体" w:eastAsia="楷体" w:hAnsi="楷体" w:cs="楷体" w:hint="default"/>
        <w:w w:val="100"/>
        <w:sz w:val="40"/>
        <w:szCs w:val="40"/>
      </w:rPr>
    </w:lvl>
    <w:lvl w:ilvl="1">
      <w:start w:val="0"/>
      <w:numFmt w:val="bullet"/>
      <w:lvlText w:val="•"/>
      <w:lvlJc w:val="left"/>
      <w:pPr>
        <w:ind w:left="3873" w:hanging="423"/>
      </w:pPr>
      <w:rPr>
        <w:rFonts w:hint="default"/>
      </w:rPr>
    </w:lvl>
    <w:lvl w:ilvl="2">
      <w:start w:val="0"/>
      <w:numFmt w:val="bullet"/>
      <w:lvlText w:val="•"/>
      <w:lvlJc w:val="left"/>
      <w:pPr>
        <w:ind w:left="5267" w:hanging="423"/>
      </w:pPr>
      <w:rPr>
        <w:rFonts w:hint="default"/>
      </w:rPr>
    </w:lvl>
    <w:lvl w:ilvl="3">
      <w:start w:val="0"/>
      <w:numFmt w:val="bullet"/>
      <w:lvlText w:val="•"/>
      <w:lvlJc w:val="left"/>
      <w:pPr>
        <w:ind w:left="6661" w:hanging="423"/>
      </w:pPr>
      <w:rPr>
        <w:rFonts w:hint="default"/>
      </w:rPr>
    </w:lvl>
    <w:lvl w:ilvl="4">
      <w:start w:val="0"/>
      <w:numFmt w:val="bullet"/>
      <w:lvlText w:val="•"/>
      <w:lvlJc w:val="left"/>
      <w:pPr>
        <w:ind w:left="8055" w:hanging="423"/>
      </w:pPr>
      <w:rPr>
        <w:rFonts w:hint="default"/>
      </w:rPr>
    </w:lvl>
    <w:lvl w:ilvl="5">
      <w:start w:val="0"/>
      <w:numFmt w:val="bullet"/>
      <w:lvlText w:val="•"/>
      <w:lvlJc w:val="left"/>
      <w:pPr>
        <w:ind w:left="9449" w:hanging="423"/>
      </w:pPr>
      <w:rPr>
        <w:rFonts w:hint="default"/>
      </w:rPr>
    </w:lvl>
    <w:lvl w:ilvl="6">
      <w:start w:val="0"/>
      <w:numFmt w:val="bullet"/>
      <w:lvlText w:val="•"/>
      <w:lvlJc w:val="left"/>
      <w:pPr>
        <w:ind w:left="10843" w:hanging="423"/>
      </w:pPr>
      <w:rPr>
        <w:rFonts w:hint="default"/>
      </w:rPr>
    </w:lvl>
    <w:lvl w:ilvl="7">
      <w:start w:val="0"/>
      <w:numFmt w:val="bullet"/>
      <w:lvlText w:val="•"/>
      <w:lvlJc w:val="left"/>
      <w:pPr>
        <w:ind w:left="12237" w:hanging="423"/>
      </w:pPr>
      <w:rPr>
        <w:rFonts w:hint="default"/>
      </w:rPr>
    </w:lvl>
    <w:lvl w:ilvl="8">
      <w:start w:val="0"/>
      <w:numFmt w:val="bullet"/>
      <w:lvlText w:val="•"/>
      <w:lvlJc w:val="left"/>
      <w:pPr>
        <w:ind w:left="13631" w:hanging="423"/>
      </w:pPr>
      <w:rPr>
        <w:rFonts w:hint="default"/>
      </w:rPr>
    </w:lvl>
  </w:abstractNum>
  <w:abstractNum w:abstractNumId="19">
    <w:nsid w:val="7DBFE822"/>
    <w:multiLevelType w:val="hybridMultilevel"/>
    <w:tmpl w:val="00000000"/>
    <w:lvl w:ilvl="0">
      <w:start w:val="1"/>
      <w:numFmt w:val="decimal"/>
      <w:lvlText w:val="%1）"/>
      <w:lvlJc w:val="left"/>
      <w:pPr>
        <w:ind w:left="1113" w:hanging="631"/>
        <w:jc w:val="left"/>
      </w:pPr>
      <w:rPr>
        <w:rFonts w:ascii="楷体" w:eastAsia="楷体" w:hAnsi="楷体" w:cs="楷体" w:hint="default"/>
        <w:spacing w:val="-2"/>
        <w:w w:val="100"/>
        <w:sz w:val="40"/>
        <w:szCs w:val="40"/>
      </w:rPr>
    </w:lvl>
    <w:lvl w:ilvl="1">
      <w:start w:val="0"/>
      <w:numFmt w:val="bullet"/>
      <w:lvlText w:val="•"/>
      <w:lvlJc w:val="left"/>
      <w:pPr>
        <w:ind w:left="2649" w:hanging="631"/>
      </w:pPr>
      <w:rPr>
        <w:rFonts w:hint="default"/>
      </w:rPr>
    </w:lvl>
    <w:lvl w:ilvl="2">
      <w:start w:val="0"/>
      <w:numFmt w:val="bullet"/>
      <w:lvlText w:val="•"/>
      <w:lvlJc w:val="left"/>
      <w:pPr>
        <w:ind w:left="4179" w:hanging="631"/>
      </w:pPr>
      <w:rPr>
        <w:rFonts w:hint="default"/>
      </w:rPr>
    </w:lvl>
    <w:lvl w:ilvl="3">
      <w:start w:val="0"/>
      <w:numFmt w:val="bullet"/>
      <w:lvlText w:val="•"/>
      <w:lvlJc w:val="left"/>
      <w:pPr>
        <w:ind w:left="5709" w:hanging="631"/>
      </w:pPr>
      <w:rPr>
        <w:rFonts w:hint="default"/>
      </w:rPr>
    </w:lvl>
    <w:lvl w:ilvl="4">
      <w:start w:val="0"/>
      <w:numFmt w:val="bullet"/>
      <w:lvlText w:val="•"/>
      <w:lvlJc w:val="left"/>
      <w:pPr>
        <w:ind w:left="7239" w:hanging="631"/>
      </w:pPr>
      <w:rPr>
        <w:rFonts w:hint="default"/>
      </w:rPr>
    </w:lvl>
    <w:lvl w:ilvl="5">
      <w:start w:val="0"/>
      <w:numFmt w:val="bullet"/>
      <w:lvlText w:val="•"/>
      <w:lvlJc w:val="left"/>
      <w:pPr>
        <w:ind w:left="8769" w:hanging="631"/>
      </w:pPr>
      <w:rPr>
        <w:rFonts w:hint="default"/>
      </w:rPr>
    </w:lvl>
    <w:lvl w:ilvl="6">
      <w:start w:val="0"/>
      <w:numFmt w:val="bullet"/>
      <w:lvlText w:val="•"/>
      <w:lvlJc w:val="left"/>
      <w:pPr>
        <w:ind w:left="10299" w:hanging="631"/>
      </w:pPr>
      <w:rPr>
        <w:rFonts w:hint="default"/>
      </w:rPr>
    </w:lvl>
    <w:lvl w:ilvl="7">
      <w:start w:val="0"/>
      <w:numFmt w:val="bullet"/>
      <w:lvlText w:val="•"/>
      <w:lvlJc w:val="left"/>
      <w:pPr>
        <w:ind w:left="11829" w:hanging="631"/>
      </w:pPr>
      <w:rPr>
        <w:rFonts w:hint="default"/>
      </w:rPr>
    </w:lvl>
    <w:lvl w:ilvl="8">
      <w:start w:val="0"/>
      <w:numFmt w:val="bullet"/>
      <w:lvlText w:val="•"/>
      <w:lvlJc w:val="left"/>
      <w:pPr>
        <w:ind w:left="13359" w:hanging="631"/>
      </w:pPr>
      <w:rPr>
        <w:rFonts w:hint="default"/>
      </w:rPr>
    </w:lvl>
  </w:abstractNum>
  <w:num w:numId="1">
    <w:abstractNumId w:val="4"/>
  </w:num>
  <w:num w:numId="2">
    <w:abstractNumId w:val="19"/>
  </w:num>
  <w:num w:numId="3">
    <w:abstractNumId w:val="14"/>
  </w:num>
  <w:num w:numId="4">
    <w:abstractNumId w:val="10"/>
  </w:num>
  <w:num w:numId="5">
    <w:abstractNumId w:val="1"/>
  </w:num>
  <w:num w:numId="6">
    <w:abstractNumId w:val="0"/>
  </w:num>
  <w:num w:numId="7">
    <w:abstractNumId w:val="15"/>
  </w:num>
  <w:num w:numId="8">
    <w:abstractNumId w:val="13"/>
  </w:num>
  <w:num w:numId="9">
    <w:abstractNumId w:val="9"/>
  </w:num>
  <w:num w:numId="10">
    <w:abstractNumId w:val="11"/>
  </w:num>
  <w:num w:numId="11">
    <w:abstractNumId w:val="18"/>
  </w:num>
  <w:num w:numId="12">
    <w:abstractNumId w:val="6"/>
  </w:num>
  <w:num w:numId="13">
    <w:abstractNumId w:val="7"/>
  </w:num>
  <w:num w:numId="14">
    <w:abstractNumId w:val="12"/>
  </w:num>
  <w:num w:numId="15">
    <w:abstractNumId w:val="3"/>
  </w:num>
  <w:num w:numId="16">
    <w:abstractNumId w:val="5"/>
  </w:num>
  <w:num w:numId="17">
    <w:abstractNumId w:val="2"/>
  </w:num>
  <w:num w:numId="18">
    <w:abstractNumId w:val="17"/>
  </w:num>
  <w:num w:numId="19">
    <w:abstractNumId w:val="8"/>
  </w:num>
  <w:num w:numId="20">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楷体" w:eastAsia="楷体" w:hAnsi="楷体" w:cs="楷体"/>
    </w:rPr>
  </w:style>
  <w:style w:type="paragraph" w:styleId="Heading1">
    <w:name w:val="heading 1"/>
    <w:basedOn w:val="Normal"/>
    <w:uiPriority w:val="1"/>
    <w:qFormat/>
    <w:pPr>
      <w:spacing w:before="32"/>
      <w:outlineLvl w:val="0"/>
    </w:pPr>
    <w:rPr>
      <w:rFonts w:ascii="楷体" w:eastAsia="楷体" w:hAnsi="楷体" w:cs="楷体"/>
      <w:sz w:val="48"/>
      <w:szCs w:val="48"/>
    </w:rPr>
  </w:style>
  <w:style w:type="paragraph" w:styleId="Heading2">
    <w:name w:val="heading 2"/>
    <w:basedOn w:val="Normal"/>
    <w:uiPriority w:val="1"/>
    <w:qFormat/>
    <w:pPr>
      <w:spacing w:before="344"/>
      <w:ind w:left="1113"/>
      <w:outlineLvl w:val="1"/>
    </w:pPr>
    <w:rPr>
      <w:rFonts w:ascii="楷体" w:eastAsia="楷体" w:hAnsi="楷体" w:cs="楷体"/>
      <w:sz w:val="45"/>
      <w:szCs w:val="45"/>
    </w:rPr>
  </w:style>
  <w:style w:type="paragraph" w:styleId="Heading3">
    <w:name w:val="heading 3"/>
    <w:basedOn w:val="Normal"/>
    <w:uiPriority w:val="1"/>
    <w:qFormat/>
    <w:pPr>
      <w:ind w:left="1955"/>
      <w:outlineLvl w:val="2"/>
    </w:pPr>
    <w:rPr>
      <w:rFonts w:ascii="楷体" w:eastAsia="楷体" w:hAnsi="楷体" w:cs="楷体"/>
      <w:b/>
      <w:bCs/>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楷体" w:eastAsia="楷体" w:hAnsi="楷体" w:cs="楷体"/>
      <w:sz w:val="42"/>
      <w:szCs w:val="42"/>
    </w:rPr>
  </w:style>
  <w:style w:type="paragraph" w:styleId="Title">
    <w:name w:val="Title"/>
    <w:basedOn w:val="Normal"/>
    <w:uiPriority w:val="1"/>
    <w:qFormat/>
    <w:pPr>
      <w:spacing w:before="151"/>
      <w:ind w:right="586"/>
      <w:jc w:val="center"/>
    </w:pPr>
    <w:rPr>
      <w:rFonts w:ascii="楷体" w:eastAsia="楷体" w:hAnsi="楷体" w:cs="楷体"/>
      <w:b/>
      <w:bCs/>
      <w:sz w:val="78"/>
      <w:szCs w:val="78"/>
    </w:rPr>
  </w:style>
  <w:style w:type="paragraph" w:styleId="ListParagraph">
    <w:name w:val="List Paragraph"/>
    <w:basedOn w:val="Normal"/>
    <w:uiPriority w:val="1"/>
    <w:qFormat/>
    <w:pPr>
      <w:ind w:left="1113" w:firstLine="946"/>
    </w:pPr>
    <w:rPr>
      <w:rFonts w:ascii="楷体" w:eastAsia="楷体" w:hAnsi="楷体" w:cs="楷体"/>
    </w:rPr>
  </w:style>
  <w:style w:type="paragraph" w:customStyle="1" w:styleId="TableParagraph">
    <w:name w:val="Table Paragraph"/>
    <w:basedOn w:val="Normal"/>
    <w:uiPriority w:val="1"/>
    <w:qFormat/>
    <w:pPr>
      <w:spacing w:before="178"/>
      <w:jc w:val="center"/>
    </w:pPr>
    <w:rPr>
      <w:rFonts w:ascii="楷体" w:eastAsia="楷体" w:hAnsi="楷体" w:cs="楷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image" Target="media/image1.png"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header" Target="header18.xml" /><Relationship Id="rId4" Type="http://schemas.openxmlformats.org/officeDocument/2006/relationships/header" Target="header1.xml" /><Relationship Id="rId40" Type="http://schemas.openxmlformats.org/officeDocument/2006/relationships/footer" Target="footer18.xml" /><Relationship Id="rId41" Type="http://schemas.openxmlformats.org/officeDocument/2006/relationships/header" Target="header19.xml" /><Relationship Id="rId42" Type="http://schemas.openxmlformats.org/officeDocument/2006/relationships/footer" Target="footer19.xm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header" Target="header22.xml" /><Relationship Id="rId48" Type="http://schemas.openxmlformats.org/officeDocument/2006/relationships/footer" Target="footer22.xml" /><Relationship Id="rId49" Type="http://schemas.openxmlformats.org/officeDocument/2006/relationships/header" Target="header23.xml" /><Relationship Id="rId5" Type="http://schemas.openxmlformats.org/officeDocument/2006/relationships/footer" Target="footer1.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footer" Target="footer28.xml" /><Relationship Id="rId61" Type="http://schemas.openxmlformats.org/officeDocument/2006/relationships/header" Target="header29.xml" /><Relationship Id="rId62" Type="http://schemas.openxmlformats.org/officeDocument/2006/relationships/footer" Target="footer29.xm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header" Target="header31.xml" /><Relationship Id="rId66" Type="http://schemas.openxmlformats.org/officeDocument/2006/relationships/footer" Target="footer31.xml" /><Relationship Id="rId67" Type="http://schemas.openxmlformats.org/officeDocument/2006/relationships/header" Target="header32.xml" /><Relationship Id="rId68" Type="http://schemas.openxmlformats.org/officeDocument/2006/relationships/footer" Target="footer32.xml" /><Relationship Id="rId69" Type="http://schemas.openxmlformats.org/officeDocument/2006/relationships/hyperlink" Target="https://d.book118.com/645014313022011100" TargetMode="External" /><Relationship Id="rId7" Type="http://schemas.openxmlformats.org/officeDocument/2006/relationships/footer" Target="footer2.xml" /><Relationship Id="rId70" Type="http://schemas.openxmlformats.org/officeDocument/2006/relationships/header" Target="header33.xml" /><Relationship Id="rId71" Type="http://schemas.openxmlformats.org/officeDocument/2006/relationships/footer" Target="footer33.xml" /><Relationship Id="rId72" Type="http://schemas.openxmlformats.org/officeDocument/2006/relationships/theme" Target="theme/theme1.xml" /><Relationship Id="rId73" Type="http://schemas.openxmlformats.org/officeDocument/2006/relationships/numbering" Target="numbering.xml" /><Relationship Id="rId74"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2024-01-07T23:27:57Z</dcterms:created>
  <dcterms:modified xsi:type="dcterms:W3CDTF">2024-01-07T23:27:57Z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2022-10-29T00:00:00Z</vt:filetime>
  </property>
  <property fmtid="{D5CDD505-2E9C-101B-9397-08002B2CF9AE}" pid="3" name="LastSaved">
    <vt:filetime>2024-01-07T00:00:00Z</vt:filetime>
  </property>
</Properties>
</file>