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2018-2023年长沙电力职业技术学院高职单招（数学／语文／英语）历年常考试题库含答案解析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下列关于作家、作品搭配错误的是（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A.鲁迅——《灯下漫笔》、《论毅力》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B.茅盾——《子夜》、《香市》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C.巴金——《爱尔克的灯光》、《家》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D.曹禺——《雷雨》、《日出》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《李将军列传》中作者将李广和李蔡对比的目的是凸显李广（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A.勇猛善射的武功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B.体恤部下的武德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C.终生未封的遭遇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D.治军简易的特点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艾青在哪个时间段曾被视为中国新诗的卓越代表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A.（1917—1927）第一个十年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B.（1928—1937）第二个十年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C.（1937—1949）第三个十年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D.20世纪80年代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《郑伯克段于鄢》是一篇典型的（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A.写人文章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D.抒情文章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以下诗句中，化用《诗经》诗句的为（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A.周公吐哺，天下归心。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B.对酒当歌，人生几何。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C.山不厌高，海不厌深。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D.数罟不入湾池。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A.吾非至于子之门则殆矣，吾长见笑于大方之家。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D.孟尝君怪其疾也，衣冠而见之。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郁达夫所创作的散文名篇有（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B.《荷塘夜色》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C.《白杨礼赞》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D.《故乡的野菜》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中国第一篇现代白话文小说《狂人日记》是发表在（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A.《彷徨》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B.《新青年》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C.《野草》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“饮冰室主人”指的是（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https://d.book118.com/645101034333011112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45101034333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