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2018-2023年沈阳航空职业技术学院高职单招（数学／语文／英语）历年常考试题库含答案解析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下列句子中，使用了反诘修辞格的是（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A.叹年来踪迹，何事苦淹留？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B.不知天上宫阙，今夕是何年？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C.满地黄花堆积，憔悴损，如今有谁堪摘？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D.明明如月，何时可掇？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从表现方法上说，《氓》是一首（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A.抒情诗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B.叙事诗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C.哲理诗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D.寓言诗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下列文学常识表述完全正确的一项是（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A.鲁迅的《呐喊》、茅盾的《子夜》和巴金的《家》，都是我国现代著名的长篇小说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B.我国现代著名剧作家曹禺的代表作有《雷雨》、《日出》和《龙须沟》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C.新格律诗的“三美”主张指的是“音乐的美”、“绘画的美”、“建筑的美”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D.沈从文的《箱子岩》生动地展现了浙东水乡淳厚古朴的民风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在“送别”这折戏中，莺莺深深忧虑的是（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A.离愁别恨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B.母亲干涉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C.金榜无名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D.婚姻悲剧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根据《宝玉挨打》一文判断下列哪句是薛宝钗说的（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A.“我的娘，怎么下这般的狠手！——你但凡听我一句话，也不到这个分儿。幸而没动筋骨，倘或打出个残疾来，可叫人怎么样呢？”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B.“你可都改了罢！”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C.“早听人一句话，也不至有今日！别说老太太、太太心疼，就是我们看着，心里也——”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D.“可好些了？想什么吃，叫人往我那里取去。”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ja-JP" w:bidi="ar-SA"/>
        </w:rPr>
        <w:t>6.</w:t>
      </w:r>
      <w:r>
        <w:rPr>
          <w:rFonts w:ascii="黑体" w:eastAsia="黑体" w:hAnsi="黑体" w:cs="Times New Roman"/>
          <w:sz w:val="24"/>
          <w:lang w:val="en-US" w:eastAsia="ja-JP" w:bidi="ar-SA"/>
        </w:rPr>
        <w:t>《报刘一丈书》中“权者”暗指（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A.顾秉谦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B.刘一丈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C.宗臣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5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D.严嵩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5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6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7.</w:t>
      </w:r>
      <w:r>
        <w:rPr>
          <w:rFonts w:ascii="黑体" w:eastAsia="黑体" w:hAnsi="黑体" w:cs="Times New Roman"/>
          <w:sz w:val="24"/>
          <w:lang w:val="en-US" w:eastAsia="ja-JP" w:bidi="ar-SA"/>
        </w:rPr>
        <w:t xml:space="preserve"> 王昌龄《从军行》（其四）的体裁是（　　） 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A.五言律诗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B.七言绝句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C.五言古诗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D.杂言诗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6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《陈情表》《张中丞传后叙》《报刘一丈书》的作者依次是（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A.李密、宗臣、韩愈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B.宗臣、李密、韩愈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C.韩愈、李密、宗臣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D.李密、韩愈、宗臣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辛弃疾《水龙吟（登建康赏心亭）》中运用典故表达壮志未酬、时光虚度的感伤之情的是（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A.休说鲈鱼堪脍，尽西风、季鹰归未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B.求田问舍，怕应羞见，刘郎才气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C.可惜流年，忧愁风雨，树犹如此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D.倩何人，唤取红巾翠袖，揾英雄泪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《论学问》的作者是（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A.梁实秋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B.培根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C.钱锺书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D.朱光潜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《我爱这土地》选自艾青的诗集（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A.《北方》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B.《大堰河——我的保姆》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C.《艾青诗选》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D.《旷野》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是“以心为形役”还是选择“立德立功立言以求不朽”一句出自（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A.《发现》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B.《风波》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C.《苦恼》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D.《谈时间》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《我爱这土地》中诗人着力刻画的一个象征形象是（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A.土地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B.暴风雨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D.温柔的黎明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《行路难》中具有象征意义的诗句是（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A.欲渡黄河冰塞川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https://d.book118.com/645121003330011112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64512100333001111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